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1D" w:rsidRDefault="0029081D" w:rsidP="0029081D">
      <w:pPr>
        <w:pStyle w:val="Title"/>
        <w:tabs>
          <w:tab w:val="left" w:pos="3840"/>
        </w:tabs>
        <w:spacing w:before="1560" w:after="1560"/>
        <w:ind w:left="2977"/>
        <w:contextualSpacing w:val="0"/>
      </w:pPr>
      <w:bookmarkStart w:id="0" w:name="_GoBack"/>
      <w:bookmarkEnd w:id="0"/>
      <w:r w:rsidRPr="00F75320">
        <w:rPr>
          <w:noProof/>
          <w:lang w:eastAsia="en-AU"/>
        </w:rPr>
        <w:drawing>
          <wp:anchor distT="0" distB="0" distL="114300" distR="114300" simplePos="0" relativeHeight="251661312" behindDoc="1" locked="0" layoutInCell="1" allowOverlap="1" wp14:anchorId="17D3A830" wp14:editId="2DE7E7F8">
            <wp:simplePos x="0" y="0"/>
            <wp:positionH relativeFrom="margin">
              <wp:align>right</wp:align>
            </wp:positionH>
            <wp:positionV relativeFrom="paragraph">
              <wp:posOffset>2540</wp:posOffset>
            </wp:positionV>
            <wp:extent cx="7561816" cy="10692000"/>
            <wp:effectExtent l="0" t="0" r="1270" b="0"/>
            <wp:wrapNone/>
            <wp:docPr id="2" name="Picture 2" descr="Cov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tab/>
      </w:r>
    </w:p>
    <w:p w:rsidR="002F411F" w:rsidRDefault="002F411F" w:rsidP="00BB0D8F">
      <w:pPr>
        <w:pStyle w:val="Title"/>
        <w:spacing w:before="1560" w:after="1560"/>
        <w:ind w:left="2977" w:firstLine="142"/>
        <w:contextualSpacing w:val="0"/>
      </w:pPr>
      <w:r>
        <w:t xml:space="preserve">Electricity Safety Regulator </w:t>
      </w:r>
    </w:p>
    <w:p w:rsidR="002F411F" w:rsidRDefault="002F411F" w:rsidP="002F15EA">
      <w:pPr>
        <w:pStyle w:val="Subtitle"/>
        <w:ind w:left="3402" w:hanging="141"/>
      </w:pPr>
      <w:r>
        <w:t>Annual Report</w:t>
      </w:r>
    </w:p>
    <w:p w:rsidR="002F411F" w:rsidRDefault="002F411F" w:rsidP="002F15EA">
      <w:pPr>
        <w:pStyle w:val="Subtitle"/>
        <w:ind w:left="2977" w:firstLine="284"/>
      </w:pPr>
      <w:r>
        <w:t>2016-17</w:t>
      </w:r>
    </w:p>
    <w:p w:rsidR="00FF6EF7" w:rsidRPr="0029081D" w:rsidRDefault="002F411F" w:rsidP="0029081D">
      <w:pPr>
        <w:ind w:left="2977"/>
        <w:rPr>
          <w:rFonts w:eastAsiaTheme="minorEastAsia" w:cstheme="majorBidi"/>
          <w:color w:val="FFFFFF" w:themeColor="background1"/>
          <w:spacing w:val="15"/>
          <w:kern w:val="28"/>
          <w:sz w:val="48"/>
          <w:szCs w:val="56"/>
        </w:rPr>
        <w:sectPr w:rsidR="00FF6EF7" w:rsidRPr="0029081D" w:rsidSect="00FF6EF7">
          <w:footerReference w:type="default" r:id="rId9"/>
          <w:footerReference w:type="first" r:id="rId10"/>
          <w:pgSz w:w="11906" w:h="16838" w:code="9"/>
          <w:pgMar w:top="0" w:right="0" w:bottom="0" w:left="0" w:header="0" w:footer="0" w:gutter="0"/>
          <w:cols w:space="708"/>
          <w:titlePg/>
          <w:docGrid w:linePitch="360"/>
        </w:sectPr>
      </w:pPr>
      <w:r>
        <w:br w:type="page"/>
      </w:r>
    </w:p>
    <w:sdt>
      <w:sdtPr>
        <w:rPr>
          <w:rFonts w:asciiTheme="minorHAnsi" w:eastAsiaTheme="minorHAnsi" w:hAnsiTheme="minorHAnsi" w:cstheme="minorBidi"/>
          <w:color w:val="auto"/>
          <w:sz w:val="22"/>
          <w:szCs w:val="22"/>
          <w:lang w:val="en-AU"/>
        </w:rPr>
        <w:id w:val="-1448850908"/>
        <w:docPartObj>
          <w:docPartGallery w:val="Table of Contents"/>
          <w:docPartUnique/>
        </w:docPartObj>
      </w:sdtPr>
      <w:sdtEndPr>
        <w:rPr>
          <w:b/>
          <w:bCs/>
          <w:noProof/>
        </w:rPr>
      </w:sdtEndPr>
      <w:sdtContent>
        <w:p w:rsidR="00773AF8" w:rsidRPr="00773AF8" w:rsidRDefault="00773AF8" w:rsidP="00773AF8">
          <w:pPr>
            <w:pStyle w:val="TOCHeading"/>
            <w:spacing w:before="720" w:after="120" w:line="360" w:lineRule="auto"/>
            <w:rPr>
              <w:rStyle w:val="Heading2Char"/>
              <w:sz w:val="32"/>
              <w:szCs w:val="32"/>
            </w:rPr>
          </w:pPr>
          <w:r w:rsidRPr="00773AF8">
            <w:rPr>
              <w:rStyle w:val="Heading2Char"/>
              <w:sz w:val="32"/>
              <w:szCs w:val="32"/>
            </w:rPr>
            <w:t>Contents</w:t>
          </w:r>
        </w:p>
        <w:p w:rsidR="00773AF8" w:rsidRPr="00773AF8" w:rsidRDefault="00773AF8" w:rsidP="00773AF8">
          <w:pPr>
            <w:pStyle w:val="TOC1"/>
            <w:tabs>
              <w:tab w:val="right" w:leader="dot" w:pos="9016"/>
            </w:tabs>
            <w:spacing w:line="360" w:lineRule="auto"/>
            <w:rPr>
              <w:rFonts w:ascii="Lato" w:eastAsiaTheme="minorEastAsia" w:hAnsi="Lato"/>
              <w:noProof/>
              <w:sz w:val="24"/>
              <w:szCs w:val="24"/>
              <w:lang w:eastAsia="en-AU"/>
            </w:rPr>
          </w:pPr>
          <w:r>
            <w:fldChar w:fldCharType="begin"/>
          </w:r>
          <w:r>
            <w:instrText xml:space="preserve"> TOC \o "1-3" \h \z \u </w:instrText>
          </w:r>
          <w:r>
            <w:fldChar w:fldCharType="separate"/>
          </w:r>
          <w:hyperlink w:anchor="_Toc492538445" w:history="1">
            <w:r w:rsidRPr="00773AF8">
              <w:rPr>
                <w:rStyle w:val="Hyperlink"/>
                <w:rFonts w:ascii="Lato" w:hAnsi="Lato"/>
                <w:noProof/>
                <w:sz w:val="24"/>
                <w:szCs w:val="24"/>
              </w:rPr>
              <w:t>Role and Responsibilities of the Electricity Safety Regulator</w:t>
            </w:r>
            <w:r w:rsidRPr="00773AF8">
              <w:rPr>
                <w:rFonts w:ascii="Lato" w:hAnsi="Lato"/>
                <w:noProof/>
                <w:webHidden/>
                <w:sz w:val="24"/>
                <w:szCs w:val="24"/>
              </w:rPr>
              <w:tab/>
            </w:r>
            <w:r w:rsidRPr="00773AF8">
              <w:rPr>
                <w:rFonts w:ascii="Lato" w:hAnsi="Lato"/>
                <w:noProof/>
                <w:webHidden/>
                <w:sz w:val="24"/>
                <w:szCs w:val="24"/>
              </w:rPr>
              <w:fldChar w:fldCharType="begin"/>
            </w:r>
            <w:r w:rsidRPr="00773AF8">
              <w:rPr>
                <w:rFonts w:ascii="Lato" w:hAnsi="Lato"/>
                <w:noProof/>
                <w:webHidden/>
                <w:sz w:val="24"/>
                <w:szCs w:val="24"/>
              </w:rPr>
              <w:instrText xml:space="preserve"> PAGEREF _Toc492538445 \h </w:instrText>
            </w:r>
            <w:r w:rsidRPr="00773AF8">
              <w:rPr>
                <w:rFonts w:ascii="Lato" w:hAnsi="Lato"/>
                <w:noProof/>
                <w:webHidden/>
                <w:sz w:val="24"/>
                <w:szCs w:val="24"/>
              </w:rPr>
            </w:r>
            <w:r w:rsidRPr="00773AF8">
              <w:rPr>
                <w:rFonts w:ascii="Lato" w:hAnsi="Lato"/>
                <w:noProof/>
                <w:webHidden/>
                <w:sz w:val="24"/>
                <w:szCs w:val="24"/>
              </w:rPr>
              <w:fldChar w:fldCharType="separate"/>
            </w:r>
            <w:r w:rsidRPr="00773AF8">
              <w:rPr>
                <w:rFonts w:ascii="Lato" w:hAnsi="Lato"/>
                <w:noProof/>
                <w:webHidden/>
                <w:sz w:val="24"/>
                <w:szCs w:val="24"/>
              </w:rPr>
              <w:t>3</w:t>
            </w:r>
            <w:r w:rsidRPr="00773AF8">
              <w:rPr>
                <w:rFonts w:ascii="Lato" w:hAnsi="Lato"/>
                <w:noProof/>
                <w:webHidden/>
                <w:sz w:val="24"/>
                <w:szCs w:val="24"/>
              </w:rPr>
              <w:fldChar w:fldCharType="end"/>
            </w:r>
          </w:hyperlink>
        </w:p>
        <w:p w:rsidR="00773AF8" w:rsidRPr="00773AF8" w:rsidRDefault="00F14517" w:rsidP="00773AF8">
          <w:pPr>
            <w:pStyle w:val="TOC1"/>
            <w:tabs>
              <w:tab w:val="right" w:leader="dot" w:pos="9016"/>
            </w:tabs>
            <w:spacing w:line="360" w:lineRule="auto"/>
            <w:rPr>
              <w:rFonts w:ascii="Lato" w:eastAsiaTheme="minorEastAsia" w:hAnsi="Lato"/>
              <w:noProof/>
              <w:sz w:val="24"/>
              <w:szCs w:val="24"/>
              <w:lang w:eastAsia="en-AU"/>
            </w:rPr>
          </w:pPr>
          <w:hyperlink w:anchor="_Toc492538446" w:history="1">
            <w:r w:rsidR="00773AF8" w:rsidRPr="00773AF8">
              <w:rPr>
                <w:rStyle w:val="Hyperlink"/>
                <w:rFonts w:ascii="Lato" w:hAnsi="Lato"/>
                <w:noProof/>
                <w:sz w:val="24"/>
                <w:szCs w:val="24"/>
              </w:rPr>
              <w:t>Electricity Reform (Safety and Technical) Regulations</w:t>
            </w:r>
            <w:r w:rsidR="00773AF8" w:rsidRPr="00773AF8">
              <w:rPr>
                <w:rFonts w:ascii="Lato" w:hAnsi="Lato"/>
                <w:noProof/>
                <w:webHidden/>
                <w:sz w:val="24"/>
                <w:szCs w:val="24"/>
              </w:rPr>
              <w:tab/>
            </w:r>
            <w:r w:rsidR="00773AF8" w:rsidRPr="00773AF8">
              <w:rPr>
                <w:rFonts w:ascii="Lato" w:hAnsi="Lato"/>
                <w:noProof/>
                <w:webHidden/>
                <w:sz w:val="24"/>
                <w:szCs w:val="24"/>
              </w:rPr>
              <w:fldChar w:fldCharType="begin"/>
            </w:r>
            <w:r w:rsidR="00773AF8" w:rsidRPr="00773AF8">
              <w:rPr>
                <w:rFonts w:ascii="Lato" w:hAnsi="Lato"/>
                <w:noProof/>
                <w:webHidden/>
                <w:sz w:val="24"/>
                <w:szCs w:val="24"/>
              </w:rPr>
              <w:instrText xml:space="preserve"> PAGEREF _Toc492538446 \h </w:instrText>
            </w:r>
            <w:r w:rsidR="00773AF8" w:rsidRPr="00773AF8">
              <w:rPr>
                <w:rFonts w:ascii="Lato" w:hAnsi="Lato"/>
                <w:noProof/>
                <w:webHidden/>
                <w:sz w:val="24"/>
                <w:szCs w:val="24"/>
              </w:rPr>
            </w:r>
            <w:r w:rsidR="00773AF8" w:rsidRPr="00773AF8">
              <w:rPr>
                <w:rFonts w:ascii="Lato" w:hAnsi="Lato"/>
                <w:noProof/>
                <w:webHidden/>
                <w:sz w:val="24"/>
                <w:szCs w:val="24"/>
              </w:rPr>
              <w:fldChar w:fldCharType="separate"/>
            </w:r>
            <w:r w:rsidR="00773AF8" w:rsidRPr="00773AF8">
              <w:rPr>
                <w:rFonts w:ascii="Lato" w:hAnsi="Lato"/>
                <w:noProof/>
                <w:webHidden/>
                <w:sz w:val="24"/>
                <w:szCs w:val="24"/>
              </w:rPr>
              <w:t>4</w:t>
            </w:r>
            <w:r w:rsidR="00773AF8" w:rsidRPr="00773AF8">
              <w:rPr>
                <w:rFonts w:ascii="Lato" w:hAnsi="Lato"/>
                <w:noProof/>
                <w:webHidden/>
                <w:sz w:val="24"/>
                <w:szCs w:val="24"/>
              </w:rPr>
              <w:fldChar w:fldCharType="end"/>
            </w:r>
          </w:hyperlink>
        </w:p>
        <w:p w:rsidR="00773AF8" w:rsidRPr="00773AF8" w:rsidRDefault="00F14517" w:rsidP="00773AF8">
          <w:pPr>
            <w:pStyle w:val="TOC1"/>
            <w:tabs>
              <w:tab w:val="right" w:leader="dot" w:pos="9016"/>
            </w:tabs>
            <w:spacing w:line="360" w:lineRule="auto"/>
            <w:rPr>
              <w:rFonts w:ascii="Lato" w:eastAsiaTheme="minorEastAsia" w:hAnsi="Lato"/>
              <w:noProof/>
              <w:sz w:val="24"/>
              <w:szCs w:val="24"/>
              <w:lang w:eastAsia="en-AU"/>
            </w:rPr>
          </w:pPr>
          <w:hyperlink w:anchor="_Toc492538447" w:history="1">
            <w:r w:rsidR="00773AF8" w:rsidRPr="00773AF8">
              <w:rPr>
                <w:rStyle w:val="Hyperlink"/>
                <w:rFonts w:ascii="Lato" w:hAnsi="Lato"/>
                <w:noProof/>
                <w:sz w:val="24"/>
                <w:szCs w:val="24"/>
              </w:rPr>
              <w:t>Work Health and Safety Legislation</w:t>
            </w:r>
            <w:r w:rsidR="00773AF8" w:rsidRPr="00773AF8">
              <w:rPr>
                <w:rFonts w:ascii="Lato" w:hAnsi="Lato"/>
                <w:noProof/>
                <w:webHidden/>
                <w:sz w:val="24"/>
                <w:szCs w:val="24"/>
              </w:rPr>
              <w:tab/>
            </w:r>
            <w:r w:rsidR="00773AF8" w:rsidRPr="00773AF8">
              <w:rPr>
                <w:rFonts w:ascii="Lato" w:hAnsi="Lato"/>
                <w:noProof/>
                <w:webHidden/>
                <w:sz w:val="24"/>
                <w:szCs w:val="24"/>
              </w:rPr>
              <w:fldChar w:fldCharType="begin"/>
            </w:r>
            <w:r w:rsidR="00773AF8" w:rsidRPr="00773AF8">
              <w:rPr>
                <w:rFonts w:ascii="Lato" w:hAnsi="Lato"/>
                <w:noProof/>
                <w:webHidden/>
                <w:sz w:val="24"/>
                <w:szCs w:val="24"/>
              </w:rPr>
              <w:instrText xml:space="preserve"> PAGEREF _Toc492538447 \h </w:instrText>
            </w:r>
            <w:r w:rsidR="00773AF8" w:rsidRPr="00773AF8">
              <w:rPr>
                <w:rFonts w:ascii="Lato" w:hAnsi="Lato"/>
                <w:noProof/>
                <w:webHidden/>
                <w:sz w:val="24"/>
                <w:szCs w:val="24"/>
              </w:rPr>
            </w:r>
            <w:r w:rsidR="00773AF8" w:rsidRPr="00773AF8">
              <w:rPr>
                <w:rFonts w:ascii="Lato" w:hAnsi="Lato"/>
                <w:noProof/>
                <w:webHidden/>
                <w:sz w:val="24"/>
                <w:szCs w:val="24"/>
              </w:rPr>
              <w:fldChar w:fldCharType="separate"/>
            </w:r>
            <w:r w:rsidR="00773AF8" w:rsidRPr="00773AF8">
              <w:rPr>
                <w:rFonts w:ascii="Lato" w:hAnsi="Lato"/>
                <w:noProof/>
                <w:webHidden/>
                <w:sz w:val="24"/>
                <w:szCs w:val="24"/>
              </w:rPr>
              <w:t>4</w:t>
            </w:r>
            <w:r w:rsidR="00773AF8" w:rsidRPr="00773AF8">
              <w:rPr>
                <w:rFonts w:ascii="Lato" w:hAnsi="Lato"/>
                <w:noProof/>
                <w:webHidden/>
                <w:sz w:val="24"/>
                <w:szCs w:val="24"/>
              </w:rPr>
              <w:fldChar w:fldCharType="end"/>
            </w:r>
          </w:hyperlink>
        </w:p>
        <w:p w:rsidR="00773AF8" w:rsidRPr="00773AF8" w:rsidRDefault="00F14517" w:rsidP="00773AF8">
          <w:pPr>
            <w:pStyle w:val="TOC1"/>
            <w:tabs>
              <w:tab w:val="right" w:leader="dot" w:pos="9016"/>
            </w:tabs>
            <w:spacing w:line="360" w:lineRule="auto"/>
            <w:rPr>
              <w:rFonts w:ascii="Lato" w:eastAsiaTheme="minorEastAsia" w:hAnsi="Lato"/>
              <w:noProof/>
              <w:sz w:val="24"/>
              <w:szCs w:val="24"/>
              <w:lang w:eastAsia="en-AU"/>
            </w:rPr>
          </w:pPr>
          <w:hyperlink w:anchor="_Toc492538448" w:history="1">
            <w:r w:rsidR="00773AF8" w:rsidRPr="00773AF8">
              <w:rPr>
                <w:rStyle w:val="Hyperlink"/>
                <w:rFonts w:ascii="Lato" w:hAnsi="Lato"/>
                <w:noProof/>
                <w:sz w:val="24"/>
                <w:szCs w:val="24"/>
              </w:rPr>
              <w:t>Public Awareness and Advice</w:t>
            </w:r>
            <w:r w:rsidR="00773AF8" w:rsidRPr="00773AF8">
              <w:rPr>
                <w:rFonts w:ascii="Lato" w:hAnsi="Lato"/>
                <w:noProof/>
                <w:webHidden/>
                <w:sz w:val="24"/>
                <w:szCs w:val="24"/>
              </w:rPr>
              <w:tab/>
            </w:r>
            <w:r w:rsidR="00773AF8" w:rsidRPr="00773AF8">
              <w:rPr>
                <w:rFonts w:ascii="Lato" w:hAnsi="Lato"/>
                <w:noProof/>
                <w:webHidden/>
                <w:sz w:val="24"/>
                <w:szCs w:val="24"/>
              </w:rPr>
              <w:fldChar w:fldCharType="begin"/>
            </w:r>
            <w:r w:rsidR="00773AF8" w:rsidRPr="00773AF8">
              <w:rPr>
                <w:rFonts w:ascii="Lato" w:hAnsi="Lato"/>
                <w:noProof/>
                <w:webHidden/>
                <w:sz w:val="24"/>
                <w:szCs w:val="24"/>
              </w:rPr>
              <w:instrText xml:space="preserve"> PAGEREF _Toc492538448 \h </w:instrText>
            </w:r>
            <w:r w:rsidR="00773AF8" w:rsidRPr="00773AF8">
              <w:rPr>
                <w:rFonts w:ascii="Lato" w:hAnsi="Lato"/>
                <w:noProof/>
                <w:webHidden/>
                <w:sz w:val="24"/>
                <w:szCs w:val="24"/>
              </w:rPr>
            </w:r>
            <w:r w:rsidR="00773AF8" w:rsidRPr="00773AF8">
              <w:rPr>
                <w:rFonts w:ascii="Lato" w:hAnsi="Lato"/>
                <w:noProof/>
                <w:webHidden/>
                <w:sz w:val="24"/>
                <w:szCs w:val="24"/>
              </w:rPr>
              <w:fldChar w:fldCharType="separate"/>
            </w:r>
            <w:r w:rsidR="00773AF8" w:rsidRPr="00773AF8">
              <w:rPr>
                <w:rFonts w:ascii="Lato" w:hAnsi="Lato"/>
                <w:noProof/>
                <w:webHidden/>
                <w:sz w:val="24"/>
                <w:szCs w:val="24"/>
              </w:rPr>
              <w:t>4</w:t>
            </w:r>
            <w:r w:rsidR="00773AF8" w:rsidRPr="00773AF8">
              <w:rPr>
                <w:rFonts w:ascii="Lato" w:hAnsi="Lato"/>
                <w:noProof/>
                <w:webHidden/>
                <w:sz w:val="24"/>
                <w:szCs w:val="24"/>
              </w:rPr>
              <w:fldChar w:fldCharType="end"/>
            </w:r>
          </w:hyperlink>
        </w:p>
        <w:p w:rsidR="00773AF8" w:rsidRPr="00773AF8" w:rsidRDefault="00F14517" w:rsidP="00773AF8">
          <w:pPr>
            <w:pStyle w:val="TOC2"/>
            <w:tabs>
              <w:tab w:val="right" w:leader="dot" w:pos="9016"/>
            </w:tabs>
            <w:spacing w:line="360" w:lineRule="auto"/>
            <w:rPr>
              <w:rFonts w:ascii="Lato" w:eastAsiaTheme="minorEastAsia" w:hAnsi="Lato"/>
              <w:noProof/>
              <w:sz w:val="24"/>
              <w:szCs w:val="24"/>
              <w:lang w:eastAsia="en-AU"/>
            </w:rPr>
          </w:pPr>
          <w:hyperlink w:anchor="_Toc492538449" w:history="1">
            <w:r w:rsidR="00773AF8" w:rsidRPr="00773AF8">
              <w:rPr>
                <w:rStyle w:val="Hyperlink"/>
                <w:rFonts w:ascii="Lato" w:hAnsi="Lato"/>
                <w:noProof/>
                <w:sz w:val="24"/>
                <w:szCs w:val="24"/>
              </w:rPr>
              <w:t>Safety Alerts</w:t>
            </w:r>
            <w:r w:rsidR="00773AF8" w:rsidRPr="00773AF8">
              <w:rPr>
                <w:rFonts w:ascii="Lato" w:hAnsi="Lato"/>
                <w:noProof/>
                <w:webHidden/>
                <w:sz w:val="24"/>
                <w:szCs w:val="24"/>
              </w:rPr>
              <w:tab/>
            </w:r>
            <w:r w:rsidR="00773AF8" w:rsidRPr="00773AF8">
              <w:rPr>
                <w:rFonts w:ascii="Lato" w:hAnsi="Lato"/>
                <w:noProof/>
                <w:webHidden/>
                <w:sz w:val="24"/>
                <w:szCs w:val="24"/>
              </w:rPr>
              <w:fldChar w:fldCharType="begin"/>
            </w:r>
            <w:r w:rsidR="00773AF8" w:rsidRPr="00773AF8">
              <w:rPr>
                <w:rFonts w:ascii="Lato" w:hAnsi="Lato"/>
                <w:noProof/>
                <w:webHidden/>
                <w:sz w:val="24"/>
                <w:szCs w:val="24"/>
              </w:rPr>
              <w:instrText xml:space="preserve"> PAGEREF _Toc492538449 \h </w:instrText>
            </w:r>
            <w:r w:rsidR="00773AF8" w:rsidRPr="00773AF8">
              <w:rPr>
                <w:rFonts w:ascii="Lato" w:hAnsi="Lato"/>
                <w:noProof/>
                <w:webHidden/>
                <w:sz w:val="24"/>
                <w:szCs w:val="24"/>
              </w:rPr>
            </w:r>
            <w:r w:rsidR="00773AF8" w:rsidRPr="00773AF8">
              <w:rPr>
                <w:rFonts w:ascii="Lato" w:hAnsi="Lato"/>
                <w:noProof/>
                <w:webHidden/>
                <w:sz w:val="24"/>
                <w:szCs w:val="24"/>
              </w:rPr>
              <w:fldChar w:fldCharType="separate"/>
            </w:r>
            <w:r w:rsidR="00773AF8" w:rsidRPr="00773AF8">
              <w:rPr>
                <w:rFonts w:ascii="Lato" w:hAnsi="Lato"/>
                <w:noProof/>
                <w:webHidden/>
                <w:sz w:val="24"/>
                <w:szCs w:val="24"/>
              </w:rPr>
              <w:t>4</w:t>
            </w:r>
            <w:r w:rsidR="00773AF8" w:rsidRPr="00773AF8">
              <w:rPr>
                <w:rFonts w:ascii="Lato" w:hAnsi="Lato"/>
                <w:noProof/>
                <w:webHidden/>
                <w:sz w:val="24"/>
                <w:szCs w:val="24"/>
              </w:rPr>
              <w:fldChar w:fldCharType="end"/>
            </w:r>
          </w:hyperlink>
        </w:p>
        <w:p w:rsidR="00773AF8" w:rsidRPr="00773AF8" w:rsidRDefault="00F14517" w:rsidP="00773AF8">
          <w:pPr>
            <w:pStyle w:val="TOC2"/>
            <w:tabs>
              <w:tab w:val="right" w:leader="dot" w:pos="9016"/>
            </w:tabs>
            <w:spacing w:line="360" w:lineRule="auto"/>
            <w:rPr>
              <w:rFonts w:ascii="Lato" w:eastAsiaTheme="minorEastAsia" w:hAnsi="Lato"/>
              <w:noProof/>
              <w:sz w:val="24"/>
              <w:szCs w:val="24"/>
              <w:lang w:eastAsia="en-AU"/>
            </w:rPr>
          </w:pPr>
          <w:hyperlink w:anchor="_Toc492538450" w:history="1">
            <w:r w:rsidR="00773AF8" w:rsidRPr="00773AF8">
              <w:rPr>
                <w:rStyle w:val="Hyperlink"/>
                <w:rFonts w:ascii="Lato" w:hAnsi="Lato"/>
                <w:noProof/>
                <w:sz w:val="24"/>
                <w:szCs w:val="24"/>
              </w:rPr>
              <w:t>Bulletins</w:t>
            </w:r>
            <w:r w:rsidR="00773AF8" w:rsidRPr="00773AF8">
              <w:rPr>
                <w:rFonts w:ascii="Lato" w:hAnsi="Lato"/>
                <w:noProof/>
                <w:webHidden/>
                <w:sz w:val="24"/>
                <w:szCs w:val="24"/>
              </w:rPr>
              <w:tab/>
            </w:r>
            <w:r w:rsidR="00773AF8" w:rsidRPr="00773AF8">
              <w:rPr>
                <w:rFonts w:ascii="Lato" w:hAnsi="Lato"/>
                <w:noProof/>
                <w:webHidden/>
                <w:sz w:val="24"/>
                <w:szCs w:val="24"/>
              </w:rPr>
              <w:fldChar w:fldCharType="begin"/>
            </w:r>
            <w:r w:rsidR="00773AF8" w:rsidRPr="00773AF8">
              <w:rPr>
                <w:rFonts w:ascii="Lato" w:hAnsi="Lato"/>
                <w:noProof/>
                <w:webHidden/>
                <w:sz w:val="24"/>
                <w:szCs w:val="24"/>
              </w:rPr>
              <w:instrText xml:space="preserve"> PAGEREF _Toc492538450 \h </w:instrText>
            </w:r>
            <w:r w:rsidR="00773AF8" w:rsidRPr="00773AF8">
              <w:rPr>
                <w:rFonts w:ascii="Lato" w:hAnsi="Lato"/>
                <w:noProof/>
                <w:webHidden/>
                <w:sz w:val="24"/>
                <w:szCs w:val="24"/>
              </w:rPr>
            </w:r>
            <w:r w:rsidR="00773AF8" w:rsidRPr="00773AF8">
              <w:rPr>
                <w:rFonts w:ascii="Lato" w:hAnsi="Lato"/>
                <w:noProof/>
                <w:webHidden/>
                <w:sz w:val="24"/>
                <w:szCs w:val="24"/>
              </w:rPr>
              <w:fldChar w:fldCharType="separate"/>
            </w:r>
            <w:r w:rsidR="00773AF8" w:rsidRPr="00773AF8">
              <w:rPr>
                <w:rFonts w:ascii="Lato" w:hAnsi="Lato"/>
                <w:noProof/>
                <w:webHidden/>
                <w:sz w:val="24"/>
                <w:szCs w:val="24"/>
              </w:rPr>
              <w:t>5</w:t>
            </w:r>
            <w:r w:rsidR="00773AF8" w:rsidRPr="00773AF8">
              <w:rPr>
                <w:rFonts w:ascii="Lato" w:hAnsi="Lato"/>
                <w:noProof/>
                <w:webHidden/>
                <w:sz w:val="24"/>
                <w:szCs w:val="24"/>
              </w:rPr>
              <w:fldChar w:fldCharType="end"/>
            </w:r>
          </w:hyperlink>
        </w:p>
        <w:p w:rsidR="00773AF8" w:rsidRPr="00773AF8" w:rsidRDefault="00F14517" w:rsidP="00773AF8">
          <w:pPr>
            <w:pStyle w:val="TOC1"/>
            <w:tabs>
              <w:tab w:val="right" w:leader="dot" w:pos="9016"/>
            </w:tabs>
            <w:spacing w:line="360" w:lineRule="auto"/>
            <w:rPr>
              <w:rFonts w:ascii="Lato" w:eastAsiaTheme="minorEastAsia" w:hAnsi="Lato"/>
              <w:noProof/>
              <w:sz w:val="24"/>
              <w:szCs w:val="24"/>
              <w:lang w:eastAsia="en-AU"/>
            </w:rPr>
          </w:pPr>
          <w:hyperlink w:anchor="_Toc492538451" w:history="1">
            <w:r w:rsidR="00773AF8" w:rsidRPr="00773AF8">
              <w:rPr>
                <w:rStyle w:val="Hyperlink"/>
                <w:rFonts w:ascii="Lato" w:hAnsi="Lato"/>
                <w:noProof/>
                <w:sz w:val="24"/>
                <w:szCs w:val="24"/>
              </w:rPr>
              <w:t>Activities of the Electricity Safety Regulator for 2016-2017</w:t>
            </w:r>
            <w:r w:rsidR="00773AF8" w:rsidRPr="00773AF8">
              <w:rPr>
                <w:rFonts w:ascii="Lato" w:hAnsi="Lato"/>
                <w:noProof/>
                <w:webHidden/>
                <w:sz w:val="24"/>
                <w:szCs w:val="24"/>
              </w:rPr>
              <w:tab/>
            </w:r>
            <w:r w:rsidR="00773AF8" w:rsidRPr="00773AF8">
              <w:rPr>
                <w:rFonts w:ascii="Lato" w:hAnsi="Lato"/>
                <w:noProof/>
                <w:webHidden/>
                <w:sz w:val="24"/>
                <w:szCs w:val="24"/>
              </w:rPr>
              <w:fldChar w:fldCharType="begin"/>
            </w:r>
            <w:r w:rsidR="00773AF8" w:rsidRPr="00773AF8">
              <w:rPr>
                <w:rFonts w:ascii="Lato" w:hAnsi="Lato"/>
                <w:noProof/>
                <w:webHidden/>
                <w:sz w:val="24"/>
                <w:szCs w:val="24"/>
              </w:rPr>
              <w:instrText xml:space="preserve"> PAGEREF _Toc492538451 \h </w:instrText>
            </w:r>
            <w:r w:rsidR="00773AF8" w:rsidRPr="00773AF8">
              <w:rPr>
                <w:rFonts w:ascii="Lato" w:hAnsi="Lato"/>
                <w:noProof/>
                <w:webHidden/>
                <w:sz w:val="24"/>
                <w:szCs w:val="24"/>
              </w:rPr>
            </w:r>
            <w:r w:rsidR="00773AF8" w:rsidRPr="00773AF8">
              <w:rPr>
                <w:rFonts w:ascii="Lato" w:hAnsi="Lato"/>
                <w:noProof/>
                <w:webHidden/>
                <w:sz w:val="24"/>
                <w:szCs w:val="24"/>
              </w:rPr>
              <w:fldChar w:fldCharType="separate"/>
            </w:r>
            <w:r w:rsidR="00773AF8" w:rsidRPr="00773AF8">
              <w:rPr>
                <w:rFonts w:ascii="Lato" w:hAnsi="Lato"/>
                <w:noProof/>
                <w:webHidden/>
                <w:sz w:val="24"/>
                <w:szCs w:val="24"/>
              </w:rPr>
              <w:t>6</w:t>
            </w:r>
            <w:r w:rsidR="00773AF8" w:rsidRPr="00773AF8">
              <w:rPr>
                <w:rFonts w:ascii="Lato" w:hAnsi="Lato"/>
                <w:noProof/>
                <w:webHidden/>
                <w:sz w:val="24"/>
                <w:szCs w:val="24"/>
              </w:rPr>
              <w:fldChar w:fldCharType="end"/>
            </w:r>
          </w:hyperlink>
        </w:p>
        <w:p w:rsidR="00773AF8" w:rsidRDefault="00773AF8" w:rsidP="00773AF8">
          <w:pPr>
            <w:spacing w:line="360" w:lineRule="auto"/>
          </w:pPr>
          <w:r>
            <w:rPr>
              <w:b/>
              <w:bCs/>
              <w:noProof/>
            </w:rPr>
            <w:fldChar w:fldCharType="end"/>
          </w:r>
        </w:p>
      </w:sdtContent>
    </w:sdt>
    <w:p w:rsidR="00773AF8" w:rsidRDefault="00773AF8">
      <w:pPr>
        <w:rPr>
          <w:rFonts w:ascii="Lato Black" w:eastAsiaTheme="majorEastAsia" w:hAnsi="Lato Black" w:cstheme="majorBidi"/>
          <w:bCs/>
          <w:kern w:val="32"/>
          <w:sz w:val="32"/>
          <w:szCs w:val="32"/>
          <w:lang w:eastAsia="en-AU"/>
        </w:rPr>
      </w:pPr>
      <w:r>
        <w:br w:type="page"/>
      </w:r>
    </w:p>
    <w:p w:rsidR="008941F1" w:rsidRPr="00F303AD" w:rsidRDefault="00DE0F82" w:rsidP="008941F1">
      <w:pPr>
        <w:pStyle w:val="Heading1"/>
      </w:pPr>
      <w:bookmarkStart w:id="1" w:name="_Toc492538445"/>
      <w:r>
        <w:lastRenderedPageBreak/>
        <w:t>Role and Re</w:t>
      </w:r>
      <w:r w:rsidR="00356CE3">
        <w:t>sponsibilities of the Electricity</w:t>
      </w:r>
      <w:r>
        <w:t xml:space="preserve"> Safety Regulator</w:t>
      </w:r>
      <w:bookmarkEnd w:id="1"/>
    </w:p>
    <w:p w:rsidR="00DE0F82" w:rsidRPr="004E41BE" w:rsidRDefault="00DE0F82" w:rsidP="00356CE3">
      <w:pPr>
        <w:spacing w:after="240" w:line="360" w:lineRule="auto"/>
        <w:rPr>
          <w:rFonts w:ascii="Lato" w:hAnsi="Lato"/>
          <w:sz w:val="24"/>
          <w:szCs w:val="24"/>
        </w:rPr>
      </w:pPr>
      <w:r w:rsidRPr="004E41BE">
        <w:rPr>
          <w:rFonts w:ascii="Lato" w:hAnsi="Lato"/>
          <w:sz w:val="24"/>
          <w:szCs w:val="24"/>
        </w:rPr>
        <w:t xml:space="preserve">The role of the Electricity Safety Regulator was established by the introduction of the </w:t>
      </w:r>
      <w:r w:rsidRPr="005A3DC7">
        <w:rPr>
          <w:rFonts w:ascii="Lato" w:hAnsi="Lato"/>
          <w:i/>
          <w:sz w:val="24"/>
          <w:szCs w:val="24"/>
        </w:rPr>
        <w:t>Electricity Reform Act</w:t>
      </w:r>
      <w:r w:rsidRPr="004E41BE">
        <w:rPr>
          <w:rFonts w:ascii="Lato" w:hAnsi="Lato"/>
          <w:sz w:val="24"/>
          <w:szCs w:val="24"/>
        </w:rPr>
        <w:t xml:space="preserve">, which came into force on 1 April 2000. </w:t>
      </w:r>
    </w:p>
    <w:p w:rsidR="00DE0F82" w:rsidRPr="004E41BE" w:rsidRDefault="00DE0F82" w:rsidP="00356CE3">
      <w:pPr>
        <w:spacing w:after="240" w:line="360" w:lineRule="auto"/>
        <w:rPr>
          <w:rFonts w:ascii="Lato" w:hAnsi="Lato"/>
          <w:sz w:val="24"/>
          <w:szCs w:val="24"/>
        </w:rPr>
      </w:pPr>
      <w:r w:rsidRPr="004E41BE">
        <w:rPr>
          <w:rFonts w:ascii="Lato" w:hAnsi="Lato"/>
          <w:sz w:val="24"/>
          <w:szCs w:val="24"/>
        </w:rPr>
        <w:t xml:space="preserve">The Electricity Safety Regulator is responsible for monitoring and regulating electrical safety and technical standards from the point of network connection at the premises to the outlet. </w:t>
      </w:r>
      <w:r w:rsidR="005A3DC7">
        <w:rPr>
          <w:rFonts w:ascii="Lato" w:hAnsi="Lato"/>
          <w:sz w:val="24"/>
          <w:szCs w:val="24"/>
        </w:rPr>
        <w:t>Following the 2016 Northern Territory General Election, t</w:t>
      </w:r>
      <w:r w:rsidRPr="005A3DC7">
        <w:rPr>
          <w:rFonts w:ascii="Lato" w:hAnsi="Lato"/>
          <w:sz w:val="24"/>
          <w:szCs w:val="24"/>
        </w:rPr>
        <w:t>he</w:t>
      </w:r>
      <w:r w:rsidR="00356CE3" w:rsidRPr="005A3DC7">
        <w:rPr>
          <w:rFonts w:ascii="Lato" w:hAnsi="Lato"/>
          <w:sz w:val="24"/>
          <w:szCs w:val="24"/>
        </w:rPr>
        <w:t xml:space="preserve"> Attorney-General and Minister for Justice</w:t>
      </w:r>
      <w:r w:rsidRPr="005A3DC7">
        <w:rPr>
          <w:rFonts w:ascii="Lato" w:hAnsi="Lato"/>
          <w:sz w:val="24"/>
          <w:szCs w:val="24"/>
        </w:rPr>
        <w:t xml:space="preserve"> was responsible for the </w:t>
      </w:r>
      <w:r w:rsidRPr="005A3DC7">
        <w:rPr>
          <w:rFonts w:ascii="Lato" w:hAnsi="Lato"/>
          <w:i/>
          <w:sz w:val="24"/>
          <w:szCs w:val="24"/>
        </w:rPr>
        <w:t>Electricity Reform Act</w:t>
      </w:r>
      <w:r w:rsidRPr="005A3DC7">
        <w:rPr>
          <w:rFonts w:ascii="Lato" w:hAnsi="Lato"/>
          <w:sz w:val="24"/>
          <w:szCs w:val="24"/>
        </w:rPr>
        <w:t xml:space="preserve">, in so far as it relates to safety regulation, </w:t>
      </w:r>
      <w:r w:rsidR="005A3DC7" w:rsidRPr="005A3DC7">
        <w:rPr>
          <w:rFonts w:ascii="Lato" w:hAnsi="Lato"/>
          <w:sz w:val="24"/>
          <w:szCs w:val="24"/>
        </w:rPr>
        <w:t xml:space="preserve">from the commencement of the </w:t>
      </w:r>
      <w:r w:rsidR="002623E3" w:rsidRPr="005A3DC7">
        <w:rPr>
          <w:rFonts w:ascii="Lato" w:hAnsi="Lato"/>
          <w:sz w:val="24"/>
          <w:szCs w:val="24"/>
        </w:rPr>
        <w:t>Administrative Arrangements Order</w:t>
      </w:r>
      <w:r w:rsidR="005A3DC7" w:rsidRPr="005A3DC7">
        <w:rPr>
          <w:rFonts w:ascii="Lato" w:hAnsi="Lato"/>
          <w:sz w:val="24"/>
          <w:szCs w:val="24"/>
        </w:rPr>
        <w:t xml:space="preserve"> made on 12 September 2016</w:t>
      </w:r>
      <w:r w:rsidRPr="005A3DC7">
        <w:rPr>
          <w:rFonts w:ascii="Lato" w:hAnsi="Lato"/>
          <w:sz w:val="24"/>
          <w:szCs w:val="24"/>
        </w:rPr>
        <w:t>. The Minister was also responsible for appointing the Electricity Safety Regulator.</w:t>
      </w:r>
    </w:p>
    <w:p w:rsidR="00DE0F82" w:rsidRPr="004E41BE" w:rsidRDefault="00DE0F82" w:rsidP="00356CE3">
      <w:pPr>
        <w:spacing w:after="240" w:line="360" w:lineRule="auto"/>
        <w:rPr>
          <w:rFonts w:ascii="Lato" w:hAnsi="Lato"/>
          <w:sz w:val="24"/>
          <w:szCs w:val="24"/>
        </w:rPr>
      </w:pPr>
      <w:r w:rsidRPr="004E41BE">
        <w:rPr>
          <w:rFonts w:ascii="Lato" w:hAnsi="Lato"/>
          <w:sz w:val="24"/>
          <w:szCs w:val="24"/>
        </w:rPr>
        <w:t xml:space="preserve">Section 8 of the </w:t>
      </w:r>
      <w:r w:rsidRPr="005A3DC7">
        <w:rPr>
          <w:rFonts w:ascii="Lato" w:hAnsi="Lato"/>
          <w:i/>
          <w:sz w:val="24"/>
          <w:szCs w:val="24"/>
        </w:rPr>
        <w:t>Electricity Reform Act</w:t>
      </w:r>
      <w:r w:rsidRPr="004E41BE">
        <w:rPr>
          <w:rFonts w:ascii="Lato" w:hAnsi="Lato"/>
          <w:sz w:val="24"/>
          <w:szCs w:val="24"/>
        </w:rPr>
        <w:t xml:space="preserve"> provides:</w:t>
      </w:r>
    </w:p>
    <w:p w:rsidR="005A3DC7" w:rsidRPr="005A3DC7" w:rsidRDefault="005A3DC7" w:rsidP="005A3DC7">
      <w:pPr>
        <w:pStyle w:val="ListParagraph"/>
        <w:numPr>
          <w:ilvl w:val="0"/>
          <w:numId w:val="4"/>
        </w:numPr>
        <w:spacing w:after="240" w:line="360" w:lineRule="auto"/>
        <w:ind w:hanging="357"/>
        <w:contextualSpacing w:val="0"/>
        <w:rPr>
          <w:sz w:val="24"/>
          <w:szCs w:val="24"/>
        </w:rPr>
      </w:pPr>
      <w:r>
        <w:rPr>
          <w:sz w:val="24"/>
          <w:szCs w:val="24"/>
        </w:rPr>
        <w:t>The Electricity Safety R</w:t>
      </w:r>
      <w:r w:rsidR="00DE0F82" w:rsidRPr="005A3DC7">
        <w:rPr>
          <w:sz w:val="24"/>
          <w:szCs w:val="24"/>
        </w:rPr>
        <w:t xml:space="preserve">egulator has the following functions: </w:t>
      </w:r>
    </w:p>
    <w:p w:rsidR="005A3DC7" w:rsidRDefault="00DE0F82" w:rsidP="005A3DC7">
      <w:pPr>
        <w:pStyle w:val="ListParagraph"/>
        <w:numPr>
          <w:ilvl w:val="1"/>
          <w:numId w:val="4"/>
        </w:numPr>
        <w:spacing w:after="240" w:line="360" w:lineRule="auto"/>
        <w:ind w:hanging="357"/>
        <w:contextualSpacing w:val="0"/>
        <w:rPr>
          <w:sz w:val="24"/>
          <w:szCs w:val="24"/>
        </w:rPr>
      </w:pPr>
      <w:r w:rsidRPr="005A3DC7">
        <w:rPr>
          <w:sz w:val="24"/>
          <w:szCs w:val="24"/>
        </w:rPr>
        <w:t xml:space="preserve">to monitor and regulate safety and technical standards with respect to electrical installations; </w:t>
      </w:r>
    </w:p>
    <w:p w:rsidR="005A3DC7" w:rsidRDefault="00DE0F82" w:rsidP="005A3DC7">
      <w:pPr>
        <w:pStyle w:val="ListParagraph"/>
        <w:numPr>
          <w:ilvl w:val="1"/>
          <w:numId w:val="4"/>
        </w:numPr>
        <w:spacing w:after="240" w:line="360" w:lineRule="auto"/>
        <w:ind w:hanging="357"/>
        <w:contextualSpacing w:val="0"/>
        <w:rPr>
          <w:sz w:val="24"/>
          <w:szCs w:val="24"/>
        </w:rPr>
      </w:pPr>
      <w:proofErr w:type="gramStart"/>
      <w:r w:rsidRPr="005A3DC7">
        <w:rPr>
          <w:sz w:val="24"/>
          <w:szCs w:val="24"/>
        </w:rPr>
        <w:t>to</w:t>
      </w:r>
      <w:proofErr w:type="gramEnd"/>
      <w:r w:rsidRPr="005A3DC7">
        <w:rPr>
          <w:sz w:val="24"/>
          <w:szCs w:val="24"/>
        </w:rPr>
        <w:t xml:space="preserve"> perform any o</w:t>
      </w:r>
      <w:r w:rsidR="005A3DC7">
        <w:rPr>
          <w:sz w:val="24"/>
          <w:szCs w:val="24"/>
        </w:rPr>
        <w:t>ther functions assigned to the Electricity Safety R</w:t>
      </w:r>
      <w:r w:rsidRPr="005A3DC7">
        <w:rPr>
          <w:sz w:val="24"/>
          <w:szCs w:val="24"/>
        </w:rPr>
        <w:t>egulator under this Act.</w:t>
      </w:r>
    </w:p>
    <w:p w:rsidR="00DE0F82" w:rsidRPr="005A3DC7" w:rsidRDefault="005A3DC7" w:rsidP="005A3DC7">
      <w:pPr>
        <w:pStyle w:val="ListParagraph"/>
        <w:numPr>
          <w:ilvl w:val="0"/>
          <w:numId w:val="4"/>
        </w:numPr>
        <w:spacing w:after="240" w:line="360" w:lineRule="auto"/>
        <w:ind w:hanging="357"/>
        <w:contextualSpacing w:val="0"/>
        <w:rPr>
          <w:sz w:val="24"/>
          <w:szCs w:val="24"/>
        </w:rPr>
      </w:pPr>
      <w:r>
        <w:rPr>
          <w:sz w:val="24"/>
          <w:szCs w:val="24"/>
        </w:rPr>
        <w:t>The Electricity Safety R</w:t>
      </w:r>
      <w:r w:rsidR="00DE0F82" w:rsidRPr="005A3DC7">
        <w:rPr>
          <w:sz w:val="24"/>
          <w:szCs w:val="24"/>
        </w:rPr>
        <w:t>egulator has the power to do all things that are necessary or convenient to be done for or in connection with or incidental to the performance of his or her functions.</w:t>
      </w:r>
    </w:p>
    <w:p w:rsidR="00DE0F82" w:rsidRPr="004E41BE" w:rsidRDefault="00DE0F82" w:rsidP="00356CE3">
      <w:pPr>
        <w:spacing w:after="240" w:line="360" w:lineRule="auto"/>
        <w:rPr>
          <w:rFonts w:ascii="Lato" w:hAnsi="Lato"/>
          <w:sz w:val="24"/>
          <w:szCs w:val="24"/>
        </w:rPr>
      </w:pPr>
      <w:r w:rsidRPr="004E41BE">
        <w:rPr>
          <w:rFonts w:ascii="Lato" w:hAnsi="Lato"/>
          <w:sz w:val="24"/>
          <w:szCs w:val="24"/>
        </w:rPr>
        <w:t xml:space="preserve">The Electricity Safety Regulator also provides advice and assistance to licenced electrical workers as well as individual home owners, occupiers and persons conducting a business or undertaking. </w:t>
      </w:r>
    </w:p>
    <w:p w:rsidR="00DE0F82" w:rsidRPr="004E41BE" w:rsidRDefault="00DE0F82" w:rsidP="00356CE3">
      <w:pPr>
        <w:spacing w:after="240" w:line="360" w:lineRule="auto"/>
        <w:rPr>
          <w:rFonts w:ascii="Lato" w:hAnsi="Lato"/>
          <w:sz w:val="24"/>
          <w:szCs w:val="24"/>
        </w:rPr>
      </w:pPr>
      <w:r w:rsidRPr="004E41BE">
        <w:rPr>
          <w:rFonts w:ascii="Lato" w:hAnsi="Lato"/>
          <w:sz w:val="24"/>
          <w:szCs w:val="24"/>
        </w:rPr>
        <w:t>From time to time, the El</w:t>
      </w:r>
      <w:r w:rsidR="00A524AE">
        <w:rPr>
          <w:rFonts w:ascii="Lato" w:hAnsi="Lato"/>
          <w:sz w:val="24"/>
          <w:szCs w:val="24"/>
        </w:rPr>
        <w:t xml:space="preserve">ectricity Safety Regulator </w:t>
      </w:r>
      <w:r w:rsidRPr="004E41BE">
        <w:rPr>
          <w:rFonts w:ascii="Lato" w:hAnsi="Lato"/>
          <w:sz w:val="24"/>
          <w:szCs w:val="24"/>
        </w:rPr>
        <w:t>offers a general electrical safety advisory service with respect to:</w:t>
      </w:r>
    </w:p>
    <w:p w:rsidR="00DE0F82" w:rsidRPr="004E41BE" w:rsidRDefault="00DE0F82" w:rsidP="00A524AE">
      <w:pPr>
        <w:spacing w:after="60" w:line="360" w:lineRule="auto"/>
        <w:rPr>
          <w:rFonts w:ascii="Lato" w:hAnsi="Lato"/>
          <w:sz w:val="24"/>
          <w:szCs w:val="24"/>
        </w:rPr>
      </w:pPr>
      <w:r w:rsidRPr="004E41BE">
        <w:rPr>
          <w:rFonts w:ascii="Lato" w:hAnsi="Lato"/>
          <w:sz w:val="24"/>
          <w:szCs w:val="24"/>
        </w:rPr>
        <w:t>•</w:t>
      </w:r>
      <w:r w:rsidRPr="004E41BE">
        <w:rPr>
          <w:rFonts w:ascii="Lato" w:hAnsi="Lato"/>
          <w:sz w:val="24"/>
          <w:szCs w:val="24"/>
        </w:rPr>
        <w:tab/>
        <w:t>national performance standards for appliances and equipment;</w:t>
      </w:r>
    </w:p>
    <w:p w:rsidR="00DE0F82" w:rsidRPr="004E41BE" w:rsidRDefault="00DE0F82" w:rsidP="00A524AE">
      <w:pPr>
        <w:spacing w:after="60" w:line="360" w:lineRule="auto"/>
        <w:rPr>
          <w:rFonts w:ascii="Lato" w:hAnsi="Lato"/>
          <w:sz w:val="24"/>
          <w:szCs w:val="24"/>
        </w:rPr>
      </w:pPr>
      <w:r w:rsidRPr="004E41BE">
        <w:rPr>
          <w:rFonts w:ascii="Lato" w:hAnsi="Lato"/>
          <w:sz w:val="24"/>
          <w:szCs w:val="24"/>
        </w:rPr>
        <w:t>•</w:t>
      </w:r>
      <w:r w:rsidRPr="004E41BE">
        <w:rPr>
          <w:rFonts w:ascii="Lato" w:hAnsi="Lato"/>
          <w:sz w:val="24"/>
          <w:szCs w:val="24"/>
        </w:rPr>
        <w:tab/>
        <w:t xml:space="preserve">input into training courses involving regulation and standards for electrical </w:t>
      </w:r>
      <w:r w:rsidR="004E41BE">
        <w:rPr>
          <w:rFonts w:ascii="Lato" w:hAnsi="Lato"/>
          <w:sz w:val="24"/>
          <w:szCs w:val="24"/>
        </w:rPr>
        <w:tab/>
      </w:r>
      <w:r w:rsidRPr="004E41BE">
        <w:rPr>
          <w:rFonts w:ascii="Lato" w:hAnsi="Lato"/>
          <w:sz w:val="24"/>
          <w:szCs w:val="24"/>
        </w:rPr>
        <w:t>work; and</w:t>
      </w:r>
    </w:p>
    <w:p w:rsidR="00773AF8" w:rsidRDefault="00DE0F82" w:rsidP="00773AF8">
      <w:pPr>
        <w:spacing w:after="120" w:line="360" w:lineRule="auto"/>
      </w:pPr>
      <w:r w:rsidRPr="004E41BE">
        <w:rPr>
          <w:rFonts w:ascii="Lato" w:hAnsi="Lato"/>
          <w:sz w:val="24"/>
          <w:szCs w:val="24"/>
        </w:rPr>
        <w:t>•</w:t>
      </w:r>
      <w:r w:rsidRPr="004E41BE">
        <w:rPr>
          <w:rFonts w:ascii="Lato" w:hAnsi="Lato"/>
          <w:sz w:val="24"/>
          <w:szCs w:val="24"/>
        </w:rPr>
        <w:tab/>
      </w:r>
      <w:proofErr w:type="gramStart"/>
      <w:r w:rsidRPr="004E41BE">
        <w:rPr>
          <w:rFonts w:ascii="Lato" w:hAnsi="Lato"/>
          <w:sz w:val="24"/>
          <w:szCs w:val="24"/>
        </w:rPr>
        <w:t>representation</w:t>
      </w:r>
      <w:proofErr w:type="gramEnd"/>
      <w:r w:rsidRPr="004E41BE">
        <w:rPr>
          <w:rFonts w:ascii="Lato" w:hAnsi="Lato"/>
          <w:sz w:val="24"/>
          <w:szCs w:val="24"/>
        </w:rPr>
        <w:t xml:space="preserve"> on the Electrical Regulatory Authorities Council.</w:t>
      </w:r>
      <w:r w:rsidR="00773AF8">
        <w:br w:type="page"/>
      </w:r>
    </w:p>
    <w:p w:rsidR="00DE0F82" w:rsidRDefault="00DE0F82" w:rsidP="00DE0F82">
      <w:pPr>
        <w:pStyle w:val="Heading1"/>
      </w:pPr>
      <w:bookmarkStart w:id="2" w:name="_Toc492538446"/>
      <w:r>
        <w:lastRenderedPageBreak/>
        <w:t>Electricity Reform (Safety and Technical) Regulations</w:t>
      </w:r>
      <w:bookmarkEnd w:id="2"/>
    </w:p>
    <w:p w:rsidR="00DE0F82" w:rsidRPr="004E41BE"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The Electricity Reform (Safety and Technical) Regulations provide for the installation, testing and certification of electrical work carried out. Electrical contractors are required to:</w:t>
      </w:r>
    </w:p>
    <w:p w:rsidR="00DE0F82" w:rsidRPr="004E41BE" w:rsidRDefault="00DE0F82" w:rsidP="00A524AE">
      <w:pPr>
        <w:spacing w:after="60" w:line="360" w:lineRule="auto"/>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consult with their customers;</w:t>
      </w:r>
    </w:p>
    <w:p w:rsidR="00DE0F82" w:rsidRPr="004E41BE" w:rsidRDefault="00DE0F82" w:rsidP="00A524AE">
      <w:pPr>
        <w:spacing w:after="60" w:line="360" w:lineRule="auto"/>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provide an electrical installation that is fit for purpose;</w:t>
      </w:r>
    </w:p>
    <w:p w:rsidR="00DE0F82" w:rsidRPr="004E41BE" w:rsidRDefault="00DE0F82" w:rsidP="00A524AE">
      <w:pPr>
        <w:spacing w:after="60" w:line="360" w:lineRule="auto"/>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test the electrical installation to ensure it is safe to use; and</w:t>
      </w:r>
    </w:p>
    <w:p w:rsidR="00DE0F82" w:rsidRPr="004E41BE"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 xml:space="preserve">provide their customers with a Certificate of Compliance for the work </w:t>
      </w:r>
      <w:r w:rsidR="004E41BE">
        <w:rPr>
          <w:rFonts w:ascii="Lato" w:hAnsi="Lato"/>
          <w:sz w:val="24"/>
          <w:szCs w:val="24"/>
          <w:lang w:eastAsia="en-AU"/>
        </w:rPr>
        <w:tab/>
      </w:r>
      <w:r w:rsidRPr="004E41BE">
        <w:rPr>
          <w:rFonts w:ascii="Lato" w:hAnsi="Lato"/>
          <w:sz w:val="24"/>
          <w:szCs w:val="24"/>
          <w:lang w:eastAsia="en-AU"/>
        </w:rPr>
        <w:t>performed.</w:t>
      </w:r>
    </w:p>
    <w:p w:rsidR="00DE0F82" w:rsidRPr="004E41BE"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The Regulations include safe work practices to assist employers and safeguard electrical workers. Additionally, provisions are made for other persons to work or operate safely in proximity to electrical infrastructure.</w:t>
      </w:r>
    </w:p>
    <w:p w:rsidR="00DE0F82" w:rsidRDefault="00DE0F82" w:rsidP="00DE0F82">
      <w:pPr>
        <w:pStyle w:val="Heading1"/>
      </w:pPr>
      <w:bookmarkStart w:id="3" w:name="_Toc492538447"/>
      <w:r>
        <w:t xml:space="preserve">Work Health and Safety </w:t>
      </w:r>
      <w:r w:rsidR="00A524AE">
        <w:t>Legislation</w:t>
      </w:r>
      <w:bookmarkEnd w:id="3"/>
    </w:p>
    <w:p w:rsidR="00DE0F82" w:rsidRPr="004E41BE"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 xml:space="preserve">On 1 January 2012, the </w:t>
      </w:r>
      <w:r w:rsidRPr="004E41BE">
        <w:rPr>
          <w:rFonts w:ascii="Lato" w:hAnsi="Lato"/>
          <w:i/>
          <w:sz w:val="24"/>
          <w:szCs w:val="24"/>
          <w:lang w:eastAsia="en-AU"/>
        </w:rPr>
        <w:t>Work Health and Safety (National Uniform Legislation) Act</w:t>
      </w:r>
      <w:r w:rsidRPr="004E41BE">
        <w:rPr>
          <w:rFonts w:ascii="Lato" w:hAnsi="Lato"/>
          <w:sz w:val="24"/>
          <w:szCs w:val="24"/>
          <w:lang w:eastAsia="en-AU"/>
        </w:rPr>
        <w:t xml:space="preserve"> and Regulations commenced in the Northern Territory. Part 4.7 of the Regulations – General electrical safety in workplaces and energised electrical work, addresses electrical safety in the workplace.</w:t>
      </w:r>
    </w:p>
    <w:p w:rsidR="00DE0F82" w:rsidRPr="004E41BE"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 xml:space="preserve">The Electricity Safety Regulator has directed that where Inspectors encounter a direct conflict between the two laws, the </w:t>
      </w:r>
      <w:r w:rsidRPr="00A524AE">
        <w:rPr>
          <w:rFonts w:ascii="Lato" w:hAnsi="Lato"/>
          <w:i/>
          <w:sz w:val="24"/>
          <w:szCs w:val="24"/>
          <w:lang w:eastAsia="en-AU"/>
        </w:rPr>
        <w:t>Electricity Reform Act</w:t>
      </w:r>
      <w:r w:rsidRPr="004E41BE">
        <w:rPr>
          <w:rFonts w:ascii="Lato" w:hAnsi="Lato"/>
          <w:sz w:val="24"/>
          <w:szCs w:val="24"/>
          <w:lang w:eastAsia="en-AU"/>
        </w:rPr>
        <w:t xml:space="preserve"> and Regulations will apply to technical non-compliance, and the </w:t>
      </w:r>
      <w:r w:rsidR="00A524AE">
        <w:rPr>
          <w:rFonts w:ascii="Lato" w:hAnsi="Lato"/>
          <w:i/>
          <w:sz w:val="24"/>
          <w:szCs w:val="24"/>
          <w:lang w:eastAsia="en-AU"/>
        </w:rPr>
        <w:t>Work Health and Safety</w:t>
      </w:r>
      <w:r w:rsidRPr="004E41BE">
        <w:rPr>
          <w:rFonts w:ascii="Lato" w:hAnsi="Lato"/>
          <w:i/>
          <w:sz w:val="24"/>
          <w:szCs w:val="24"/>
          <w:lang w:eastAsia="en-AU"/>
        </w:rPr>
        <w:t xml:space="preserve"> (N</w:t>
      </w:r>
      <w:r w:rsidR="00A524AE">
        <w:rPr>
          <w:rFonts w:ascii="Lato" w:hAnsi="Lato"/>
          <w:i/>
          <w:sz w:val="24"/>
          <w:szCs w:val="24"/>
          <w:lang w:eastAsia="en-AU"/>
        </w:rPr>
        <w:t xml:space="preserve">ational </w:t>
      </w:r>
      <w:r w:rsidRPr="004E41BE">
        <w:rPr>
          <w:rFonts w:ascii="Lato" w:hAnsi="Lato"/>
          <w:i/>
          <w:sz w:val="24"/>
          <w:szCs w:val="24"/>
          <w:lang w:eastAsia="en-AU"/>
        </w:rPr>
        <w:t>U</w:t>
      </w:r>
      <w:r w:rsidR="00A524AE">
        <w:rPr>
          <w:rFonts w:ascii="Lato" w:hAnsi="Lato"/>
          <w:i/>
          <w:sz w:val="24"/>
          <w:szCs w:val="24"/>
          <w:lang w:eastAsia="en-AU"/>
        </w:rPr>
        <w:t xml:space="preserve">niform </w:t>
      </w:r>
      <w:r w:rsidRPr="004E41BE">
        <w:rPr>
          <w:rFonts w:ascii="Lato" w:hAnsi="Lato"/>
          <w:i/>
          <w:sz w:val="24"/>
          <w:szCs w:val="24"/>
          <w:lang w:eastAsia="en-AU"/>
        </w:rPr>
        <w:t>L</w:t>
      </w:r>
      <w:r w:rsidR="00A524AE">
        <w:rPr>
          <w:rFonts w:ascii="Lato" w:hAnsi="Lato"/>
          <w:i/>
          <w:sz w:val="24"/>
          <w:szCs w:val="24"/>
          <w:lang w:eastAsia="en-AU"/>
        </w:rPr>
        <w:t>egislation</w:t>
      </w:r>
      <w:r w:rsidRPr="004E41BE">
        <w:rPr>
          <w:rFonts w:ascii="Lato" w:hAnsi="Lato"/>
          <w:i/>
          <w:sz w:val="24"/>
          <w:szCs w:val="24"/>
          <w:lang w:eastAsia="en-AU"/>
        </w:rPr>
        <w:t>) Act</w:t>
      </w:r>
      <w:r w:rsidRPr="004E41BE">
        <w:rPr>
          <w:rFonts w:ascii="Lato" w:hAnsi="Lato"/>
          <w:sz w:val="24"/>
          <w:szCs w:val="24"/>
          <w:lang w:eastAsia="en-AU"/>
        </w:rPr>
        <w:t xml:space="preserve"> and Regulations will apply to work practice or process non-compliance.</w:t>
      </w:r>
    </w:p>
    <w:p w:rsidR="00DE0F82" w:rsidRDefault="00DE0F82" w:rsidP="00DE0F82">
      <w:pPr>
        <w:pStyle w:val="Heading1"/>
      </w:pPr>
      <w:bookmarkStart w:id="4" w:name="_Toc492538448"/>
      <w:r>
        <w:t>Public Awareness and Advice</w:t>
      </w:r>
      <w:bookmarkEnd w:id="4"/>
    </w:p>
    <w:p w:rsidR="00DE0F82" w:rsidRPr="004E41BE" w:rsidRDefault="00DE0F82" w:rsidP="00356CE3">
      <w:pPr>
        <w:spacing w:after="240" w:line="360" w:lineRule="auto"/>
        <w:ind w:right="686"/>
        <w:rPr>
          <w:rFonts w:ascii="Lato" w:hAnsi="Lato"/>
          <w:sz w:val="24"/>
          <w:szCs w:val="24"/>
          <w:lang w:eastAsia="en-AU"/>
        </w:rPr>
      </w:pPr>
      <w:r w:rsidRPr="004E41BE">
        <w:rPr>
          <w:rFonts w:ascii="Lato" w:hAnsi="Lato"/>
          <w:sz w:val="24"/>
          <w:szCs w:val="24"/>
          <w:lang w:eastAsia="en-AU"/>
        </w:rPr>
        <w:t>The Electricity Safety Regulator publishes Safety Alerts and Information Bulletins on the NT WorkSafe website as a means of providing information and advice. The following information products were available in 2016-2017.</w:t>
      </w:r>
    </w:p>
    <w:p w:rsidR="00DE0F82" w:rsidRPr="00455D78" w:rsidRDefault="00DE0F82" w:rsidP="00455D78">
      <w:pPr>
        <w:pStyle w:val="Heading2"/>
      </w:pPr>
      <w:bookmarkStart w:id="5" w:name="_Toc492538449"/>
      <w:r w:rsidRPr="00455D78">
        <w:t>Safety Alerts</w:t>
      </w:r>
      <w:bookmarkEnd w:id="5"/>
    </w:p>
    <w:p w:rsidR="00DE0F82" w:rsidRPr="004E41BE" w:rsidRDefault="00DE0F82" w:rsidP="00A524AE">
      <w:pPr>
        <w:pStyle w:val="ListParagraph"/>
        <w:numPr>
          <w:ilvl w:val="0"/>
          <w:numId w:val="1"/>
        </w:numPr>
        <w:spacing w:after="120" w:line="360" w:lineRule="auto"/>
        <w:ind w:left="714" w:hanging="357"/>
        <w:contextualSpacing w:val="0"/>
        <w:rPr>
          <w:sz w:val="24"/>
          <w:szCs w:val="24"/>
        </w:rPr>
      </w:pPr>
      <w:r w:rsidRPr="004E41BE">
        <w:rPr>
          <w:sz w:val="24"/>
          <w:szCs w:val="24"/>
        </w:rPr>
        <w:t>Electrical power t</w:t>
      </w:r>
      <w:r w:rsidR="004E41BE">
        <w:rPr>
          <w:sz w:val="24"/>
          <w:szCs w:val="24"/>
        </w:rPr>
        <w:t>ools on board fishing vessels (r</w:t>
      </w:r>
      <w:r w:rsidRPr="004E41BE">
        <w:rPr>
          <w:sz w:val="24"/>
          <w:szCs w:val="24"/>
        </w:rPr>
        <w:t>e</w:t>
      </w:r>
      <w:r w:rsidR="004E41BE">
        <w:rPr>
          <w:sz w:val="24"/>
          <w:szCs w:val="24"/>
        </w:rPr>
        <w:t>-</w:t>
      </w:r>
      <w:r w:rsidRPr="004E41BE">
        <w:rPr>
          <w:sz w:val="24"/>
          <w:szCs w:val="24"/>
        </w:rPr>
        <w:t>issued)</w:t>
      </w:r>
    </w:p>
    <w:p w:rsidR="00DE0F82" w:rsidRPr="00455D78" w:rsidRDefault="00DE0F82" w:rsidP="00455D78">
      <w:pPr>
        <w:pStyle w:val="Heading2"/>
      </w:pPr>
      <w:bookmarkStart w:id="6" w:name="_Toc492538450"/>
      <w:r w:rsidRPr="00455D78">
        <w:lastRenderedPageBreak/>
        <w:t>Bulletins</w:t>
      </w:r>
      <w:bookmarkEnd w:id="6"/>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C</w:t>
      </w:r>
      <w:r w:rsidR="006206FF" w:rsidRPr="006206FF">
        <w:rPr>
          <w:sz w:val="24"/>
          <w:szCs w:val="24"/>
        </w:rPr>
        <w:t>ertificate of Compliance (CoC) Electrical S</w:t>
      </w:r>
      <w:r w:rsidRPr="006206FF">
        <w:rPr>
          <w:sz w:val="24"/>
          <w:szCs w:val="24"/>
        </w:rPr>
        <w:t>afety</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Contractor Information – Connection of New Installations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Equipment and Gas Installations at Markets and Shows</w:t>
      </w:r>
    </w:p>
    <w:p w:rsidR="002536F7"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Electrical Hazards Associated with Underground Cables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Installation Work on Mine Sites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Safety – Notice of Non-compliance</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Safety in the Construction of Showers and Bathrooms</w:t>
      </w:r>
    </w:p>
    <w:p w:rsidR="0029081D"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Switchboard Panels and Meter Panels Containing Asbestos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Equipotential Bonding for Pools and Spas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Exemptions from the Wiring Rules or Electricity Reform Act and Regulations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Installation of Thermal Insulation Around Electrical Equipment and Accessories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Installation of Vertical Earth (Stake) Electrodes in the NT</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 xml:space="preserve">Managing Foil Ceiling Insulation Electrical Safety Risks – Householders &amp; Tradespersons </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Pond Aerator – Electrical Installations for Aqua Farming</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Portable Ladder Safety</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Relocatable Dwellings</w:t>
      </w:r>
      <w:r w:rsidR="006206FF" w:rsidRPr="006206FF">
        <w:rPr>
          <w:sz w:val="24"/>
          <w:szCs w:val="24"/>
        </w:rPr>
        <w:t xml:space="preserve"> – Electrical Safety</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Replacing Consumer Switchboards in Existing Installations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Residual Current Devices (Safety Switches)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Safety Inspection and Testing of Electrical Equipment on Construction Sites</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Test and Tag of Electrical Equipment</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Union Right of Entry for Work Health and Safety Issues</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Voltmeter Measurements</w:t>
      </w:r>
      <w:r w:rsidR="006206FF" w:rsidRPr="006206FF">
        <w:rPr>
          <w:sz w:val="24"/>
          <w:szCs w:val="24"/>
        </w:rPr>
        <w:t xml:space="preserve"> – Testing Foil Insulation in Domestic Dwellings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Work Health and Safety – Incident Notification</w:t>
      </w:r>
    </w:p>
    <w:p w:rsidR="00DE0F82" w:rsidRPr="001130E6" w:rsidRDefault="001130E6" w:rsidP="00A524AE">
      <w:pPr>
        <w:pStyle w:val="ListParagraph"/>
        <w:numPr>
          <w:ilvl w:val="0"/>
          <w:numId w:val="3"/>
        </w:numPr>
        <w:spacing w:after="60" w:line="360" w:lineRule="auto"/>
        <w:ind w:left="714" w:hanging="357"/>
        <w:contextualSpacing w:val="0"/>
        <w:rPr>
          <w:sz w:val="24"/>
          <w:szCs w:val="24"/>
        </w:rPr>
      </w:pPr>
      <w:r>
        <w:rPr>
          <w:sz w:val="24"/>
          <w:szCs w:val="24"/>
        </w:rPr>
        <w:t>Worker Representation and P</w:t>
      </w:r>
      <w:r w:rsidR="00DE0F82" w:rsidRPr="001130E6">
        <w:rPr>
          <w:sz w:val="24"/>
          <w:szCs w:val="24"/>
        </w:rPr>
        <w:t>articipation</w:t>
      </w:r>
      <w:r>
        <w:rPr>
          <w:sz w:val="24"/>
          <w:szCs w:val="24"/>
        </w:rPr>
        <w:t xml:space="preserve"> G</w:t>
      </w:r>
      <w:r w:rsidRPr="001130E6">
        <w:rPr>
          <w:sz w:val="24"/>
          <w:szCs w:val="24"/>
        </w:rPr>
        <w:t>uide</w:t>
      </w:r>
      <w:r w:rsidR="00DE0F82" w:rsidRPr="001130E6">
        <w:rPr>
          <w:sz w:val="24"/>
          <w:szCs w:val="24"/>
        </w:rPr>
        <w:t xml:space="preserve"> </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Workers Right to Cease or Refuse Unsafe Work</w:t>
      </w:r>
    </w:p>
    <w:p w:rsidR="00DE0F82" w:rsidRPr="001130E6" w:rsidRDefault="001130E6" w:rsidP="00A524AE">
      <w:pPr>
        <w:pStyle w:val="ListParagraph"/>
        <w:numPr>
          <w:ilvl w:val="0"/>
          <w:numId w:val="3"/>
        </w:numPr>
        <w:spacing w:after="60" w:line="360" w:lineRule="auto"/>
        <w:ind w:left="714" w:hanging="357"/>
        <w:contextualSpacing w:val="0"/>
        <w:rPr>
          <w:sz w:val="24"/>
          <w:szCs w:val="24"/>
        </w:rPr>
      </w:pPr>
      <w:r>
        <w:rPr>
          <w:sz w:val="24"/>
          <w:szCs w:val="24"/>
        </w:rPr>
        <w:t>Worker Rights and R</w:t>
      </w:r>
      <w:r w:rsidR="00DE0F82" w:rsidRPr="001130E6">
        <w:rPr>
          <w:sz w:val="24"/>
          <w:szCs w:val="24"/>
        </w:rPr>
        <w:t>esponsibilities</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Working Close to Overhead Power Lines</w:t>
      </w:r>
    </w:p>
    <w:p w:rsidR="00DE0F82" w:rsidRPr="001130E6" w:rsidRDefault="00DE0F82" w:rsidP="00A524AE">
      <w:pPr>
        <w:pStyle w:val="ListParagraph"/>
        <w:numPr>
          <w:ilvl w:val="0"/>
          <w:numId w:val="3"/>
        </w:numPr>
        <w:spacing w:after="120" w:line="360" w:lineRule="auto"/>
        <w:ind w:left="714" w:hanging="357"/>
        <w:contextualSpacing w:val="0"/>
        <w:rPr>
          <w:sz w:val="24"/>
          <w:szCs w:val="24"/>
        </w:rPr>
      </w:pPr>
      <w:r w:rsidRPr="001130E6">
        <w:rPr>
          <w:sz w:val="24"/>
          <w:szCs w:val="24"/>
        </w:rPr>
        <w:t>Working in Heat</w:t>
      </w:r>
    </w:p>
    <w:p w:rsidR="00D22BC4" w:rsidRDefault="00D22BC4" w:rsidP="00D22BC4">
      <w:pPr>
        <w:pStyle w:val="Heading1"/>
      </w:pPr>
      <w:bookmarkStart w:id="7" w:name="_Toc492538451"/>
      <w:r>
        <w:lastRenderedPageBreak/>
        <w:t>Activities of the Electricity Safety Regulator for 2016-2017</w:t>
      </w:r>
      <w:bookmarkEnd w:id="7"/>
    </w:p>
    <w:p w:rsidR="00D22BC4" w:rsidRPr="004E41BE" w:rsidRDefault="00D22BC4" w:rsidP="002F15EA">
      <w:pPr>
        <w:tabs>
          <w:tab w:val="left" w:pos="9781"/>
        </w:tabs>
        <w:spacing w:after="120" w:line="360" w:lineRule="auto"/>
        <w:ind w:right="686"/>
        <w:rPr>
          <w:rFonts w:ascii="Lato" w:hAnsi="Lato"/>
          <w:sz w:val="24"/>
          <w:szCs w:val="24"/>
          <w:lang w:eastAsia="en-AU"/>
        </w:rPr>
      </w:pPr>
      <w:r w:rsidRPr="004E41BE">
        <w:rPr>
          <w:rFonts w:ascii="Lato" w:hAnsi="Lato"/>
          <w:sz w:val="24"/>
          <w:szCs w:val="24"/>
          <w:lang w:eastAsia="en-AU"/>
        </w:rPr>
        <w:t xml:space="preserve">Part 5 of the </w:t>
      </w:r>
      <w:r w:rsidRPr="00A524AE">
        <w:rPr>
          <w:rFonts w:ascii="Lato" w:hAnsi="Lato"/>
          <w:i/>
          <w:sz w:val="24"/>
          <w:szCs w:val="24"/>
          <w:lang w:eastAsia="en-AU"/>
        </w:rPr>
        <w:t>Electricity Reform Act</w:t>
      </w:r>
      <w:r w:rsidRPr="004E41BE">
        <w:rPr>
          <w:rFonts w:ascii="Lato" w:hAnsi="Lato"/>
          <w:sz w:val="24"/>
          <w:szCs w:val="24"/>
          <w:lang w:eastAsia="en-AU"/>
        </w:rPr>
        <w:t xml:space="preserve"> outlines the safety responsibilities and technical requirements which are monitored by the Electricity Safety Regulator. Below are some of the activities undertaken by the Electricity Safety Regulator under Part 5.</w:t>
      </w:r>
    </w:p>
    <w:tbl>
      <w:tblPr>
        <w:tblW w:w="9683"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1E0" w:firstRow="1" w:lastRow="1" w:firstColumn="1" w:lastColumn="1" w:noHBand="0" w:noVBand="0"/>
        <w:tblDescription w:val="Data table providing information on the number of activities performed as per sections 67, 68 and 71 of the Electricity Reform Act in the 2016-2017 financial year."/>
      </w:tblPr>
      <w:tblGrid>
        <w:gridCol w:w="4981"/>
        <w:gridCol w:w="1279"/>
        <w:gridCol w:w="3423"/>
      </w:tblGrid>
      <w:tr w:rsidR="00D22BC4" w:rsidRPr="005E040D" w:rsidTr="003A3587">
        <w:trPr>
          <w:trHeight w:val="429"/>
          <w:tblHeader/>
          <w:jc w:val="center"/>
        </w:trPr>
        <w:tc>
          <w:tcPr>
            <w:tcW w:w="4981" w:type="dxa"/>
            <w:tcBorders>
              <w:bottom w:val="nil"/>
            </w:tcBorders>
            <w:shd w:val="clear" w:color="auto" w:fill="ED7D31" w:themeFill="accent2"/>
          </w:tcPr>
          <w:p w:rsidR="00D22BC4" w:rsidRPr="002F15EA" w:rsidRDefault="00D22BC4" w:rsidP="00071ED6">
            <w:pPr>
              <w:spacing w:before="60" w:after="60"/>
              <w:ind w:left="270"/>
              <w:rPr>
                <w:rFonts w:ascii="Lato" w:hAnsi="Lato"/>
                <w:b/>
                <w:sz w:val="24"/>
                <w:szCs w:val="24"/>
              </w:rPr>
            </w:pPr>
            <w:bookmarkStart w:id="8" w:name="ColumnTitle_1"/>
            <w:r w:rsidRPr="002F15EA">
              <w:rPr>
                <w:rFonts w:ascii="Lato" w:hAnsi="Lato"/>
                <w:b/>
                <w:sz w:val="24"/>
                <w:szCs w:val="24"/>
              </w:rPr>
              <w:t>Regulatory Requirement</w:t>
            </w:r>
          </w:p>
        </w:tc>
        <w:tc>
          <w:tcPr>
            <w:tcW w:w="1279" w:type="dxa"/>
            <w:tcBorders>
              <w:bottom w:val="nil"/>
            </w:tcBorders>
            <w:shd w:val="clear" w:color="auto" w:fill="ED7D31" w:themeFill="accent2"/>
            <w:vAlign w:val="center"/>
          </w:tcPr>
          <w:p w:rsidR="00D22BC4" w:rsidRPr="002F15EA" w:rsidRDefault="00D22BC4" w:rsidP="00071ED6">
            <w:pPr>
              <w:spacing w:before="60" w:after="60"/>
              <w:ind w:left="287" w:hanging="284"/>
              <w:jc w:val="center"/>
              <w:rPr>
                <w:rFonts w:ascii="Lato" w:hAnsi="Lato"/>
                <w:b/>
                <w:sz w:val="24"/>
                <w:szCs w:val="24"/>
              </w:rPr>
            </w:pPr>
            <w:r w:rsidRPr="002F15EA">
              <w:rPr>
                <w:rFonts w:ascii="Lato" w:hAnsi="Lato"/>
                <w:b/>
                <w:sz w:val="24"/>
                <w:szCs w:val="24"/>
              </w:rPr>
              <w:t>No</w:t>
            </w:r>
          </w:p>
        </w:tc>
        <w:tc>
          <w:tcPr>
            <w:tcW w:w="3423" w:type="dxa"/>
            <w:tcBorders>
              <w:bottom w:val="nil"/>
            </w:tcBorders>
            <w:shd w:val="clear" w:color="auto" w:fill="ED7D31" w:themeFill="accent2"/>
          </w:tcPr>
          <w:p w:rsidR="00D22BC4" w:rsidRPr="002F15EA" w:rsidRDefault="00D22BC4" w:rsidP="002F15EA">
            <w:pPr>
              <w:spacing w:before="60" w:after="60"/>
              <w:ind w:left="459" w:right="-196" w:hanging="600"/>
              <w:jc w:val="center"/>
              <w:rPr>
                <w:rFonts w:ascii="Lato" w:hAnsi="Lato"/>
                <w:b/>
                <w:sz w:val="24"/>
                <w:szCs w:val="24"/>
              </w:rPr>
            </w:pPr>
            <w:r w:rsidRPr="002F15EA">
              <w:rPr>
                <w:rFonts w:ascii="Lato" w:hAnsi="Lato"/>
                <w:b/>
                <w:sz w:val="24"/>
                <w:szCs w:val="24"/>
              </w:rPr>
              <w:t>Description</w:t>
            </w:r>
          </w:p>
        </w:tc>
      </w:tr>
      <w:bookmarkEnd w:id="8"/>
      <w:tr w:rsidR="00D22BC4" w:rsidRPr="005E040D" w:rsidTr="003A3587">
        <w:trPr>
          <w:trHeight w:val="715"/>
          <w:jc w:val="center"/>
        </w:trPr>
        <w:tc>
          <w:tcPr>
            <w:tcW w:w="4981" w:type="dxa"/>
            <w:tcBorders>
              <w:top w:val="nil"/>
            </w:tcBorders>
            <w:shd w:val="clear" w:color="auto" w:fill="FFFFFF"/>
          </w:tcPr>
          <w:p w:rsidR="00D22BC4" w:rsidRPr="00100A69" w:rsidRDefault="00D22BC4" w:rsidP="00071ED6">
            <w:pPr>
              <w:spacing w:before="60" w:after="60"/>
              <w:ind w:left="270"/>
              <w:rPr>
                <w:rFonts w:ascii="Lato" w:hAnsi="Lato"/>
                <w:sz w:val="24"/>
                <w:szCs w:val="24"/>
              </w:rPr>
            </w:pPr>
            <w:r w:rsidRPr="00100A69">
              <w:rPr>
                <w:rFonts w:ascii="Lato" w:hAnsi="Lato"/>
                <w:sz w:val="24"/>
                <w:szCs w:val="24"/>
              </w:rPr>
              <w:t xml:space="preserve">Certificates of Compliance audited as per sections 67 and 68 of the </w:t>
            </w:r>
            <w:r w:rsidRPr="00100A69">
              <w:rPr>
                <w:rFonts w:ascii="Lato" w:hAnsi="Lato"/>
                <w:i/>
                <w:sz w:val="24"/>
                <w:szCs w:val="24"/>
              </w:rPr>
              <w:t>Electricity Reform Act</w:t>
            </w:r>
          </w:p>
        </w:tc>
        <w:tc>
          <w:tcPr>
            <w:tcW w:w="1279" w:type="dxa"/>
            <w:tcBorders>
              <w:top w:val="nil"/>
            </w:tcBorders>
            <w:shd w:val="clear" w:color="auto" w:fill="FFFFFF"/>
            <w:vAlign w:val="center"/>
          </w:tcPr>
          <w:p w:rsidR="00D22BC4" w:rsidRPr="00100A69" w:rsidRDefault="00D22BC4" w:rsidP="00AA7671">
            <w:pPr>
              <w:spacing w:before="60" w:after="60"/>
              <w:jc w:val="center"/>
              <w:rPr>
                <w:rFonts w:ascii="Lato" w:hAnsi="Lato"/>
                <w:sz w:val="24"/>
                <w:szCs w:val="24"/>
              </w:rPr>
            </w:pPr>
            <w:r w:rsidRPr="00100A69">
              <w:rPr>
                <w:rFonts w:ascii="Lato" w:hAnsi="Lato"/>
                <w:sz w:val="24"/>
                <w:szCs w:val="24"/>
              </w:rPr>
              <w:t>1</w:t>
            </w:r>
            <w:r w:rsidR="007545D6" w:rsidRPr="00100A69">
              <w:rPr>
                <w:rFonts w:ascii="Lato" w:hAnsi="Lato"/>
                <w:sz w:val="24"/>
                <w:szCs w:val="24"/>
              </w:rPr>
              <w:t>,</w:t>
            </w:r>
            <w:r w:rsidRPr="00100A69">
              <w:rPr>
                <w:rFonts w:ascii="Lato" w:hAnsi="Lato"/>
                <w:sz w:val="24"/>
                <w:szCs w:val="24"/>
              </w:rPr>
              <w:t>353*</w:t>
            </w:r>
          </w:p>
        </w:tc>
        <w:tc>
          <w:tcPr>
            <w:tcW w:w="3423" w:type="dxa"/>
            <w:tcBorders>
              <w:top w:val="nil"/>
            </w:tcBorders>
            <w:shd w:val="clear" w:color="auto" w:fill="FFFFFF"/>
            <w:vAlign w:val="center"/>
          </w:tcPr>
          <w:p w:rsidR="00D22BC4" w:rsidRPr="00100A69" w:rsidRDefault="00532A92" w:rsidP="002F15EA">
            <w:pPr>
              <w:spacing w:before="60" w:after="60"/>
              <w:jc w:val="center"/>
              <w:rPr>
                <w:rFonts w:ascii="Lato" w:hAnsi="Lato"/>
                <w:sz w:val="24"/>
                <w:szCs w:val="24"/>
              </w:rPr>
            </w:pPr>
            <w:r w:rsidRPr="005559B6">
              <w:rPr>
                <w:rFonts w:ascii="Lato" w:hAnsi="Lato"/>
                <w:sz w:val="24"/>
                <w:szCs w:val="24"/>
              </w:rPr>
              <w:t>I</w:t>
            </w:r>
            <w:r w:rsidR="002F15EA" w:rsidRPr="005559B6">
              <w:rPr>
                <w:rFonts w:ascii="Lato" w:hAnsi="Lato"/>
                <w:sz w:val="24"/>
                <w:szCs w:val="24"/>
              </w:rPr>
              <w:t>nspections and site v</w:t>
            </w:r>
            <w:r w:rsidR="00D22BC4" w:rsidRPr="005559B6">
              <w:rPr>
                <w:rFonts w:ascii="Lato" w:hAnsi="Lato"/>
                <w:sz w:val="24"/>
                <w:szCs w:val="24"/>
              </w:rPr>
              <w:t>isits</w:t>
            </w:r>
          </w:p>
        </w:tc>
      </w:tr>
      <w:tr w:rsidR="00D22BC4" w:rsidRPr="005E040D" w:rsidTr="003A3587">
        <w:trPr>
          <w:trHeight w:val="715"/>
          <w:jc w:val="center"/>
        </w:trPr>
        <w:tc>
          <w:tcPr>
            <w:tcW w:w="4981" w:type="dxa"/>
            <w:tcBorders>
              <w:bottom w:val="single" w:sz="12" w:space="0" w:color="ED7D31" w:themeColor="accent2"/>
            </w:tcBorders>
            <w:shd w:val="clear" w:color="auto" w:fill="FFFFFF"/>
          </w:tcPr>
          <w:p w:rsidR="00D22BC4" w:rsidRPr="00100A69" w:rsidRDefault="00D22BC4" w:rsidP="00071ED6">
            <w:pPr>
              <w:spacing w:before="60" w:after="60"/>
              <w:ind w:left="270"/>
              <w:rPr>
                <w:rFonts w:ascii="Lato" w:hAnsi="Lato"/>
                <w:sz w:val="24"/>
                <w:szCs w:val="24"/>
              </w:rPr>
            </w:pPr>
            <w:r w:rsidRPr="00100A69">
              <w:rPr>
                <w:rFonts w:ascii="Lato" w:hAnsi="Lato"/>
                <w:sz w:val="24"/>
                <w:szCs w:val="24"/>
              </w:rPr>
              <w:t xml:space="preserve">Complaints Investigated as per sections 67 and 68 of the </w:t>
            </w:r>
            <w:r w:rsidRPr="00100A69">
              <w:rPr>
                <w:rFonts w:ascii="Lato" w:hAnsi="Lato"/>
                <w:i/>
                <w:sz w:val="24"/>
                <w:szCs w:val="24"/>
              </w:rPr>
              <w:t>Electricity Reform Act</w:t>
            </w:r>
          </w:p>
        </w:tc>
        <w:tc>
          <w:tcPr>
            <w:tcW w:w="1279" w:type="dxa"/>
            <w:tcBorders>
              <w:bottom w:val="single" w:sz="12" w:space="0" w:color="ED7D31" w:themeColor="accent2"/>
            </w:tcBorders>
            <w:shd w:val="clear" w:color="auto" w:fill="FFFFFF"/>
            <w:vAlign w:val="center"/>
          </w:tcPr>
          <w:p w:rsidR="00D22BC4" w:rsidRPr="00100A69" w:rsidRDefault="00D22BC4" w:rsidP="00AA7671">
            <w:pPr>
              <w:spacing w:before="60" w:after="60"/>
              <w:ind w:left="287" w:hanging="424"/>
              <w:jc w:val="center"/>
              <w:rPr>
                <w:rFonts w:ascii="Lato" w:hAnsi="Lato"/>
                <w:sz w:val="24"/>
                <w:szCs w:val="24"/>
              </w:rPr>
            </w:pPr>
            <w:r w:rsidRPr="00100A69">
              <w:rPr>
                <w:rFonts w:ascii="Lato" w:hAnsi="Lato"/>
                <w:sz w:val="24"/>
                <w:szCs w:val="24"/>
              </w:rPr>
              <w:t>57</w:t>
            </w:r>
          </w:p>
        </w:tc>
        <w:tc>
          <w:tcPr>
            <w:tcW w:w="3423" w:type="dxa"/>
            <w:tcBorders>
              <w:bottom w:val="single" w:sz="12" w:space="0" w:color="ED7D31" w:themeColor="accent2"/>
            </w:tcBorders>
            <w:shd w:val="clear" w:color="auto" w:fill="FFFFFF"/>
            <w:vAlign w:val="center"/>
          </w:tcPr>
          <w:p w:rsidR="00D22BC4" w:rsidRPr="00100A69" w:rsidRDefault="00D22BC4" w:rsidP="002F15EA">
            <w:pPr>
              <w:spacing w:before="60" w:after="60"/>
              <w:ind w:firstLine="1"/>
              <w:jc w:val="center"/>
              <w:rPr>
                <w:rFonts w:ascii="Lato" w:hAnsi="Lato"/>
                <w:sz w:val="24"/>
                <w:szCs w:val="24"/>
              </w:rPr>
            </w:pPr>
            <w:r w:rsidRPr="00100A69">
              <w:rPr>
                <w:rFonts w:ascii="Lato" w:hAnsi="Lato"/>
                <w:sz w:val="24"/>
                <w:szCs w:val="24"/>
              </w:rPr>
              <w:t>Complaints</w:t>
            </w:r>
          </w:p>
        </w:tc>
      </w:tr>
      <w:tr w:rsidR="00D22BC4" w:rsidRPr="005E040D" w:rsidTr="003A3587">
        <w:trPr>
          <w:trHeight w:val="715"/>
          <w:jc w:val="center"/>
        </w:trPr>
        <w:tc>
          <w:tcPr>
            <w:tcW w:w="4981" w:type="dxa"/>
            <w:shd w:val="clear" w:color="auto" w:fill="FFFFFF"/>
          </w:tcPr>
          <w:p w:rsidR="00D22BC4" w:rsidRPr="00100A69" w:rsidRDefault="00D22BC4" w:rsidP="00071ED6">
            <w:pPr>
              <w:spacing w:before="60" w:after="60"/>
              <w:ind w:left="270"/>
              <w:rPr>
                <w:rFonts w:ascii="Lato" w:hAnsi="Lato"/>
                <w:sz w:val="24"/>
                <w:szCs w:val="24"/>
              </w:rPr>
            </w:pPr>
            <w:r w:rsidRPr="00100A69">
              <w:rPr>
                <w:rFonts w:ascii="Lato" w:hAnsi="Lato"/>
                <w:sz w:val="24"/>
                <w:szCs w:val="24"/>
              </w:rPr>
              <w:t xml:space="preserve">Report of accidents involving electric shock as per section 71 of the </w:t>
            </w:r>
            <w:r w:rsidRPr="00100A69">
              <w:rPr>
                <w:rFonts w:ascii="Lato" w:hAnsi="Lato"/>
                <w:i/>
                <w:sz w:val="24"/>
                <w:szCs w:val="24"/>
              </w:rPr>
              <w:t>Electricity Reform Act</w:t>
            </w:r>
            <w:r w:rsidRPr="00100A69">
              <w:rPr>
                <w:rFonts w:ascii="Lato" w:hAnsi="Lato"/>
                <w:sz w:val="24"/>
                <w:szCs w:val="24"/>
              </w:rPr>
              <w:tab/>
            </w:r>
          </w:p>
        </w:tc>
        <w:tc>
          <w:tcPr>
            <w:tcW w:w="1279" w:type="dxa"/>
            <w:shd w:val="clear" w:color="auto" w:fill="FFFFFF"/>
            <w:vAlign w:val="center"/>
          </w:tcPr>
          <w:p w:rsidR="00D22BC4" w:rsidRPr="00100A69" w:rsidRDefault="00D22BC4" w:rsidP="00AA7671">
            <w:pPr>
              <w:spacing w:before="60" w:after="60"/>
              <w:ind w:hanging="137"/>
              <w:jc w:val="center"/>
              <w:rPr>
                <w:rFonts w:ascii="Lato" w:hAnsi="Lato"/>
                <w:sz w:val="24"/>
                <w:szCs w:val="24"/>
              </w:rPr>
            </w:pPr>
            <w:r w:rsidRPr="00100A69">
              <w:rPr>
                <w:rFonts w:ascii="Lato" w:hAnsi="Lato"/>
                <w:sz w:val="24"/>
                <w:szCs w:val="24"/>
              </w:rPr>
              <w:t>83</w:t>
            </w:r>
          </w:p>
        </w:tc>
        <w:tc>
          <w:tcPr>
            <w:tcW w:w="3423" w:type="dxa"/>
            <w:shd w:val="clear" w:color="auto" w:fill="FFFFFF"/>
            <w:vAlign w:val="center"/>
          </w:tcPr>
          <w:p w:rsidR="00D22BC4" w:rsidRPr="00100A69" w:rsidRDefault="00D22BC4" w:rsidP="002F15EA">
            <w:pPr>
              <w:spacing w:before="60" w:after="60"/>
              <w:ind w:firstLine="1"/>
              <w:jc w:val="center"/>
              <w:rPr>
                <w:rFonts w:ascii="Lato" w:hAnsi="Lato"/>
                <w:sz w:val="24"/>
                <w:szCs w:val="24"/>
              </w:rPr>
            </w:pPr>
            <w:r w:rsidRPr="00100A69">
              <w:rPr>
                <w:rFonts w:ascii="Lato" w:hAnsi="Lato"/>
                <w:sz w:val="24"/>
                <w:szCs w:val="24"/>
              </w:rPr>
              <w:t>Electric Shocks</w:t>
            </w:r>
          </w:p>
        </w:tc>
      </w:tr>
    </w:tbl>
    <w:p w:rsidR="00356CE3" w:rsidRPr="005559B6" w:rsidRDefault="00D22BC4" w:rsidP="003A3587">
      <w:pPr>
        <w:spacing w:before="120" w:after="360"/>
        <w:ind w:right="544"/>
        <w:rPr>
          <w:rFonts w:ascii="Lato" w:hAnsi="Lato"/>
          <w:sz w:val="20"/>
          <w:szCs w:val="20"/>
        </w:rPr>
      </w:pPr>
      <w:r w:rsidRPr="005559B6">
        <w:rPr>
          <w:rFonts w:ascii="Lato" w:hAnsi="Lato"/>
          <w:sz w:val="20"/>
          <w:szCs w:val="20"/>
        </w:rPr>
        <w:t>*</w:t>
      </w:r>
      <w:r w:rsidR="00D037A9" w:rsidRPr="005559B6">
        <w:rPr>
          <w:rFonts w:ascii="Lato" w:hAnsi="Lato"/>
          <w:sz w:val="20"/>
          <w:szCs w:val="20"/>
        </w:rPr>
        <w:t>30</w:t>
      </w:r>
      <w:r w:rsidRPr="005559B6">
        <w:rPr>
          <w:rFonts w:ascii="Lato" w:hAnsi="Lato"/>
          <w:sz w:val="20"/>
          <w:szCs w:val="20"/>
        </w:rPr>
        <w:t xml:space="preserve"> auditing inspections were carried out by TechSafe, an independent electrical inspection company. These inspections were prescribed inspections carried out in the Northern Territory on new electrical installations, solar inspections, Alice Springs Hospital specialist installation inspections and switchboard upgrades.</w:t>
      </w:r>
      <w:r w:rsidR="00532A92">
        <w:rPr>
          <w:rFonts w:ascii="Lato" w:hAnsi="Lato"/>
          <w:sz w:val="20"/>
          <w:szCs w:val="20"/>
        </w:rPr>
        <w:t xml:space="preserve"> In 2016-17 inspections and site visits increased due to a rise in the number of solar installations. Two Electrical Safety</w:t>
      </w:r>
      <w:r w:rsidR="003420C9">
        <w:rPr>
          <w:rFonts w:ascii="Lato" w:hAnsi="Lato"/>
          <w:sz w:val="20"/>
          <w:szCs w:val="20"/>
        </w:rPr>
        <w:t xml:space="preserve"> Officers</w:t>
      </w:r>
      <w:r w:rsidR="00532A92">
        <w:rPr>
          <w:rFonts w:ascii="Lato" w:hAnsi="Lato"/>
          <w:sz w:val="20"/>
          <w:szCs w:val="20"/>
        </w:rPr>
        <w:t xml:space="preserve"> </w:t>
      </w:r>
      <w:r w:rsidR="000A7200">
        <w:rPr>
          <w:rFonts w:ascii="Lato" w:hAnsi="Lato"/>
          <w:sz w:val="20"/>
          <w:szCs w:val="20"/>
        </w:rPr>
        <w:t>(commenced</w:t>
      </w:r>
      <w:r w:rsidR="00532A92">
        <w:rPr>
          <w:rFonts w:ascii="Lato" w:hAnsi="Lato"/>
          <w:sz w:val="20"/>
          <w:szCs w:val="20"/>
        </w:rPr>
        <w:t xml:space="preserve"> </w:t>
      </w:r>
      <w:r w:rsidR="005A5E92">
        <w:rPr>
          <w:rFonts w:ascii="Lato" w:hAnsi="Lato"/>
          <w:sz w:val="20"/>
          <w:szCs w:val="20"/>
        </w:rPr>
        <w:t xml:space="preserve">in late 2015) </w:t>
      </w:r>
      <w:r w:rsidR="003420C9">
        <w:rPr>
          <w:rFonts w:ascii="Lato" w:hAnsi="Lato"/>
          <w:sz w:val="20"/>
          <w:szCs w:val="20"/>
        </w:rPr>
        <w:t xml:space="preserve">were also able to </w:t>
      </w:r>
      <w:r w:rsidR="00B41CF6">
        <w:rPr>
          <w:rFonts w:ascii="Lato" w:hAnsi="Lato"/>
          <w:sz w:val="20"/>
          <w:szCs w:val="20"/>
        </w:rPr>
        <w:t xml:space="preserve">work </w:t>
      </w:r>
      <w:r w:rsidR="003420C9">
        <w:rPr>
          <w:rFonts w:ascii="Lato" w:hAnsi="Lato"/>
          <w:sz w:val="20"/>
          <w:szCs w:val="20"/>
        </w:rPr>
        <w:t>independently</w:t>
      </w:r>
      <w:r w:rsidR="00B41CF6">
        <w:rPr>
          <w:rFonts w:ascii="Lato" w:hAnsi="Lato"/>
          <w:sz w:val="20"/>
          <w:szCs w:val="20"/>
        </w:rPr>
        <w:t xml:space="preserve"> on inspections</w:t>
      </w:r>
      <w:r w:rsidR="003420C9">
        <w:rPr>
          <w:rFonts w:ascii="Lato" w:hAnsi="Lato"/>
          <w:sz w:val="20"/>
          <w:szCs w:val="20"/>
        </w:rPr>
        <w:t>.</w:t>
      </w:r>
    </w:p>
    <w:p w:rsidR="005E040D" w:rsidRPr="004E41BE" w:rsidRDefault="005E040D" w:rsidP="003A3587">
      <w:pPr>
        <w:spacing w:after="100" w:line="360" w:lineRule="auto"/>
        <w:ind w:right="544"/>
        <w:rPr>
          <w:rFonts w:ascii="Lato" w:hAnsi="Lato"/>
          <w:sz w:val="24"/>
          <w:szCs w:val="24"/>
        </w:rPr>
      </w:pPr>
      <w:r w:rsidRPr="004E41BE">
        <w:rPr>
          <w:rFonts w:ascii="Lato" w:hAnsi="Lato"/>
          <w:sz w:val="24"/>
          <w:szCs w:val="24"/>
        </w:rPr>
        <w:t xml:space="preserve">Part 6 of the </w:t>
      </w:r>
      <w:r w:rsidRPr="004E41BE">
        <w:rPr>
          <w:rFonts w:ascii="Lato" w:hAnsi="Lato"/>
          <w:i/>
          <w:sz w:val="24"/>
          <w:szCs w:val="24"/>
        </w:rPr>
        <w:t>Electricity Reform Act</w:t>
      </w:r>
      <w:r w:rsidRPr="004E41BE">
        <w:rPr>
          <w:rFonts w:ascii="Lato" w:hAnsi="Lato"/>
          <w:sz w:val="24"/>
          <w:szCs w:val="24"/>
        </w:rPr>
        <w:t xml:space="preserve"> provides for specific enforcem</w:t>
      </w:r>
      <w:r w:rsidR="009C4C07">
        <w:rPr>
          <w:rFonts w:ascii="Lato" w:hAnsi="Lato"/>
          <w:sz w:val="24"/>
          <w:szCs w:val="24"/>
        </w:rPr>
        <w:t>ent powers. A summary of</w:t>
      </w:r>
      <w:r w:rsidRPr="004E41BE">
        <w:rPr>
          <w:rFonts w:ascii="Lato" w:hAnsi="Lato"/>
          <w:sz w:val="24"/>
          <w:szCs w:val="24"/>
        </w:rPr>
        <w:t xml:space="preserve"> </w:t>
      </w:r>
      <w:r w:rsidR="009C4C07">
        <w:rPr>
          <w:rFonts w:ascii="Lato" w:hAnsi="Lato"/>
          <w:sz w:val="24"/>
          <w:szCs w:val="24"/>
        </w:rPr>
        <w:t xml:space="preserve">enforcement </w:t>
      </w:r>
      <w:r w:rsidRPr="004E41BE">
        <w:rPr>
          <w:rFonts w:ascii="Lato" w:hAnsi="Lato"/>
          <w:sz w:val="24"/>
          <w:szCs w:val="24"/>
        </w:rPr>
        <w:t>powers</w:t>
      </w:r>
      <w:r w:rsidR="009C4C07">
        <w:rPr>
          <w:rFonts w:ascii="Lato" w:hAnsi="Lato"/>
          <w:sz w:val="24"/>
          <w:szCs w:val="24"/>
        </w:rPr>
        <w:t xml:space="preserve"> exercised</w:t>
      </w:r>
      <w:r w:rsidRPr="004E41BE">
        <w:rPr>
          <w:rFonts w:ascii="Lato" w:hAnsi="Lato"/>
          <w:sz w:val="24"/>
          <w:szCs w:val="24"/>
        </w:rPr>
        <w:t xml:space="preserve"> by the Electricity Safety Regulator and authorised officers</w:t>
      </w:r>
      <w:r w:rsidR="009C4C07">
        <w:rPr>
          <w:rFonts w:ascii="Lato" w:hAnsi="Lato"/>
          <w:sz w:val="24"/>
          <w:szCs w:val="24"/>
        </w:rPr>
        <w:t xml:space="preserve"> in 2016-2017 is provided in the following table</w:t>
      </w:r>
      <w:r w:rsidRPr="004E41BE">
        <w:rPr>
          <w:rFonts w:ascii="Lato" w:hAnsi="Lato"/>
          <w:sz w:val="24"/>
          <w:szCs w:val="24"/>
        </w:rPr>
        <w:t>.</w:t>
      </w:r>
    </w:p>
    <w:tbl>
      <w:tblPr>
        <w:tblW w:w="9738"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1E0" w:firstRow="1" w:lastRow="1" w:firstColumn="1" w:lastColumn="1" w:noHBand="0" w:noVBand="0"/>
        <w:tblDescription w:val="Data table summarising the number of times specific powers under section 10, 11, 70, 78, 79 and 80 were exercised in the 2016-17 financial year."/>
      </w:tblPr>
      <w:tblGrid>
        <w:gridCol w:w="5079"/>
        <w:gridCol w:w="1287"/>
        <w:gridCol w:w="3372"/>
      </w:tblGrid>
      <w:tr w:rsidR="005E040D" w:rsidRPr="005E040D" w:rsidTr="003A3587">
        <w:trPr>
          <w:trHeight w:val="400"/>
          <w:tblHeader/>
          <w:jc w:val="center"/>
        </w:trPr>
        <w:tc>
          <w:tcPr>
            <w:tcW w:w="5079" w:type="dxa"/>
            <w:tcBorders>
              <w:bottom w:val="single" w:sz="12" w:space="0" w:color="ED7D31" w:themeColor="accent2"/>
            </w:tcBorders>
            <w:shd w:val="clear" w:color="auto" w:fill="ED7D31" w:themeFill="accent2"/>
          </w:tcPr>
          <w:p w:rsidR="005E040D" w:rsidRPr="002F15EA" w:rsidRDefault="005E040D" w:rsidP="00071ED6">
            <w:pPr>
              <w:spacing w:before="60" w:after="60"/>
              <w:ind w:left="229"/>
              <w:rPr>
                <w:rFonts w:ascii="Lato" w:hAnsi="Lato"/>
                <w:b/>
                <w:sz w:val="24"/>
                <w:szCs w:val="24"/>
              </w:rPr>
            </w:pPr>
            <w:bookmarkStart w:id="9" w:name="ColumnTitle_2"/>
            <w:r w:rsidRPr="002F15EA">
              <w:rPr>
                <w:rFonts w:ascii="Lato" w:hAnsi="Lato"/>
                <w:b/>
                <w:sz w:val="24"/>
                <w:szCs w:val="24"/>
              </w:rPr>
              <w:t>Regulatory Requirement</w:t>
            </w:r>
          </w:p>
        </w:tc>
        <w:tc>
          <w:tcPr>
            <w:tcW w:w="1287" w:type="dxa"/>
            <w:tcBorders>
              <w:bottom w:val="single" w:sz="12" w:space="0" w:color="ED7D31" w:themeColor="accent2"/>
            </w:tcBorders>
            <w:shd w:val="clear" w:color="auto" w:fill="ED7D31" w:themeFill="accent2"/>
            <w:vAlign w:val="center"/>
          </w:tcPr>
          <w:p w:rsidR="005E040D" w:rsidRPr="002F15EA" w:rsidRDefault="005E040D" w:rsidP="00071ED6">
            <w:pPr>
              <w:spacing w:before="60" w:after="60"/>
              <w:jc w:val="center"/>
              <w:rPr>
                <w:rFonts w:ascii="Lato" w:hAnsi="Lato"/>
                <w:b/>
                <w:sz w:val="24"/>
                <w:szCs w:val="24"/>
              </w:rPr>
            </w:pPr>
            <w:r w:rsidRPr="002F15EA">
              <w:rPr>
                <w:rFonts w:ascii="Lato" w:hAnsi="Lato"/>
                <w:b/>
                <w:sz w:val="24"/>
                <w:szCs w:val="24"/>
              </w:rPr>
              <w:t>No</w:t>
            </w:r>
          </w:p>
        </w:tc>
        <w:tc>
          <w:tcPr>
            <w:tcW w:w="3372" w:type="dxa"/>
            <w:tcBorders>
              <w:bottom w:val="single" w:sz="12" w:space="0" w:color="ED7D31" w:themeColor="accent2"/>
            </w:tcBorders>
            <w:shd w:val="clear" w:color="auto" w:fill="ED7D31" w:themeFill="accent2"/>
            <w:vAlign w:val="center"/>
          </w:tcPr>
          <w:p w:rsidR="005E040D" w:rsidRPr="002F15EA" w:rsidRDefault="005E040D" w:rsidP="002F15EA">
            <w:pPr>
              <w:spacing w:before="60" w:after="60"/>
              <w:ind w:left="324" w:hanging="434"/>
              <w:jc w:val="center"/>
              <w:rPr>
                <w:rFonts w:ascii="Lato" w:hAnsi="Lato"/>
                <w:b/>
                <w:sz w:val="24"/>
                <w:szCs w:val="24"/>
              </w:rPr>
            </w:pPr>
            <w:r w:rsidRPr="002F15EA">
              <w:rPr>
                <w:rFonts w:ascii="Lato" w:hAnsi="Lato"/>
                <w:b/>
                <w:sz w:val="24"/>
                <w:szCs w:val="24"/>
              </w:rPr>
              <w:t>Description</w:t>
            </w:r>
          </w:p>
        </w:tc>
      </w:tr>
      <w:bookmarkEnd w:id="9"/>
      <w:tr w:rsidR="005E040D" w:rsidRPr="005E040D" w:rsidTr="003A3587">
        <w:trPr>
          <w:trHeight w:val="693"/>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10 of the </w:t>
            </w:r>
            <w:r w:rsidRPr="004E41BE">
              <w:rPr>
                <w:rFonts w:ascii="Lato" w:hAnsi="Lato"/>
                <w:i/>
                <w:sz w:val="24"/>
                <w:szCs w:val="24"/>
              </w:rPr>
              <w:t>Electricity Reform Act</w:t>
            </w:r>
            <w:r w:rsidRPr="004E41BE">
              <w:rPr>
                <w:rFonts w:ascii="Lato" w:hAnsi="Lato"/>
                <w:sz w:val="24"/>
                <w:szCs w:val="24"/>
              </w:rPr>
              <w:t xml:space="preserve"> – Require Information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jc w:val="center"/>
              <w:rPr>
                <w:rFonts w:ascii="Lato" w:hAnsi="Lato"/>
                <w:sz w:val="24"/>
                <w:szCs w:val="24"/>
              </w:rPr>
            </w:pPr>
            <w:r w:rsidRPr="004E41BE">
              <w:rPr>
                <w:rFonts w:ascii="Lato" w:hAnsi="Lato"/>
                <w:sz w:val="24"/>
                <w:szCs w:val="24"/>
              </w:rPr>
              <w:t>0</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ind w:left="324" w:hanging="56"/>
              <w:jc w:val="center"/>
              <w:rPr>
                <w:rFonts w:ascii="Lato" w:hAnsi="Lato"/>
                <w:sz w:val="24"/>
                <w:szCs w:val="24"/>
              </w:rPr>
            </w:pPr>
          </w:p>
        </w:tc>
      </w:tr>
      <w:tr w:rsidR="005E040D" w:rsidRPr="005E040D" w:rsidTr="003A3587">
        <w:trPr>
          <w:trHeight w:val="97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11 of the </w:t>
            </w:r>
            <w:r w:rsidRPr="004E41BE">
              <w:rPr>
                <w:rFonts w:ascii="Lato" w:hAnsi="Lato"/>
                <w:i/>
                <w:sz w:val="24"/>
                <w:szCs w:val="24"/>
              </w:rPr>
              <w:t>Electricity Reform Act</w:t>
            </w:r>
            <w:r w:rsidRPr="004E41BE">
              <w:rPr>
                <w:rFonts w:ascii="Lato" w:hAnsi="Lato"/>
                <w:sz w:val="24"/>
                <w:szCs w:val="24"/>
              </w:rPr>
              <w:t xml:space="preserve"> – Disclose Information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jc w:val="center"/>
              <w:rPr>
                <w:rFonts w:ascii="Lato" w:hAnsi="Lato"/>
                <w:sz w:val="24"/>
                <w:szCs w:val="24"/>
              </w:rPr>
            </w:pPr>
            <w:r w:rsidRPr="004E41BE">
              <w:rPr>
                <w:rFonts w:ascii="Lato" w:hAnsi="Lato"/>
                <w:sz w:val="24"/>
                <w:szCs w:val="24"/>
              </w:rPr>
              <w:t>0</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324" w:hanging="434"/>
              <w:jc w:val="center"/>
              <w:rPr>
                <w:rFonts w:ascii="Lato" w:hAnsi="Lato"/>
                <w:sz w:val="24"/>
                <w:szCs w:val="24"/>
              </w:rPr>
            </w:pPr>
            <w:r w:rsidRPr="004E41BE">
              <w:rPr>
                <w:rFonts w:ascii="Lato" w:hAnsi="Lato"/>
                <w:sz w:val="24"/>
                <w:szCs w:val="24"/>
              </w:rPr>
              <w:t>Fire Investigation Reports</w:t>
            </w:r>
          </w:p>
        </w:tc>
      </w:tr>
      <w:tr w:rsidR="005E040D" w:rsidRPr="005E040D" w:rsidTr="003A3587">
        <w:trPr>
          <w:trHeight w:val="986"/>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70 of the </w:t>
            </w:r>
            <w:r w:rsidRPr="004E41BE">
              <w:rPr>
                <w:rFonts w:ascii="Lato" w:hAnsi="Lato"/>
                <w:i/>
                <w:sz w:val="24"/>
                <w:szCs w:val="24"/>
              </w:rPr>
              <w:t>Electricity Reform Act</w:t>
            </w:r>
            <w:r w:rsidRPr="004E41BE">
              <w:rPr>
                <w:rFonts w:ascii="Lato" w:hAnsi="Lato"/>
                <w:sz w:val="24"/>
                <w:szCs w:val="24"/>
              </w:rPr>
              <w:t xml:space="preserve"> – Rectification by Direction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jc w:val="center"/>
              <w:rPr>
                <w:rFonts w:ascii="Lato" w:hAnsi="Lato"/>
                <w:sz w:val="24"/>
                <w:szCs w:val="24"/>
              </w:rPr>
            </w:pPr>
            <w:r w:rsidRPr="004E41BE">
              <w:rPr>
                <w:rFonts w:ascii="Lato" w:hAnsi="Lato"/>
                <w:sz w:val="24"/>
                <w:szCs w:val="24"/>
              </w:rPr>
              <w:t>21</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10"/>
              <w:jc w:val="center"/>
              <w:rPr>
                <w:rFonts w:ascii="Lato" w:hAnsi="Lato"/>
                <w:sz w:val="24"/>
                <w:szCs w:val="24"/>
              </w:rPr>
            </w:pPr>
            <w:r w:rsidRPr="004E41BE">
              <w:rPr>
                <w:rFonts w:ascii="Lato" w:hAnsi="Lato"/>
                <w:sz w:val="24"/>
                <w:szCs w:val="24"/>
              </w:rPr>
              <w:t xml:space="preserve">Owner/Operator </w:t>
            </w:r>
            <w:r w:rsidRPr="004E41BE">
              <w:rPr>
                <w:rFonts w:ascii="Lato" w:hAnsi="Lato"/>
                <w:sz w:val="24"/>
                <w:szCs w:val="24"/>
              </w:rPr>
              <w:br/>
              <w:t>Non-compliance</w:t>
            </w:r>
          </w:p>
        </w:tc>
      </w:tr>
      <w:tr w:rsidR="005E040D" w:rsidRPr="005E040D" w:rsidTr="003A3587">
        <w:trPr>
          <w:trHeight w:val="97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70 of the </w:t>
            </w:r>
            <w:r w:rsidRPr="004E41BE">
              <w:rPr>
                <w:rFonts w:ascii="Lato" w:hAnsi="Lato"/>
                <w:i/>
                <w:sz w:val="24"/>
                <w:szCs w:val="24"/>
              </w:rPr>
              <w:t>Electricity Reform Act</w:t>
            </w:r>
            <w:r w:rsidRPr="004E41BE">
              <w:rPr>
                <w:rFonts w:ascii="Lato" w:hAnsi="Lato"/>
                <w:sz w:val="24"/>
                <w:szCs w:val="24"/>
              </w:rPr>
              <w:t xml:space="preserve">  – Rectification by Direction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jc w:val="center"/>
              <w:rPr>
                <w:rFonts w:ascii="Lato" w:hAnsi="Lato"/>
                <w:sz w:val="24"/>
                <w:szCs w:val="24"/>
              </w:rPr>
            </w:pPr>
            <w:r w:rsidRPr="004E41BE">
              <w:rPr>
                <w:rFonts w:ascii="Lato" w:hAnsi="Lato"/>
                <w:sz w:val="24"/>
                <w:szCs w:val="24"/>
              </w:rPr>
              <w:t>21</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32" w:hanging="32"/>
              <w:jc w:val="center"/>
              <w:rPr>
                <w:rFonts w:ascii="Lato" w:hAnsi="Lato"/>
                <w:sz w:val="24"/>
                <w:szCs w:val="24"/>
              </w:rPr>
            </w:pPr>
            <w:r w:rsidRPr="004E41BE">
              <w:rPr>
                <w:rFonts w:ascii="Lato" w:hAnsi="Lato"/>
                <w:sz w:val="24"/>
                <w:szCs w:val="24"/>
              </w:rPr>
              <w:t xml:space="preserve">Contractor </w:t>
            </w:r>
            <w:r w:rsidRPr="004E41BE">
              <w:rPr>
                <w:rFonts w:ascii="Lato" w:hAnsi="Lato"/>
                <w:sz w:val="24"/>
                <w:szCs w:val="24"/>
              </w:rPr>
              <w:br/>
              <w:t>Non-compliance</w:t>
            </w:r>
          </w:p>
        </w:tc>
      </w:tr>
      <w:tr w:rsidR="005E040D" w:rsidRPr="005E040D" w:rsidTr="003A3587">
        <w:trPr>
          <w:trHeight w:val="97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lastRenderedPageBreak/>
              <w:t xml:space="preserve">Exercise of specific powers under section 78, 79 and 80 of the </w:t>
            </w:r>
            <w:r w:rsidRPr="004E41BE">
              <w:rPr>
                <w:rFonts w:ascii="Lato" w:hAnsi="Lato"/>
                <w:i/>
                <w:sz w:val="24"/>
                <w:szCs w:val="24"/>
              </w:rPr>
              <w:t>Electricity Reform Act</w:t>
            </w:r>
            <w:r w:rsidRPr="004E41BE">
              <w:rPr>
                <w:rFonts w:ascii="Lato" w:hAnsi="Lato"/>
                <w:sz w:val="24"/>
                <w:szCs w:val="24"/>
              </w:rPr>
              <w:t xml:space="preserve"> – Disconnection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jc w:val="center"/>
              <w:rPr>
                <w:rFonts w:ascii="Lato" w:hAnsi="Lato"/>
                <w:sz w:val="24"/>
                <w:szCs w:val="24"/>
              </w:rPr>
            </w:pPr>
            <w:r w:rsidRPr="004E41BE">
              <w:rPr>
                <w:rFonts w:ascii="Lato" w:hAnsi="Lato"/>
                <w:sz w:val="24"/>
                <w:szCs w:val="24"/>
              </w:rPr>
              <w:t>0</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32" w:hanging="32"/>
              <w:jc w:val="center"/>
              <w:rPr>
                <w:rFonts w:ascii="Lato" w:hAnsi="Lato"/>
                <w:sz w:val="24"/>
                <w:szCs w:val="24"/>
              </w:rPr>
            </w:pPr>
            <w:r w:rsidRPr="004E41BE">
              <w:rPr>
                <w:rFonts w:ascii="Lato" w:hAnsi="Lato"/>
                <w:sz w:val="24"/>
                <w:szCs w:val="24"/>
              </w:rPr>
              <w:t>Installations disconnected</w:t>
            </w:r>
          </w:p>
        </w:tc>
      </w:tr>
    </w:tbl>
    <w:p w:rsidR="005E040D" w:rsidRPr="004E41BE" w:rsidRDefault="005E040D" w:rsidP="002F15EA">
      <w:pPr>
        <w:spacing w:after="120" w:line="360" w:lineRule="auto"/>
        <w:rPr>
          <w:sz w:val="24"/>
          <w:szCs w:val="24"/>
        </w:rPr>
      </w:pPr>
      <w:r w:rsidRPr="004E41BE">
        <w:rPr>
          <w:rFonts w:ascii="Lato" w:hAnsi="Lato"/>
          <w:sz w:val="24"/>
          <w:szCs w:val="24"/>
        </w:rPr>
        <w:t xml:space="preserve">Part 7 of the </w:t>
      </w:r>
      <w:r w:rsidRPr="004E41BE">
        <w:rPr>
          <w:rFonts w:ascii="Lato" w:hAnsi="Lato"/>
          <w:i/>
          <w:sz w:val="24"/>
          <w:szCs w:val="24"/>
        </w:rPr>
        <w:t>Electricity Reform Act</w:t>
      </w:r>
      <w:r w:rsidRPr="004E41BE">
        <w:rPr>
          <w:rFonts w:ascii="Lato" w:hAnsi="Lato"/>
          <w:sz w:val="24"/>
          <w:szCs w:val="24"/>
        </w:rPr>
        <w:t xml:space="preserve"> provides for reviews and appeals. </w:t>
      </w:r>
      <w:r w:rsidR="009C4C07">
        <w:rPr>
          <w:rFonts w:ascii="Lato" w:hAnsi="Lato"/>
          <w:sz w:val="24"/>
          <w:szCs w:val="24"/>
        </w:rPr>
        <w:t>There were no applications for review made in the 2016-2017 financial year.</w:t>
      </w:r>
    </w:p>
    <w:tbl>
      <w:tblPr>
        <w:tblW w:w="9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s sumarising the decisions made under section 83, 84, 85 and 87(4) of the Electricity Reform Act in the 2016-2017 financial year."/>
      </w:tblPr>
      <w:tblGrid>
        <w:gridCol w:w="5103"/>
        <w:gridCol w:w="1276"/>
        <w:gridCol w:w="3421"/>
      </w:tblGrid>
      <w:tr w:rsidR="005E040D" w:rsidRPr="005E040D" w:rsidTr="003A3587">
        <w:trPr>
          <w:trHeight w:val="411"/>
          <w:tblHeader/>
          <w:jc w:val="center"/>
        </w:trPr>
        <w:tc>
          <w:tcPr>
            <w:tcW w:w="5103" w:type="dxa"/>
            <w:tcBorders>
              <w:top w:val="single" w:sz="12" w:space="0" w:color="ED7D31" w:themeColor="accent2"/>
              <w:left w:val="single" w:sz="12" w:space="0" w:color="ED7D31" w:themeColor="accent2"/>
              <w:bottom w:val="nil"/>
              <w:right w:val="nil"/>
            </w:tcBorders>
            <w:shd w:val="clear" w:color="auto" w:fill="ED7D31" w:themeFill="accent2"/>
          </w:tcPr>
          <w:p w:rsidR="005E040D" w:rsidRPr="002F15EA" w:rsidRDefault="005E040D" w:rsidP="00071ED6">
            <w:pPr>
              <w:spacing w:before="60" w:after="60"/>
              <w:ind w:left="251"/>
              <w:rPr>
                <w:rFonts w:ascii="Lato" w:hAnsi="Lato"/>
                <w:b/>
                <w:sz w:val="24"/>
                <w:szCs w:val="24"/>
              </w:rPr>
            </w:pPr>
            <w:bookmarkStart w:id="10" w:name="ColumnTitle_3"/>
            <w:r w:rsidRPr="002F15EA">
              <w:rPr>
                <w:rFonts w:ascii="Lato" w:hAnsi="Lato"/>
                <w:b/>
                <w:sz w:val="24"/>
                <w:szCs w:val="24"/>
              </w:rPr>
              <w:t>Regulatory Requirement</w:t>
            </w:r>
          </w:p>
        </w:tc>
        <w:tc>
          <w:tcPr>
            <w:tcW w:w="1276" w:type="dxa"/>
            <w:tcBorders>
              <w:top w:val="single" w:sz="12" w:space="0" w:color="ED7D31" w:themeColor="accent2"/>
              <w:left w:val="nil"/>
              <w:bottom w:val="nil"/>
              <w:right w:val="single" w:sz="12" w:space="0" w:color="ED7D31" w:themeColor="accent2"/>
            </w:tcBorders>
            <w:shd w:val="clear" w:color="auto" w:fill="ED7D31" w:themeFill="accent2"/>
            <w:vAlign w:val="center"/>
          </w:tcPr>
          <w:p w:rsidR="005E040D" w:rsidRPr="002F15EA" w:rsidRDefault="005E040D" w:rsidP="00071ED6">
            <w:pPr>
              <w:spacing w:before="60" w:after="60"/>
              <w:jc w:val="center"/>
              <w:rPr>
                <w:rFonts w:ascii="Lato" w:hAnsi="Lato"/>
                <w:b/>
                <w:sz w:val="24"/>
                <w:szCs w:val="24"/>
              </w:rPr>
            </w:pPr>
            <w:r w:rsidRPr="002F15EA">
              <w:rPr>
                <w:rFonts w:ascii="Lato" w:hAnsi="Lato"/>
                <w:b/>
                <w:sz w:val="24"/>
                <w:szCs w:val="24"/>
              </w:rPr>
              <w:t>No</w:t>
            </w:r>
          </w:p>
        </w:tc>
        <w:tc>
          <w:tcPr>
            <w:tcW w:w="3421" w:type="dxa"/>
            <w:tcBorders>
              <w:top w:val="single" w:sz="12" w:space="0" w:color="ED7D31" w:themeColor="accent2"/>
              <w:left w:val="single" w:sz="12" w:space="0" w:color="ED7D31" w:themeColor="accent2"/>
              <w:bottom w:val="nil"/>
              <w:right w:val="single" w:sz="12" w:space="0" w:color="ED7D31" w:themeColor="accent2"/>
            </w:tcBorders>
            <w:shd w:val="clear" w:color="auto" w:fill="ED7D31" w:themeFill="accent2"/>
            <w:vAlign w:val="center"/>
          </w:tcPr>
          <w:p w:rsidR="005E040D" w:rsidRPr="002F15EA" w:rsidRDefault="005E040D" w:rsidP="002F15EA">
            <w:pPr>
              <w:spacing w:before="60" w:after="60"/>
              <w:ind w:hanging="108"/>
              <w:jc w:val="center"/>
              <w:rPr>
                <w:rFonts w:ascii="Lato" w:hAnsi="Lato"/>
                <w:b/>
                <w:sz w:val="24"/>
                <w:szCs w:val="24"/>
              </w:rPr>
            </w:pPr>
            <w:r w:rsidRPr="002F15EA">
              <w:rPr>
                <w:rFonts w:ascii="Lato" w:hAnsi="Lato"/>
                <w:b/>
                <w:sz w:val="24"/>
                <w:szCs w:val="24"/>
              </w:rPr>
              <w:t>Description</w:t>
            </w:r>
          </w:p>
        </w:tc>
      </w:tr>
      <w:bookmarkEnd w:id="10"/>
      <w:tr w:rsidR="005E040D" w:rsidRPr="00B30CDA" w:rsidTr="003A3587">
        <w:trPr>
          <w:trHeight w:val="684"/>
          <w:jc w:val="center"/>
        </w:trPr>
        <w:tc>
          <w:tcPr>
            <w:tcW w:w="5103" w:type="dxa"/>
            <w:tcBorders>
              <w:top w:val="nil"/>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51"/>
              <w:rPr>
                <w:rFonts w:ascii="Lato" w:hAnsi="Lato"/>
                <w:sz w:val="24"/>
                <w:szCs w:val="24"/>
              </w:rPr>
            </w:pPr>
            <w:r w:rsidRPr="004E41BE">
              <w:rPr>
                <w:rFonts w:ascii="Lato" w:hAnsi="Lato"/>
                <w:sz w:val="24"/>
                <w:szCs w:val="24"/>
              </w:rPr>
              <w:t xml:space="preserve">Review of decisions as per section 83 of the </w:t>
            </w:r>
            <w:r w:rsidRPr="004E41BE">
              <w:rPr>
                <w:rFonts w:ascii="Lato" w:hAnsi="Lato"/>
                <w:i/>
                <w:sz w:val="24"/>
                <w:szCs w:val="24"/>
              </w:rPr>
              <w:t>Electricity Reform Act</w:t>
            </w:r>
            <w:r w:rsidRPr="004E41BE">
              <w:rPr>
                <w:rFonts w:ascii="Lato" w:hAnsi="Lato"/>
                <w:sz w:val="24"/>
                <w:szCs w:val="24"/>
              </w:rPr>
              <w:t xml:space="preserve"> – Review by Regulator</w:t>
            </w:r>
          </w:p>
        </w:tc>
        <w:tc>
          <w:tcPr>
            <w:tcW w:w="1276" w:type="dxa"/>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69"/>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51"/>
              <w:rPr>
                <w:rFonts w:ascii="Lato" w:hAnsi="Lato"/>
                <w:sz w:val="24"/>
                <w:szCs w:val="24"/>
              </w:rPr>
            </w:pPr>
            <w:r w:rsidRPr="004E41BE">
              <w:rPr>
                <w:rFonts w:ascii="Lato" w:hAnsi="Lato"/>
                <w:sz w:val="24"/>
                <w:szCs w:val="24"/>
              </w:rPr>
              <w:t xml:space="preserve">Review of decisions as per section 84 of the </w:t>
            </w:r>
            <w:r w:rsidRPr="004E41BE">
              <w:rPr>
                <w:rFonts w:ascii="Lato" w:hAnsi="Lato"/>
                <w:i/>
                <w:sz w:val="24"/>
                <w:szCs w:val="24"/>
              </w:rPr>
              <w:t>Electricity Reform Act</w:t>
            </w:r>
            <w:r w:rsidRPr="004E41BE">
              <w:rPr>
                <w:rFonts w:ascii="Lato" w:hAnsi="Lato"/>
                <w:sz w:val="24"/>
                <w:szCs w:val="24"/>
              </w:rPr>
              <w:t xml:space="preserve"> – Appeals</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84"/>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51"/>
              <w:rPr>
                <w:rFonts w:ascii="Lato" w:hAnsi="Lato"/>
                <w:sz w:val="24"/>
                <w:szCs w:val="24"/>
              </w:rPr>
            </w:pPr>
            <w:r w:rsidRPr="004E41BE">
              <w:rPr>
                <w:rFonts w:ascii="Lato" w:hAnsi="Lato"/>
                <w:sz w:val="24"/>
                <w:szCs w:val="24"/>
              </w:rPr>
              <w:t xml:space="preserve">Review of decisions as per section 85 of the </w:t>
            </w:r>
            <w:r w:rsidRPr="004E41BE">
              <w:rPr>
                <w:rFonts w:ascii="Lato" w:hAnsi="Lato"/>
                <w:i/>
                <w:sz w:val="24"/>
                <w:szCs w:val="24"/>
              </w:rPr>
              <w:t>Electricity Reform Act</w:t>
            </w:r>
            <w:r w:rsidRPr="004E41BE">
              <w:rPr>
                <w:rFonts w:ascii="Lato" w:hAnsi="Lato"/>
                <w:sz w:val="24"/>
                <w:szCs w:val="24"/>
              </w:rPr>
              <w:t xml:space="preserve"> – Ministerial Intervention</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84"/>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51"/>
              <w:rPr>
                <w:rFonts w:ascii="Lato" w:hAnsi="Lato"/>
                <w:sz w:val="24"/>
                <w:szCs w:val="24"/>
              </w:rPr>
            </w:pPr>
            <w:r w:rsidRPr="004E41BE">
              <w:rPr>
                <w:rFonts w:ascii="Lato" w:hAnsi="Lato"/>
                <w:sz w:val="24"/>
                <w:szCs w:val="24"/>
              </w:rPr>
              <w:t xml:space="preserve">Dispensations as per section 87(4) of the </w:t>
            </w:r>
            <w:r w:rsidRPr="004E41BE">
              <w:rPr>
                <w:rFonts w:ascii="Lato" w:hAnsi="Lato"/>
                <w:sz w:val="24"/>
                <w:szCs w:val="24"/>
              </w:rPr>
              <w:br/>
            </w:r>
            <w:r w:rsidRPr="004E41BE">
              <w:rPr>
                <w:rFonts w:ascii="Lato" w:hAnsi="Lato"/>
                <w:i/>
                <w:sz w:val="24"/>
                <w:szCs w:val="24"/>
              </w:rPr>
              <w:t>Electricity Reform Act</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pStyle w:val="ListParagraph"/>
              <w:spacing w:before="60" w:after="60"/>
              <w:ind w:left="-108"/>
              <w:jc w:val="center"/>
              <w:rPr>
                <w:sz w:val="24"/>
                <w:szCs w:val="24"/>
              </w:rPr>
            </w:pPr>
          </w:p>
        </w:tc>
      </w:tr>
    </w:tbl>
    <w:p w:rsidR="005E040D" w:rsidRPr="004E41BE" w:rsidRDefault="005E040D" w:rsidP="00356CE3">
      <w:pPr>
        <w:spacing w:before="360" w:line="360" w:lineRule="auto"/>
        <w:rPr>
          <w:rFonts w:ascii="Lato" w:hAnsi="Lato"/>
        </w:rPr>
      </w:pPr>
      <w:r w:rsidRPr="005559B6">
        <w:rPr>
          <w:rFonts w:ascii="Lato" w:hAnsi="Lato"/>
          <w:sz w:val="24"/>
          <w:szCs w:val="24"/>
        </w:rPr>
        <w:t xml:space="preserve">The Electrical Safety Unit of NT WorkSafe </w:t>
      </w:r>
      <w:r w:rsidR="00D037A9" w:rsidRPr="005559B6">
        <w:rPr>
          <w:rFonts w:ascii="Lato" w:hAnsi="Lato"/>
          <w:sz w:val="24"/>
          <w:szCs w:val="24"/>
        </w:rPr>
        <w:t xml:space="preserve">continued </w:t>
      </w:r>
      <w:r w:rsidRPr="005559B6">
        <w:rPr>
          <w:rFonts w:ascii="Lato" w:hAnsi="Lato"/>
          <w:sz w:val="24"/>
          <w:szCs w:val="24"/>
        </w:rPr>
        <w:t>engage</w:t>
      </w:r>
      <w:r w:rsidR="00D037A9" w:rsidRPr="005559B6">
        <w:rPr>
          <w:rFonts w:ascii="Lato" w:hAnsi="Lato"/>
          <w:sz w:val="24"/>
          <w:szCs w:val="24"/>
        </w:rPr>
        <w:t>ment</w:t>
      </w:r>
      <w:r w:rsidRPr="005559B6">
        <w:rPr>
          <w:rFonts w:ascii="Lato" w:hAnsi="Lato"/>
          <w:sz w:val="24"/>
          <w:szCs w:val="24"/>
        </w:rPr>
        <w:t xml:space="preserve"> throughout 2016-17 with Northern Territory electrical contractors regarding implementation of emerging clean and renewable energy technologies.</w:t>
      </w:r>
      <w:r w:rsidRPr="004E41BE">
        <w:rPr>
          <w:rFonts w:ascii="Lato" w:hAnsi="Lato"/>
          <w:sz w:val="24"/>
          <w:szCs w:val="24"/>
        </w:rPr>
        <w:t xml:space="preserve"> </w:t>
      </w:r>
    </w:p>
    <w:sectPr w:rsidR="005E040D" w:rsidRPr="004E41BE" w:rsidSect="009C4C07">
      <w:footerReference w:type="first" r:id="rId11"/>
      <w:pgSz w:w="11906" w:h="16838" w:code="9"/>
      <w:pgMar w:top="851" w:right="1440" w:bottom="1134" w:left="1440" w:header="1418"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17" w:rsidRDefault="00F14517" w:rsidP="0029081D">
      <w:pPr>
        <w:spacing w:after="0" w:line="240" w:lineRule="auto"/>
      </w:pPr>
      <w:r>
        <w:separator/>
      </w:r>
    </w:p>
  </w:endnote>
  <w:endnote w:type="continuationSeparator" w:id="0">
    <w:p w:rsidR="00F14517" w:rsidRDefault="00F14517" w:rsidP="0029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22830"/>
      <w:docPartObj>
        <w:docPartGallery w:val="Page Numbers (Bottom of Page)"/>
        <w:docPartUnique/>
      </w:docPartObj>
    </w:sdtPr>
    <w:sdtEndPr>
      <w:rPr>
        <w:noProof/>
      </w:rPr>
    </w:sdtEndPr>
    <w:sdtContent>
      <w:p w:rsidR="00E966DF" w:rsidRPr="00407DFB" w:rsidRDefault="00E966DF" w:rsidP="00E966DF">
        <w:pPr>
          <w:pStyle w:val="Footer"/>
          <w:tabs>
            <w:tab w:val="clear" w:pos="9026"/>
            <w:tab w:val="left" w:pos="8647"/>
          </w:tabs>
          <w:spacing w:before="240" w:after="480"/>
        </w:pPr>
        <w:r w:rsidRPr="00C13751">
          <w:rPr>
            <w:rFonts w:ascii="Lato" w:hAnsi="Lato"/>
            <w:noProof/>
            <w:sz w:val="20"/>
            <w:szCs w:val="20"/>
            <w:lang w:eastAsia="en-AU"/>
          </w:rPr>
          <w:drawing>
            <wp:anchor distT="0" distB="0" distL="114300" distR="114300" simplePos="0" relativeHeight="251665408" behindDoc="1" locked="0" layoutInCell="1" allowOverlap="1" wp14:anchorId="2BEC7A33" wp14:editId="2A18B099">
              <wp:simplePos x="0" y="0"/>
              <wp:positionH relativeFrom="margin">
                <wp:posOffset>-3248025</wp:posOffset>
              </wp:positionH>
              <wp:positionV relativeFrom="paragraph">
                <wp:posOffset>-770890</wp:posOffset>
              </wp:positionV>
              <wp:extent cx="10734675" cy="2165350"/>
              <wp:effectExtent l="0" t="0" r="0" b="0"/>
              <wp:wrapNone/>
              <wp:docPr id="5" name="Picture 5" descr="Foot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2016-2017</w:t>
        </w:r>
        <w:r>
          <w:rPr>
            <w:rFonts w:ascii="Lato" w:hAnsi="Lato"/>
            <w:sz w:val="20"/>
            <w:szCs w:val="20"/>
          </w:rPr>
          <w:t xml:space="preserve"> </w:t>
        </w:r>
        <w:r>
          <w:tab/>
        </w:r>
        <w:r w:rsidRPr="00407DFB">
          <w:fldChar w:fldCharType="begin"/>
        </w:r>
        <w:r w:rsidRPr="00407DFB">
          <w:instrText xml:space="preserve"> PAGE   \* MERGEFORMAT </w:instrText>
        </w:r>
        <w:r w:rsidRPr="00407DFB">
          <w:fldChar w:fldCharType="separate"/>
        </w:r>
        <w:r w:rsidR="000F0779">
          <w:rPr>
            <w:noProof/>
          </w:rPr>
          <w:t>7</w:t>
        </w:r>
        <w:r w:rsidRPr="00407DF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63183"/>
      <w:docPartObj>
        <w:docPartGallery w:val="Page Numbers (Bottom of Page)"/>
        <w:docPartUnique/>
      </w:docPartObj>
    </w:sdtPr>
    <w:sdtEndPr>
      <w:rPr>
        <w:noProof/>
      </w:rPr>
    </w:sdtEndPr>
    <w:sdtContent>
      <w:p w:rsidR="00E966DF" w:rsidRDefault="0029081D" w:rsidP="00E966DF">
        <w:pPr>
          <w:pStyle w:val="Footer"/>
        </w:pPr>
        <w:r w:rsidRPr="00C13751">
          <w:rPr>
            <w:rFonts w:ascii="Lato" w:hAnsi="Lato"/>
            <w:noProof/>
            <w:sz w:val="20"/>
            <w:szCs w:val="20"/>
            <w:lang w:eastAsia="en-AU"/>
          </w:rPr>
          <w:drawing>
            <wp:anchor distT="0" distB="0" distL="114300" distR="114300" simplePos="0" relativeHeight="251666432" behindDoc="1" locked="0" layoutInCell="1" allowOverlap="1" wp14:anchorId="40182BF5" wp14:editId="7A5B2174">
              <wp:simplePos x="0" y="0"/>
              <wp:positionH relativeFrom="margin">
                <wp:posOffset>-3255645</wp:posOffset>
              </wp:positionH>
              <wp:positionV relativeFrom="paragraph">
                <wp:posOffset>-862330</wp:posOffset>
              </wp:positionV>
              <wp:extent cx="10734675" cy="2165350"/>
              <wp:effectExtent l="0" t="0" r="0" b="0"/>
              <wp:wrapNone/>
              <wp:docPr id="4" name="Picture 4" descr="NT WorkSafe and Northern Territory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2016-2017</w:t>
        </w:r>
      </w:p>
      <w:p w:rsidR="0029081D" w:rsidRPr="00407DFB" w:rsidRDefault="0029081D" w:rsidP="0029081D">
        <w:pPr>
          <w:pStyle w:val="Footer"/>
          <w:tabs>
            <w:tab w:val="clear" w:pos="9026"/>
            <w:tab w:val="right" w:pos="9214"/>
          </w:tabs>
        </w:pPr>
        <w:r w:rsidRPr="00407DFB">
          <w:fldChar w:fldCharType="begin"/>
        </w:r>
        <w:r w:rsidRPr="00407DFB">
          <w:instrText xml:space="preserve"> PAGE   \* MERGEFORMAT </w:instrText>
        </w:r>
        <w:r w:rsidRPr="00407DFB">
          <w:fldChar w:fldCharType="separate"/>
        </w:r>
        <w:r w:rsidR="000F0779">
          <w:rPr>
            <w:noProof/>
          </w:rPr>
          <w:t>1</w:t>
        </w:r>
        <w:r w:rsidRPr="00407DFB">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66091"/>
      <w:docPartObj>
        <w:docPartGallery w:val="Page Numbers (Bottom of Page)"/>
        <w:docPartUnique/>
      </w:docPartObj>
    </w:sdtPr>
    <w:sdtEndPr>
      <w:rPr>
        <w:noProof/>
      </w:rPr>
    </w:sdtEndPr>
    <w:sdtContent>
      <w:p w:rsidR="00D0174A" w:rsidRPr="00407DFB" w:rsidRDefault="00D0174A" w:rsidP="00E966DF">
        <w:pPr>
          <w:pStyle w:val="Footer"/>
          <w:tabs>
            <w:tab w:val="clear" w:pos="9026"/>
            <w:tab w:val="left" w:pos="8647"/>
          </w:tabs>
          <w:spacing w:after="480"/>
        </w:pPr>
        <w:r w:rsidRPr="00C13751">
          <w:rPr>
            <w:rFonts w:ascii="Lato" w:hAnsi="Lato"/>
            <w:noProof/>
            <w:sz w:val="20"/>
            <w:szCs w:val="20"/>
            <w:lang w:eastAsia="en-AU"/>
          </w:rPr>
          <w:drawing>
            <wp:anchor distT="0" distB="0" distL="114300" distR="114300" simplePos="0" relativeHeight="251663360" behindDoc="1" locked="0" layoutInCell="1" allowOverlap="1" wp14:anchorId="33F3847D" wp14:editId="202E88BA">
              <wp:simplePos x="0" y="0"/>
              <wp:positionH relativeFrom="margin">
                <wp:posOffset>-3248025</wp:posOffset>
              </wp:positionH>
              <wp:positionV relativeFrom="paragraph">
                <wp:posOffset>-923290</wp:posOffset>
              </wp:positionV>
              <wp:extent cx="10734675" cy="2165350"/>
              <wp:effectExtent l="0" t="0" r="0" b="0"/>
              <wp:wrapNone/>
              <wp:docPr id="1" name="Picture 1" descr="Foot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2016-2017</w:t>
        </w:r>
        <w:r w:rsidR="00F86971">
          <w:rPr>
            <w:rFonts w:ascii="Lato" w:hAnsi="Lato"/>
            <w:sz w:val="20"/>
            <w:szCs w:val="20"/>
          </w:rPr>
          <w:t xml:space="preserve"> </w:t>
        </w:r>
        <w:r w:rsidR="00E966DF">
          <w:tab/>
        </w:r>
        <w:r w:rsidRPr="00407DFB">
          <w:fldChar w:fldCharType="begin"/>
        </w:r>
        <w:r w:rsidRPr="00407DFB">
          <w:instrText xml:space="preserve"> PAGE   \* MERGEFORMAT </w:instrText>
        </w:r>
        <w:r w:rsidRPr="00407DFB">
          <w:fldChar w:fldCharType="separate"/>
        </w:r>
        <w:r w:rsidR="000F0779">
          <w:rPr>
            <w:noProof/>
          </w:rPr>
          <w:t>2</w:t>
        </w:r>
        <w:r w:rsidRPr="00407DF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17" w:rsidRDefault="00F14517" w:rsidP="0029081D">
      <w:pPr>
        <w:spacing w:after="0" w:line="240" w:lineRule="auto"/>
      </w:pPr>
      <w:r>
        <w:separator/>
      </w:r>
    </w:p>
  </w:footnote>
  <w:footnote w:type="continuationSeparator" w:id="0">
    <w:p w:rsidR="00F14517" w:rsidRDefault="00F14517" w:rsidP="0029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695"/>
    <w:multiLevelType w:val="hybridMultilevel"/>
    <w:tmpl w:val="54C0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3912A0"/>
    <w:multiLevelType w:val="hybridMultilevel"/>
    <w:tmpl w:val="5C6E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310F99"/>
    <w:multiLevelType w:val="hybridMultilevel"/>
    <w:tmpl w:val="BAE2196A"/>
    <w:lvl w:ilvl="0" w:tplc="EDC2AB80">
      <w:start w:val="1"/>
      <w:numFmt w:val="decimal"/>
      <w:lvlText w:val="(%1)"/>
      <w:lvlJc w:val="left"/>
      <w:pPr>
        <w:ind w:left="720" w:hanging="360"/>
      </w:pPr>
      <w:rPr>
        <w:rFonts w:hint="default"/>
      </w:rPr>
    </w:lvl>
    <w:lvl w:ilvl="1" w:tplc="0C090019">
      <w:start w:val="1"/>
      <w:numFmt w:val="lowerLetter"/>
      <w:lvlText w:val="%2."/>
      <w:lvlJc w:val="left"/>
      <w:pPr>
        <w:ind w:left="107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2720F8"/>
    <w:multiLevelType w:val="hybridMultilevel"/>
    <w:tmpl w:val="FC1A3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7"/>
    <w:rsid w:val="000A7200"/>
    <w:rsid w:val="000F0779"/>
    <w:rsid w:val="00100A69"/>
    <w:rsid w:val="001130E6"/>
    <w:rsid w:val="00194AF5"/>
    <w:rsid w:val="00231457"/>
    <w:rsid w:val="002536F7"/>
    <w:rsid w:val="002555F8"/>
    <w:rsid w:val="002623E3"/>
    <w:rsid w:val="0029081D"/>
    <w:rsid w:val="002B61F7"/>
    <w:rsid w:val="002F15EA"/>
    <w:rsid w:val="002F411F"/>
    <w:rsid w:val="003420C9"/>
    <w:rsid w:val="00356CE3"/>
    <w:rsid w:val="003A3587"/>
    <w:rsid w:val="003E2C90"/>
    <w:rsid w:val="00455D78"/>
    <w:rsid w:val="004E41BE"/>
    <w:rsid w:val="00532A92"/>
    <w:rsid w:val="005559B6"/>
    <w:rsid w:val="005A395D"/>
    <w:rsid w:val="005A3DC7"/>
    <w:rsid w:val="005A4878"/>
    <w:rsid w:val="005A5E92"/>
    <w:rsid w:val="005E040D"/>
    <w:rsid w:val="006206FF"/>
    <w:rsid w:val="00643C99"/>
    <w:rsid w:val="006D5471"/>
    <w:rsid w:val="00702A09"/>
    <w:rsid w:val="007545D6"/>
    <w:rsid w:val="00773AF8"/>
    <w:rsid w:val="00790C59"/>
    <w:rsid w:val="008941F1"/>
    <w:rsid w:val="008B01B8"/>
    <w:rsid w:val="008F4F15"/>
    <w:rsid w:val="009055D4"/>
    <w:rsid w:val="009C4C07"/>
    <w:rsid w:val="00A50F8C"/>
    <w:rsid w:val="00A524AE"/>
    <w:rsid w:val="00AA6AD8"/>
    <w:rsid w:val="00AA7671"/>
    <w:rsid w:val="00AD5810"/>
    <w:rsid w:val="00B41CF6"/>
    <w:rsid w:val="00B93B45"/>
    <w:rsid w:val="00BB0D8F"/>
    <w:rsid w:val="00C13751"/>
    <w:rsid w:val="00CB5D7C"/>
    <w:rsid w:val="00CF35B7"/>
    <w:rsid w:val="00D0174A"/>
    <w:rsid w:val="00D037A9"/>
    <w:rsid w:val="00D2215A"/>
    <w:rsid w:val="00D22BC4"/>
    <w:rsid w:val="00D51976"/>
    <w:rsid w:val="00D804E9"/>
    <w:rsid w:val="00DD7A7A"/>
    <w:rsid w:val="00DE0F82"/>
    <w:rsid w:val="00DE4041"/>
    <w:rsid w:val="00E12988"/>
    <w:rsid w:val="00E13B5D"/>
    <w:rsid w:val="00E43184"/>
    <w:rsid w:val="00E61105"/>
    <w:rsid w:val="00E81AC8"/>
    <w:rsid w:val="00E966DF"/>
    <w:rsid w:val="00ED5169"/>
    <w:rsid w:val="00F14517"/>
    <w:rsid w:val="00F329B2"/>
    <w:rsid w:val="00F54107"/>
    <w:rsid w:val="00F86971"/>
    <w:rsid w:val="00FB4B38"/>
    <w:rsid w:val="00FF6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E887EC-6760-431A-A1CE-6E225F8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13B5D"/>
    <w:pPr>
      <w:spacing w:before="240" w:after="20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455D78"/>
    <w:pPr>
      <w:spacing w:before="360" w:after="200" w:line="240" w:lineRule="auto"/>
      <w:outlineLvl w:val="1"/>
    </w:pPr>
    <w:rPr>
      <w:rFonts w:ascii="Lato Black" w:eastAsiaTheme="majorEastAsia" w:hAnsi="Lato Black" w:cstheme="majorBidi"/>
      <w:bCs/>
      <w:color w:val="DB7310"/>
      <w:kern w:val="32"/>
      <w:sz w:val="28"/>
      <w:szCs w:val="28"/>
      <w:lang w:eastAsia="en-AU"/>
    </w:rPr>
  </w:style>
  <w:style w:type="paragraph" w:styleId="Heading3">
    <w:name w:val="heading 3"/>
    <w:next w:val="Normal"/>
    <w:link w:val="Heading3Char"/>
    <w:uiPriority w:val="9"/>
    <w:unhideWhenUsed/>
    <w:qFormat/>
    <w:rsid w:val="00455D78"/>
    <w:pPr>
      <w:keepNext/>
      <w:spacing w:before="360" w:after="240" w:line="240" w:lineRule="auto"/>
      <w:outlineLvl w:val="2"/>
    </w:pPr>
    <w:rPr>
      <w:rFonts w:ascii="Lato" w:eastAsiaTheme="majorEastAsia" w:hAnsi="Lato" w:cstheme="majorBidi"/>
      <w:b/>
      <w:bCs/>
      <w:color w:val="808080" w:themeColor="background1" w:themeShade="80"/>
      <w:kern w:val="32"/>
      <w:sz w:val="28"/>
      <w:szCs w:val="24"/>
      <w:lang w:eastAsia="en-AU"/>
    </w:rPr>
  </w:style>
  <w:style w:type="paragraph" w:styleId="Heading4">
    <w:name w:val="heading 4"/>
    <w:next w:val="Normal"/>
    <w:link w:val="Heading4Char"/>
    <w:uiPriority w:val="9"/>
    <w:unhideWhenUsed/>
    <w:qFormat/>
    <w:rsid w:val="00E13B5D"/>
    <w:pPr>
      <w:spacing w:before="360" w:after="20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5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455D78"/>
    <w:rPr>
      <w:rFonts w:ascii="Lato Black" w:eastAsiaTheme="majorEastAsia" w:hAnsi="Lato Black" w:cstheme="majorBidi"/>
      <w:bCs/>
      <w:color w:val="DB7310"/>
      <w:kern w:val="32"/>
      <w:sz w:val="28"/>
      <w:szCs w:val="28"/>
      <w:lang w:eastAsia="en-AU"/>
    </w:rPr>
  </w:style>
  <w:style w:type="character" w:customStyle="1" w:styleId="Heading3Char">
    <w:name w:val="Heading 3 Char"/>
    <w:basedOn w:val="DefaultParagraphFont"/>
    <w:link w:val="Heading3"/>
    <w:uiPriority w:val="9"/>
    <w:rsid w:val="00455D78"/>
    <w:rPr>
      <w:rFonts w:ascii="Lato" w:eastAsiaTheme="majorEastAsia" w:hAnsi="Lato" w:cstheme="majorBidi"/>
      <w:b/>
      <w:bCs/>
      <w:color w:val="808080" w:themeColor="background1" w:themeShade="80"/>
      <w:kern w:val="32"/>
      <w:sz w:val="28"/>
      <w:szCs w:val="24"/>
      <w:lang w:eastAsia="en-AU"/>
    </w:rPr>
  </w:style>
  <w:style w:type="character" w:customStyle="1" w:styleId="Heading4Char">
    <w:name w:val="Heading 4 Char"/>
    <w:basedOn w:val="DefaultParagraphFont"/>
    <w:link w:val="Heading4"/>
    <w:uiPriority w:val="9"/>
    <w:rsid w:val="00E13B5D"/>
    <w:rPr>
      <w:rFonts w:ascii="Lato Black" w:eastAsiaTheme="majorEastAsia" w:hAnsi="Lato Black" w:cstheme="majorBidi"/>
      <w:bCs/>
      <w:color w:val="606060"/>
      <w:kern w:val="32"/>
      <w:lang w:eastAsia="en-AU"/>
    </w:rPr>
  </w:style>
  <w:style w:type="paragraph" w:customStyle="1" w:styleId="Subheading">
    <w:name w:val="Subheading"/>
    <w:uiPriority w:val="99"/>
    <w:rsid w:val="00E13B5D"/>
    <w:pPr>
      <w:spacing w:before="360" w:after="360" w:line="240" w:lineRule="auto"/>
    </w:pPr>
    <w:rPr>
      <w:rFonts w:ascii="Lato Black" w:eastAsia="Times New Roman" w:hAnsi="Lato Black" w:cs="Arial"/>
      <w:color w:val="CB6015"/>
      <w:sz w:val="36"/>
      <w:szCs w:val="36"/>
      <w:lang w:eastAsia="en-AU"/>
    </w:rPr>
  </w:style>
  <w:style w:type="paragraph" w:styleId="ListParagraph">
    <w:name w:val="List Paragraph"/>
    <w:basedOn w:val="Normal"/>
    <w:uiPriority w:val="34"/>
    <w:qFormat/>
    <w:rsid w:val="00E13B5D"/>
    <w:pPr>
      <w:spacing w:after="200" w:line="240" w:lineRule="auto"/>
      <w:ind w:left="720"/>
      <w:contextualSpacing/>
    </w:pPr>
    <w:rPr>
      <w:rFonts w:ascii="Lato" w:eastAsia="Times New Roman" w:hAnsi="Lato" w:cs="Times New Roman"/>
      <w:szCs w:val="20"/>
      <w:lang w:eastAsia="en-AU"/>
    </w:rPr>
  </w:style>
  <w:style w:type="paragraph" w:styleId="TOCHeading">
    <w:name w:val="TOC Heading"/>
    <w:basedOn w:val="Heading1"/>
    <w:next w:val="Normal"/>
    <w:uiPriority w:val="39"/>
    <w:unhideWhenUsed/>
    <w:qFormat/>
    <w:rsid w:val="00DE0F82"/>
    <w:pPr>
      <w:keepNext/>
      <w:keepLines/>
      <w:spacing w:after="0" w:line="259" w:lineRule="auto"/>
      <w:outlineLvl w:val="9"/>
    </w:pPr>
    <w:rPr>
      <w:rFonts w:asciiTheme="majorHAnsi" w:hAnsiTheme="majorHAnsi"/>
      <w:bCs w:val="0"/>
      <w:color w:val="2E74B5" w:themeColor="accent1" w:themeShade="BF"/>
      <w:kern w:val="0"/>
      <w:lang w:val="en-US" w:eastAsia="en-US"/>
    </w:rPr>
  </w:style>
  <w:style w:type="paragraph" w:styleId="TOC1">
    <w:name w:val="toc 1"/>
    <w:basedOn w:val="Normal"/>
    <w:next w:val="Normal"/>
    <w:autoRedefine/>
    <w:uiPriority w:val="39"/>
    <w:unhideWhenUsed/>
    <w:rsid w:val="00DE0F82"/>
    <w:pPr>
      <w:spacing w:after="100"/>
    </w:pPr>
  </w:style>
  <w:style w:type="paragraph" w:styleId="TOC2">
    <w:name w:val="toc 2"/>
    <w:basedOn w:val="Normal"/>
    <w:next w:val="Normal"/>
    <w:autoRedefine/>
    <w:uiPriority w:val="39"/>
    <w:unhideWhenUsed/>
    <w:rsid w:val="00DE0F82"/>
    <w:pPr>
      <w:spacing w:after="100"/>
      <w:ind w:left="220"/>
    </w:pPr>
  </w:style>
  <w:style w:type="paragraph" w:styleId="TOC3">
    <w:name w:val="toc 3"/>
    <w:basedOn w:val="Normal"/>
    <w:next w:val="Normal"/>
    <w:autoRedefine/>
    <w:uiPriority w:val="39"/>
    <w:unhideWhenUsed/>
    <w:rsid w:val="00DE0F82"/>
    <w:pPr>
      <w:spacing w:after="100"/>
      <w:ind w:left="440"/>
    </w:pPr>
  </w:style>
  <w:style w:type="character" w:styleId="Hyperlink">
    <w:name w:val="Hyperlink"/>
    <w:basedOn w:val="DefaultParagraphFont"/>
    <w:uiPriority w:val="99"/>
    <w:unhideWhenUsed/>
    <w:rsid w:val="00DE0F82"/>
    <w:rPr>
      <w:color w:val="0563C1" w:themeColor="hyperlink"/>
      <w:u w:val="single"/>
    </w:rPr>
  </w:style>
  <w:style w:type="paragraph" w:styleId="Title">
    <w:name w:val="Title"/>
    <w:basedOn w:val="Normal"/>
    <w:next w:val="Normal"/>
    <w:link w:val="TitleChar"/>
    <w:uiPriority w:val="10"/>
    <w:qFormat/>
    <w:rsid w:val="002F411F"/>
    <w:pPr>
      <w:spacing w:before="120" w:after="0" w:line="240" w:lineRule="auto"/>
      <w:contextualSpacing/>
    </w:pPr>
    <w:rPr>
      <w:rFonts w:ascii="Arial" w:eastAsiaTheme="majorEastAsia" w:hAnsi="Arial"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2F411F"/>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2F411F"/>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2F411F"/>
    <w:rPr>
      <w:rFonts w:ascii="Arial" w:eastAsiaTheme="minorEastAsia" w:hAnsi="Arial" w:cstheme="majorBidi"/>
      <w:b/>
      <w:color w:val="FFFFFF" w:themeColor="background1"/>
      <w:spacing w:val="15"/>
      <w:kern w:val="28"/>
      <w:sz w:val="48"/>
      <w:szCs w:val="56"/>
    </w:rPr>
  </w:style>
  <w:style w:type="paragraph" w:styleId="Header">
    <w:name w:val="header"/>
    <w:basedOn w:val="Normal"/>
    <w:link w:val="HeaderChar"/>
    <w:uiPriority w:val="99"/>
    <w:unhideWhenUsed/>
    <w:rsid w:val="0029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1D"/>
  </w:style>
  <w:style w:type="paragraph" w:styleId="Footer">
    <w:name w:val="footer"/>
    <w:basedOn w:val="Normal"/>
    <w:link w:val="FooterChar"/>
    <w:uiPriority w:val="99"/>
    <w:unhideWhenUsed/>
    <w:rsid w:val="0029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1D"/>
  </w:style>
  <w:style w:type="paragraph" w:styleId="BalloonText">
    <w:name w:val="Balloon Text"/>
    <w:basedOn w:val="Normal"/>
    <w:link w:val="BalloonTextChar"/>
    <w:uiPriority w:val="99"/>
    <w:semiHidden/>
    <w:unhideWhenUsed/>
    <w:rsid w:val="005A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Corporate</NTWorkSafe_x0020_Filter>
    <PDFFileSize xmlns="eb399b68-b676-431b-a7f2-330aea86a718">341191</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318F31-D9D4-4EAB-A5F4-537E06FE9DCA}"/>
</file>

<file path=customXml/itemProps2.xml><?xml version="1.0" encoding="utf-8"?>
<ds:datastoreItem xmlns:ds="http://schemas.openxmlformats.org/officeDocument/2006/customXml" ds:itemID="{A662EE8B-D246-43BA-B509-C0F583763CD8}"/>
</file>

<file path=customXml/itemProps3.xml><?xml version="1.0" encoding="utf-8"?>
<ds:datastoreItem xmlns:ds="http://schemas.openxmlformats.org/officeDocument/2006/customXml" ds:itemID="{8706191F-5656-4A87-B086-FEC4F7C44DF4}"/>
</file>

<file path=customXml/itemProps4.xml><?xml version="1.0" encoding="utf-8"?>
<ds:datastoreItem xmlns:ds="http://schemas.openxmlformats.org/officeDocument/2006/customXml" ds:itemID="{D4DC0C0F-E1D3-4CB1-AEB5-E7F464FBE6E3}"/>
</file>

<file path=docProps/app.xml><?xml version="1.0" encoding="utf-8"?>
<Properties xmlns="http://schemas.openxmlformats.org/officeDocument/2006/extended-properties" xmlns:vt="http://schemas.openxmlformats.org/officeDocument/2006/docPropsVTypes">
  <Template>Normal</Template>
  <TotalTime>181</TotalTime>
  <Pages>7</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Regulator Annual Report 2016-2017</dc:title>
  <dc:subject/>
  <dc:creator>Lou Hall</dc:creator>
  <cp:keywords/>
  <dc:description/>
  <cp:lastModifiedBy>Peter Chan</cp:lastModifiedBy>
  <cp:revision>28</cp:revision>
  <dcterms:created xsi:type="dcterms:W3CDTF">2017-09-06T05:15:00Z</dcterms:created>
  <dcterms:modified xsi:type="dcterms:W3CDTF">2017-10-24T06:07:00Z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