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353" w:rsidRDefault="00253288" w:rsidP="007334CC">
      <w:pPr>
        <w:keepNext/>
        <w:spacing w:before="840" w:after="360" w:line="240" w:lineRule="auto"/>
        <w:jc w:val="center"/>
        <w:outlineLvl w:val="0"/>
        <w:rPr>
          <w:rFonts w:eastAsia="Times New Roman" w:cs="Arial"/>
          <w:b/>
          <w:bCs/>
          <w:sz w:val="32"/>
          <w:szCs w:val="20"/>
          <w:lang w:val="en-US"/>
        </w:rPr>
      </w:pPr>
      <w:bookmarkStart w:id="0" w:name="_Toc487809941"/>
      <w:bookmarkStart w:id="1" w:name="_GoBack"/>
      <w:bookmarkEnd w:id="1"/>
      <w:r>
        <w:rPr>
          <w:rFonts w:eastAsia="Times New Roman" w:cs="Arial"/>
          <w:b/>
          <w:bCs/>
          <w:noProof/>
          <w:sz w:val="32"/>
          <w:szCs w:val="20"/>
          <w:lang w:eastAsia="en-AU"/>
        </w:rPr>
        <w:drawing>
          <wp:inline distT="0" distB="0" distL="0" distR="0">
            <wp:extent cx="3116082" cy="711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 WorkSafe logo - colour.jpg"/>
                    <pic:cNvPicPr/>
                  </pic:nvPicPr>
                  <pic:blipFill>
                    <a:blip r:embed="rId8">
                      <a:extLst>
                        <a:ext uri="{28A0092B-C50C-407E-A947-70E740481C1C}">
                          <a14:useLocalDpi xmlns:a14="http://schemas.microsoft.com/office/drawing/2010/main" val="0"/>
                        </a:ext>
                      </a:extLst>
                    </a:blip>
                    <a:stretch>
                      <a:fillRect/>
                    </a:stretch>
                  </pic:blipFill>
                  <pic:spPr>
                    <a:xfrm>
                      <a:off x="0" y="0"/>
                      <a:ext cx="3123074" cy="712796"/>
                    </a:xfrm>
                    <a:prstGeom prst="rect">
                      <a:avLst/>
                    </a:prstGeom>
                    <a:effectLst>
                      <a:softEdge rad="63500"/>
                    </a:effectLst>
                  </pic:spPr>
                </pic:pic>
              </a:graphicData>
            </a:graphic>
          </wp:inline>
        </w:drawing>
      </w:r>
      <w:bookmarkEnd w:id="0"/>
    </w:p>
    <w:p w:rsidR="0044260B" w:rsidRDefault="0044260B" w:rsidP="006441E7">
      <w:pPr>
        <w:spacing w:after="840" w:line="720" w:lineRule="exact"/>
        <w:jc w:val="center"/>
        <w:rPr>
          <w:rFonts w:eastAsia="Times New Roman" w:cs="Arial"/>
          <w:b/>
          <w:bCs/>
          <w:sz w:val="60"/>
          <w:szCs w:val="60"/>
          <w:lang w:val="en-US"/>
        </w:rPr>
      </w:pPr>
      <w:r w:rsidRPr="0044260B">
        <w:rPr>
          <w:rFonts w:eastAsia="Times New Roman" w:cs="Arial"/>
          <w:b/>
          <w:bCs/>
          <w:sz w:val="60"/>
          <w:szCs w:val="60"/>
          <w:lang w:val="en-US"/>
        </w:rPr>
        <w:t>Guidelines for the evaluation of permanent impairment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4"/>
        <w:gridCol w:w="2644"/>
      </w:tblGrid>
      <w:tr w:rsidR="006441E7" w:rsidTr="00B86854">
        <w:trPr>
          <w:jc w:val="center"/>
        </w:trPr>
        <w:tc>
          <w:tcPr>
            <w:tcW w:w="4014" w:type="dxa"/>
            <w:vMerge w:val="restart"/>
            <w:tcBorders>
              <w:top w:val="single" w:sz="48" w:space="0" w:color="002060"/>
              <w:left w:val="single" w:sz="48" w:space="0" w:color="002060"/>
              <w:bottom w:val="single" w:sz="48" w:space="0" w:color="002060"/>
              <w:right w:val="single" w:sz="48" w:space="0" w:color="002060"/>
            </w:tcBorders>
            <w:vAlign w:val="center"/>
          </w:tcPr>
          <w:p w:rsidR="006441E7" w:rsidRDefault="00B86854" w:rsidP="00FA5FB5">
            <w:pPr>
              <w:jc w:val="center"/>
            </w:pPr>
            <w:r>
              <w:rPr>
                <w:noProof/>
              </w:rPr>
              <w:drawing>
                <wp:inline distT="0" distB="0" distL="0" distR="0" wp14:anchorId="77253734" wp14:editId="69C3C3EB">
                  <wp:extent cx="2190750" cy="3277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rebro.jpg"/>
                          <pic:cNvPicPr/>
                        </pic:nvPicPr>
                        <pic:blipFill rotWithShape="1">
                          <a:blip r:embed="rId9" cstate="print">
                            <a:extLst>
                              <a:ext uri="{28A0092B-C50C-407E-A947-70E740481C1C}">
                                <a14:useLocalDpi xmlns:a14="http://schemas.microsoft.com/office/drawing/2010/main" val="0"/>
                              </a:ext>
                            </a:extLst>
                          </a:blip>
                          <a:srcRect l="1880" t="3098" r="11643"/>
                          <a:stretch/>
                        </pic:blipFill>
                        <pic:spPr bwMode="auto">
                          <a:xfrm>
                            <a:off x="0" y="0"/>
                            <a:ext cx="2200489" cy="3291804"/>
                          </a:xfrm>
                          <a:prstGeom prst="rect">
                            <a:avLst/>
                          </a:prstGeom>
                          <a:ln>
                            <a:noFill/>
                          </a:ln>
                          <a:effectLst>
                            <a:softEdge rad="317500"/>
                          </a:effectLst>
                          <a:extLst>
                            <a:ext uri="{53640926-AAD7-44D8-BBD7-CCE9431645EC}">
                              <a14:shadowObscured xmlns:a14="http://schemas.microsoft.com/office/drawing/2010/main"/>
                            </a:ext>
                          </a:extLst>
                        </pic:spPr>
                      </pic:pic>
                    </a:graphicData>
                  </a:graphic>
                </wp:inline>
              </w:drawing>
            </w:r>
          </w:p>
        </w:tc>
        <w:tc>
          <w:tcPr>
            <w:tcW w:w="2644" w:type="dxa"/>
            <w:tcBorders>
              <w:top w:val="single" w:sz="48" w:space="0" w:color="002060"/>
              <w:left w:val="single" w:sz="48" w:space="0" w:color="002060"/>
              <w:bottom w:val="single" w:sz="48" w:space="0" w:color="002060"/>
              <w:right w:val="single" w:sz="48" w:space="0" w:color="002060"/>
            </w:tcBorders>
            <w:vAlign w:val="center"/>
          </w:tcPr>
          <w:p w:rsidR="006441E7" w:rsidRDefault="00B86854" w:rsidP="00FA5FB5">
            <w:r>
              <w:rPr>
                <w:noProof/>
              </w:rPr>
              <w:drawing>
                <wp:inline distT="0" distB="0" distL="0" distR="0" wp14:anchorId="3C7297F8" wp14:editId="133CEB00">
                  <wp:extent cx="1724025" cy="1724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rebro-humano-con-rayos_1048-47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a:effectLst>
                            <a:softEdge rad="317500"/>
                          </a:effectLst>
                        </pic:spPr>
                      </pic:pic>
                    </a:graphicData>
                  </a:graphic>
                </wp:inline>
              </w:drawing>
            </w:r>
          </w:p>
        </w:tc>
      </w:tr>
      <w:tr w:rsidR="006441E7" w:rsidTr="00B86854">
        <w:trPr>
          <w:jc w:val="center"/>
        </w:trPr>
        <w:tc>
          <w:tcPr>
            <w:tcW w:w="4014" w:type="dxa"/>
            <w:vMerge/>
            <w:tcBorders>
              <w:top w:val="single" w:sz="48" w:space="0" w:color="002060"/>
              <w:left w:val="single" w:sz="48" w:space="0" w:color="002060"/>
              <w:bottom w:val="single" w:sz="48" w:space="0" w:color="002060"/>
              <w:right w:val="single" w:sz="48" w:space="0" w:color="002060"/>
            </w:tcBorders>
            <w:vAlign w:val="center"/>
          </w:tcPr>
          <w:p w:rsidR="006441E7" w:rsidRDefault="006441E7" w:rsidP="00FA5FB5">
            <w:pPr>
              <w:jc w:val="center"/>
            </w:pPr>
          </w:p>
        </w:tc>
        <w:tc>
          <w:tcPr>
            <w:tcW w:w="2644" w:type="dxa"/>
            <w:tcBorders>
              <w:top w:val="single" w:sz="48" w:space="0" w:color="002060"/>
              <w:left w:val="single" w:sz="48" w:space="0" w:color="002060"/>
              <w:bottom w:val="single" w:sz="48" w:space="0" w:color="002060"/>
              <w:right w:val="single" w:sz="48" w:space="0" w:color="002060"/>
            </w:tcBorders>
            <w:vAlign w:val="center"/>
          </w:tcPr>
          <w:p w:rsidR="006441E7" w:rsidRDefault="00B86854" w:rsidP="00FA5FB5">
            <w:pPr>
              <w:jc w:val="center"/>
            </w:pPr>
            <w:r>
              <w:rPr>
                <w:noProof/>
              </w:rPr>
              <w:drawing>
                <wp:inline distT="0" distB="0" distL="0" distR="0" wp14:anchorId="4A83BEEA" wp14:editId="3B3FEB3A">
                  <wp:extent cx="1408157" cy="17049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LD IN HAND.jpg"/>
                          <pic:cNvPicPr/>
                        </pic:nvPicPr>
                        <pic:blipFill>
                          <a:blip r:embed="rId11">
                            <a:extLst>
                              <a:ext uri="{28A0092B-C50C-407E-A947-70E740481C1C}">
                                <a14:useLocalDpi xmlns:a14="http://schemas.microsoft.com/office/drawing/2010/main" val="0"/>
                              </a:ext>
                            </a:extLst>
                          </a:blip>
                          <a:stretch>
                            <a:fillRect/>
                          </a:stretch>
                        </pic:blipFill>
                        <pic:spPr>
                          <a:xfrm>
                            <a:off x="0" y="0"/>
                            <a:ext cx="1411703" cy="1709268"/>
                          </a:xfrm>
                          <a:prstGeom prst="rect">
                            <a:avLst/>
                          </a:prstGeom>
                          <a:effectLst>
                            <a:softEdge rad="317500"/>
                          </a:effectLst>
                        </pic:spPr>
                      </pic:pic>
                    </a:graphicData>
                  </a:graphic>
                </wp:inline>
              </w:drawing>
            </w:r>
          </w:p>
        </w:tc>
      </w:tr>
    </w:tbl>
    <w:p w:rsidR="006441E7" w:rsidRDefault="00B86854" w:rsidP="006441E7">
      <w:pPr>
        <w:spacing w:line="720" w:lineRule="exact"/>
        <w:jc w:val="center"/>
        <w:rPr>
          <w:rFonts w:eastAsia="Times New Roman" w:cs="Times New Roman"/>
          <w:sz w:val="36"/>
          <w:szCs w:val="20"/>
          <w:lang w:val="en-US"/>
        </w:rPr>
      </w:pPr>
      <w:r>
        <w:rPr>
          <w:noProof/>
          <w:lang w:eastAsia="en-AU"/>
        </w:rPr>
        <w:drawing>
          <wp:inline distT="0" distB="0" distL="0" distR="0" wp14:anchorId="2A15F8A2" wp14:editId="27F0262F">
            <wp:extent cx="750570" cy="4301269"/>
            <wp:effectExtent l="0" t="3493" r="7938" b="793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e-Lightning-Background-Vector-STRIP.jpg"/>
                    <pic:cNvPicPr/>
                  </pic:nvPicPr>
                  <pic:blipFill rotWithShape="1">
                    <a:blip r:embed="rId12">
                      <a:extLst>
                        <a:ext uri="{28A0092B-C50C-407E-A947-70E740481C1C}">
                          <a14:useLocalDpi xmlns:a14="http://schemas.microsoft.com/office/drawing/2010/main" val="0"/>
                        </a:ext>
                      </a:extLst>
                    </a:blip>
                    <a:srcRect l="19322" r="24078"/>
                    <a:stretch/>
                  </pic:blipFill>
                  <pic:spPr bwMode="auto">
                    <a:xfrm rot="5400000">
                      <a:off x="0" y="0"/>
                      <a:ext cx="761625" cy="4364623"/>
                    </a:xfrm>
                    <a:prstGeom prst="rect">
                      <a:avLst/>
                    </a:prstGeom>
                    <a:ln>
                      <a:noFill/>
                    </a:ln>
                    <a:effectLst>
                      <a:softEdge rad="317500"/>
                    </a:effectLst>
                    <a:extLst>
                      <a:ext uri="{53640926-AAD7-44D8-BBD7-CCE9431645EC}">
                        <a14:shadowObscured xmlns:a14="http://schemas.microsoft.com/office/drawing/2010/main"/>
                      </a:ext>
                    </a:extLst>
                  </pic:spPr>
                </pic:pic>
              </a:graphicData>
            </a:graphic>
          </wp:inline>
        </w:drawing>
      </w:r>
    </w:p>
    <w:p w:rsidR="00E02F45" w:rsidRPr="00E02F45" w:rsidRDefault="00E02F45" w:rsidP="00E02F45">
      <w:pPr>
        <w:spacing w:after="120" w:line="240" w:lineRule="auto"/>
        <w:jc w:val="center"/>
        <w:rPr>
          <w:rFonts w:cs="Arial"/>
          <w:b/>
          <w:color w:val="333333"/>
          <w:sz w:val="20"/>
          <w:szCs w:val="20"/>
          <w:shd w:val="clear" w:color="auto" w:fill="FFFFFF"/>
        </w:rPr>
      </w:pPr>
      <w:r w:rsidRPr="00E02F45">
        <w:rPr>
          <w:rFonts w:cs="Arial"/>
          <w:b/>
          <w:color w:val="333333"/>
          <w:sz w:val="20"/>
          <w:szCs w:val="20"/>
          <w:shd w:val="clear" w:color="auto" w:fill="FFFFFF"/>
        </w:rPr>
        <w:t>August 2018</w:t>
      </w:r>
    </w:p>
    <w:p w:rsidR="0031302D" w:rsidRPr="00E02F45" w:rsidRDefault="00E02F45" w:rsidP="00E02F45">
      <w:pPr>
        <w:spacing w:after="120" w:line="240" w:lineRule="auto"/>
        <w:jc w:val="center"/>
        <w:rPr>
          <w:rFonts w:eastAsia="Times New Roman" w:cs="Times New Roman"/>
          <w:b/>
          <w:sz w:val="36"/>
          <w:szCs w:val="20"/>
          <w:lang w:val="en-US"/>
        </w:rPr>
      </w:pPr>
      <w:r w:rsidRPr="00E02F45">
        <w:rPr>
          <w:rFonts w:cs="Arial"/>
          <w:b/>
          <w:i/>
          <w:sz w:val="20"/>
          <w:szCs w:val="20"/>
          <w:lang w:val="en-US"/>
        </w:rPr>
        <w:t>NT WorkSafe Guidelines for the Evaluation of Permanent Impairment</w:t>
      </w:r>
      <w:r w:rsidRPr="00E02F45">
        <w:rPr>
          <w:rFonts w:cs="Arial"/>
          <w:b/>
          <w:color w:val="333333"/>
          <w:sz w:val="20"/>
          <w:szCs w:val="20"/>
          <w:shd w:val="clear" w:color="auto" w:fill="FFFFFF"/>
        </w:rPr>
        <w:t> (v1.1)</w:t>
      </w:r>
    </w:p>
    <w:p w:rsidR="00FA5FB5" w:rsidRDefault="007334CC" w:rsidP="007334CC">
      <w:pPr>
        <w:spacing w:before="1560" w:after="0" w:line="240" w:lineRule="auto"/>
        <w:jc w:val="right"/>
        <w:rPr>
          <w:rFonts w:eastAsia="Times New Roman" w:cs="Times New Roman"/>
          <w:sz w:val="36"/>
          <w:szCs w:val="20"/>
          <w:lang w:val="en-US"/>
        </w:rPr>
      </w:pPr>
      <w:r>
        <w:rPr>
          <w:rFonts w:eastAsia="Times New Roman" w:cs="Times New Roman"/>
          <w:noProof/>
          <w:sz w:val="36"/>
          <w:szCs w:val="20"/>
          <w:lang w:eastAsia="en-AU"/>
        </w:rPr>
        <w:drawing>
          <wp:inline distT="0" distB="0" distL="0" distR="0">
            <wp:extent cx="1562354" cy="58172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orthern Territory Government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1397" cy="592542"/>
                    </a:xfrm>
                    <a:prstGeom prst="rect">
                      <a:avLst/>
                    </a:prstGeom>
                  </pic:spPr>
                </pic:pic>
              </a:graphicData>
            </a:graphic>
          </wp:inline>
        </w:drawing>
      </w:r>
    </w:p>
    <w:p w:rsidR="007334CC" w:rsidRDefault="007334CC" w:rsidP="00C61FD5">
      <w:pPr>
        <w:spacing w:before="9000" w:after="0" w:line="240" w:lineRule="auto"/>
        <w:rPr>
          <w:rFonts w:eastAsia="Times New Roman" w:cs="Times New Roman"/>
          <w:b/>
          <w:sz w:val="24"/>
          <w:szCs w:val="24"/>
          <w:lang w:val="en-US"/>
        </w:rPr>
      </w:pPr>
    </w:p>
    <w:p w:rsidR="005C281B" w:rsidRDefault="00A11883" w:rsidP="0069574F">
      <w:pPr>
        <w:spacing w:before="12000" w:after="0" w:line="240" w:lineRule="auto"/>
        <w:rPr>
          <w:rFonts w:eastAsia="Times New Roman" w:cs="Times New Roman"/>
          <w:b/>
          <w:sz w:val="24"/>
          <w:szCs w:val="24"/>
          <w:lang w:val="en-US"/>
        </w:rPr>
      </w:pPr>
      <w:r w:rsidRPr="00CD32C2">
        <w:rPr>
          <w:rFonts w:eastAsia="Times New Roman" w:cs="Times New Roman"/>
          <w:b/>
          <w:sz w:val="24"/>
          <w:szCs w:val="24"/>
          <w:lang w:val="en-US"/>
        </w:rPr>
        <w:t>Approved by the Work Health Authority</w:t>
      </w:r>
    </w:p>
    <w:p w:rsidR="007D332F" w:rsidRDefault="007D332F" w:rsidP="00F63170">
      <w:pPr>
        <w:spacing w:before="120" w:after="840" w:line="240" w:lineRule="auto"/>
        <w:rPr>
          <w:rFonts w:cs="Arial"/>
        </w:rPr>
      </w:pPr>
      <w:r w:rsidRPr="007D332F">
        <w:rPr>
          <w:rFonts w:cs="Arial"/>
        </w:rPr>
        <w:t xml:space="preserve">Section 70 of the </w:t>
      </w:r>
      <w:r w:rsidRPr="007D332F">
        <w:rPr>
          <w:rFonts w:cs="Arial"/>
          <w:i/>
        </w:rPr>
        <w:t>Return to Work Act</w:t>
      </w:r>
      <w:r w:rsidRPr="007D332F">
        <w:rPr>
          <w:rFonts w:cs="Arial"/>
        </w:rPr>
        <w:t xml:space="preserve"> requires impairment or impairments assessed be conducted in accordance with the guides approved and published by the Authority.  This guide is the approved guide for permanent impairment or impairments.</w:t>
      </w:r>
    </w:p>
    <w:p w:rsidR="00F63170" w:rsidRPr="00E02F45" w:rsidRDefault="00E02F45" w:rsidP="00E02F45">
      <w:pPr>
        <w:spacing w:before="120" w:after="960" w:line="240" w:lineRule="auto"/>
        <w:jc w:val="right"/>
        <w:rPr>
          <w:rFonts w:cs="Arial"/>
          <w:color w:val="333333"/>
          <w:sz w:val="20"/>
          <w:szCs w:val="20"/>
          <w:shd w:val="clear" w:color="auto" w:fill="FFFFFF"/>
        </w:rPr>
      </w:pPr>
      <w:r w:rsidRPr="00E02F45">
        <w:rPr>
          <w:rFonts w:cs="Arial"/>
          <w:color w:val="333333"/>
          <w:sz w:val="20"/>
          <w:szCs w:val="20"/>
          <w:shd w:val="clear" w:color="auto" w:fill="FFFFFF"/>
        </w:rPr>
        <w:t>August 2018</w:t>
      </w:r>
      <w:r>
        <w:rPr>
          <w:rFonts w:cs="Arial"/>
          <w:color w:val="333333"/>
          <w:sz w:val="20"/>
          <w:szCs w:val="20"/>
          <w:shd w:val="clear" w:color="auto" w:fill="FFFFFF"/>
        </w:rPr>
        <w:t xml:space="preserve">.  </w:t>
      </w:r>
      <w:r w:rsidRPr="00E02F45">
        <w:rPr>
          <w:rFonts w:cs="Arial"/>
          <w:i/>
          <w:sz w:val="20"/>
          <w:szCs w:val="20"/>
          <w:lang w:val="en-US"/>
        </w:rPr>
        <w:t>NT WorkSafe Guidelines for the Evaluation of Permanent Impairment</w:t>
      </w:r>
      <w:r w:rsidRPr="00E02F45">
        <w:rPr>
          <w:rFonts w:cs="Arial"/>
          <w:color w:val="333333"/>
          <w:sz w:val="20"/>
          <w:szCs w:val="20"/>
          <w:shd w:val="clear" w:color="auto" w:fill="FFFFFF"/>
        </w:rPr>
        <w:t> (v1.1)</w:t>
      </w:r>
    </w:p>
    <w:p w:rsidR="007D332F" w:rsidRDefault="007D332F" w:rsidP="00F63170">
      <w:pPr>
        <w:pStyle w:val="Heading1"/>
        <w:numPr>
          <w:ilvl w:val="0"/>
          <w:numId w:val="0"/>
        </w:numPr>
        <w:spacing w:after="960"/>
        <w:ind w:left="567" w:hanging="567"/>
        <w:rPr>
          <w:lang w:val="en-US"/>
        </w:rPr>
        <w:sectPr w:rsidR="007D332F" w:rsidSect="00422F7F">
          <w:footerReference w:type="even" r:id="rId14"/>
          <w:footerReference w:type="default" r:id="rId15"/>
          <w:headerReference w:type="first" r:id="rId16"/>
          <w:footerReference w:type="first" r:id="rId17"/>
          <w:pgSz w:w="11906" w:h="16838" w:code="9"/>
          <w:pgMar w:top="1134" w:right="1134" w:bottom="1134" w:left="1134" w:header="135" w:footer="720" w:gutter="0"/>
          <w:pgNumType w:fmt="lowerRoman" w:start="1"/>
          <w:cols w:space="720"/>
          <w:titlePg/>
          <w:docGrid w:linePitch="299"/>
        </w:sectPr>
      </w:pPr>
      <w:bookmarkStart w:id="2" w:name="_Toc487809942"/>
    </w:p>
    <w:p w:rsidR="00A11883" w:rsidRPr="00CD32C2" w:rsidRDefault="00CD32C2" w:rsidP="008C19E6">
      <w:pPr>
        <w:pStyle w:val="Heading1"/>
        <w:numPr>
          <w:ilvl w:val="0"/>
          <w:numId w:val="0"/>
        </w:numPr>
        <w:ind w:left="567" w:hanging="567"/>
        <w:rPr>
          <w:lang w:val="en-US"/>
        </w:rPr>
      </w:pPr>
      <w:r w:rsidRPr="00CD32C2">
        <w:rPr>
          <w:lang w:val="en-US"/>
        </w:rPr>
        <w:lastRenderedPageBreak/>
        <w:t>Foreword</w:t>
      </w:r>
      <w:bookmarkEnd w:id="2"/>
    </w:p>
    <w:p w:rsidR="009976A6" w:rsidRPr="00CD32C2" w:rsidRDefault="009976A6" w:rsidP="00B847DF">
      <w:pPr>
        <w:pStyle w:val="BodyText0"/>
      </w:pPr>
      <w:r w:rsidRPr="00CD32C2">
        <w:t>Th</w:t>
      </w:r>
      <w:r w:rsidR="001E04D9" w:rsidRPr="00CD32C2">
        <w:t>e</w:t>
      </w:r>
      <w:r w:rsidRPr="00CD32C2">
        <w:t xml:space="preserve"> </w:t>
      </w:r>
      <w:r w:rsidRPr="00CD32C2">
        <w:rPr>
          <w:i/>
        </w:rPr>
        <w:t>Guidelines for the Evaluation of Permanent Impairment</w:t>
      </w:r>
      <w:r w:rsidRPr="00CD32C2">
        <w:t xml:space="preserve"> (</w:t>
      </w:r>
      <w:r w:rsidR="001E04D9" w:rsidRPr="00CD32C2">
        <w:t xml:space="preserve">the </w:t>
      </w:r>
      <w:r w:rsidRPr="00CD32C2">
        <w:t>Guidelines) are issued for the purpose of assessing the degree of permanent impairment that arises from an injury or disease within the context of workers’ compensation. When a person sustains a permanent impairment it is intended that the Guidelines</w:t>
      </w:r>
      <w:r w:rsidRPr="00CD32C2">
        <w:rPr>
          <w:i/>
        </w:rPr>
        <w:t xml:space="preserve"> </w:t>
      </w:r>
      <w:r w:rsidRPr="00CD32C2">
        <w:t>be used by medical assessors trained in the evaluation of permanent impairment to ensure an objective, fair and consistent method for evaluating the degree of impairment.</w:t>
      </w:r>
    </w:p>
    <w:p w:rsidR="009976A6" w:rsidRPr="00CD32C2" w:rsidRDefault="001E04D9" w:rsidP="00B847DF">
      <w:pPr>
        <w:pStyle w:val="BodyText0"/>
      </w:pPr>
      <w:r w:rsidRPr="00CD32C2">
        <w:t>The</w:t>
      </w:r>
      <w:r w:rsidR="00253F17" w:rsidRPr="00CD32C2">
        <w:t xml:space="preserve"> Guidelines are based on a template guide that was developed through a national process facilitated by Safe Work Australia.</w:t>
      </w:r>
      <w:r w:rsidR="00253F17" w:rsidRPr="00CD32C2">
        <w:rPr>
          <w:color w:val="00B050"/>
        </w:rPr>
        <w:t xml:space="preserve"> </w:t>
      </w:r>
      <w:r w:rsidRPr="00CD32C2">
        <w:t>The</w:t>
      </w:r>
      <w:r w:rsidR="009976A6" w:rsidRPr="00CD32C2">
        <w:t xml:space="preserve"> Guidelines were initially developed for use in the New South Wales workers’ compensation system and incorporate numerous improvements identified by the WorkCover NSW Whole Person Impairment Coordinating Committee over its 13 years of continuous use. The many hours of dedication and thoughtful consideration that members of the WorkCover NSW Whole Person Impairment Coordinating Committee and South Australia Permanent Impairment Committee have given to the review and improvement of </w:t>
      </w:r>
      <w:r w:rsidRPr="00CD32C2">
        <w:t xml:space="preserve">the Guidelines </w:t>
      </w:r>
      <w:r w:rsidR="009976A6" w:rsidRPr="00CD32C2">
        <w:t xml:space="preserve">is acknowledged and greatly appreciated.(See Appendix </w:t>
      </w:r>
      <w:r w:rsidR="00824177">
        <w:t>3</w:t>
      </w:r>
      <w:r w:rsidR="009976A6" w:rsidRPr="00CD32C2">
        <w:t>)</w:t>
      </w:r>
    </w:p>
    <w:p w:rsidR="009976A6" w:rsidRPr="00CD32C2" w:rsidRDefault="009976A6" w:rsidP="00B847DF">
      <w:pPr>
        <w:pStyle w:val="BodyText0"/>
      </w:pPr>
      <w:r w:rsidRPr="00CD32C2">
        <w:t xml:space="preserve">The methodology in </w:t>
      </w:r>
      <w:r w:rsidR="001E04D9" w:rsidRPr="00CD32C2">
        <w:t xml:space="preserve">the Guidelines </w:t>
      </w:r>
      <w:r w:rsidRPr="00CD32C2">
        <w:t xml:space="preserve">is largely based on the American Medical Association’s </w:t>
      </w:r>
      <w:r w:rsidRPr="00CD32C2">
        <w:rPr>
          <w:i/>
        </w:rPr>
        <w:t>Guides to the Evaluation of Permanent Impairment</w:t>
      </w:r>
      <w:r w:rsidRPr="00CD32C2">
        <w:t>, Fifth Edition (AMA5). The AMA Guides are the most authoritative and widely used source for evaluating permanent impairment around the world. Extensive work by eminent Australian medical specialists representing Australian medical associations and Colleges has gone into reviewing the AMA5 to ensure they are aligned with clinical practice in Australia.</w:t>
      </w:r>
      <w:r w:rsidRPr="00CD32C2">
        <w:rPr>
          <w:color w:val="FF0000"/>
        </w:rPr>
        <w:t xml:space="preserve"> </w:t>
      </w:r>
    </w:p>
    <w:p w:rsidR="009976A6" w:rsidRPr="00CD32C2" w:rsidRDefault="001E04D9" w:rsidP="00B847DF">
      <w:pPr>
        <w:pStyle w:val="BodyText0"/>
      </w:pPr>
      <w:r w:rsidRPr="00CD32C2">
        <w:t xml:space="preserve">The Guidelines </w:t>
      </w:r>
      <w:r w:rsidR="009976A6" w:rsidRPr="00CD32C2">
        <w:t xml:space="preserve">consist of an introductory chapter followed by a dedicated chapter for each body system.  </w:t>
      </w:r>
    </w:p>
    <w:p w:rsidR="009976A6" w:rsidRPr="00CD32C2" w:rsidRDefault="009976A6" w:rsidP="00B847DF">
      <w:pPr>
        <w:pStyle w:val="BodyText0"/>
        <w:rPr>
          <w:b/>
        </w:rPr>
      </w:pPr>
      <w:r w:rsidRPr="00CD32C2">
        <w:t xml:space="preserve">The Introduction is divided into three parts. The first part outlines the background and development of </w:t>
      </w:r>
      <w:r w:rsidR="001E04D9" w:rsidRPr="00CD32C2">
        <w:t xml:space="preserve">the Guidelines </w:t>
      </w:r>
      <w:r w:rsidRPr="00CD32C2">
        <w:t xml:space="preserve">including reference to the relevant legislative instrument that gives effect to </w:t>
      </w:r>
      <w:r w:rsidR="001E04D9" w:rsidRPr="00CD32C2">
        <w:t>the Guidelines</w:t>
      </w:r>
      <w:r w:rsidRPr="00CD32C2">
        <w:t xml:space="preserve">. The second part covers general assessment principles intended for the use of medical practitioners who are applying </w:t>
      </w:r>
      <w:r w:rsidR="001E04D9" w:rsidRPr="00CD32C2">
        <w:t xml:space="preserve">the Guidelines </w:t>
      </w:r>
      <w:r w:rsidRPr="00CD32C2">
        <w:t xml:space="preserve">in their assessment of permanent impairment that results from a work related injury or disease. The third part addresses administrative issues relating to the use of </w:t>
      </w:r>
      <w:r w:rsidR="001E04D9" w:rsidRPr="00CD32C2">
        <w:t>the Guidelines</w:t>
      </w:r>
      <w:r w:rsidRPr="00CD32C2">
        <w:t xml:space="preserve">. </w:t>
      </w:r>
      <w:r w:rsidRPr="00CD32C2">
        <w:rPr>
          <w:b/>
        </w:rPr>
        <w:t xml:space="preserve"> </w:t>
      </w:r>
    </w:p>
    <w:p w:rsidR="009976A6" w:rsidRPr="00CD32C2" w:rsidRDefault="009976A6" w:rsidP="00B847DF">
      <w:pPr>
        <w:pStyle w:val="BodyText0"/>
        <w:rPr>
          <w:color w:val="FF0000"/>
        </w:rPr>
      </w:pPr>
      <w:r w:rsidRPr="00CD32C2">
        <w:t xml:space="preserve">As the template National Guide has been progressively adapted from the original NSW Guide and is to be adopted by other jurisdictions, some aspects have been necessarily modified and generalised. Some provisions may differ between different jurisdictions, for further information please see the </w:t>
      </w:r>
      <w:hyperlink r:id="rId18" w:history="1">
        <w:r w:rsidRPr="00CD32C2">
          <w:rPr>
            <w:i/>
            <w:color w:val="0000FF"/>
            <w:u w:val="single"/>
          </w:rPr>
          <w:t>Comparison of Workers’ Compensation Arrangements in Australia and New Zealand</w:t>
        </w:r>
        <w:r w:rsidRPr="00CD32C2">
          <w:rPr>
            <w:color w:val="0000FF"/>
            <w:u w:val="single"/>
          </w:rPr>
          <w:t xml:space="preserve"> report</w:t>
        </w:r>
      </w:hyperlink>
      <w:r w:rsidRPr="00CD32C2">
        <w:rPr>
          <w:i/>
          <w:color w:val="00B050"/>
        </w:rPr>
        <w:t xml:space="preserve">, </w:t>
      </w:r>
      <w:r w:rsidRPr="00CD32C2">
        <w:t>which is available on Safe Work Australia’s website</w:t>
      </w:r>
      <w:r w:rsidRPr="00CD32C2">
        <w:rPr>
          <w:color w:val="00B050"/>
        </w:rPr>
        <w:t>.</w:t>
      </w:r>
    </w:p>
    <w:p w:rsidR="009976A6" w:rsidRDefault="009976A6" w:rsidP="00B847DF">
      <w:pPr>
        <w:pStyle w:val="BodyText0"/>
      </w:pPr>
      <w:r w:rsidRPr="00CD32C2">
        <w:t xml:space="preserve">Publications such as this only remain useful to the extent that they meet the needs of users and those injured who sustain a permanent impairment. It is therefore important that the protocols set out in </w:t>
      </w:r>
      <w:r w:rsidR="001E04D9" w:rsidRPr="00CD32C2">
        <w:t xml:space="preserve">the Guidelines </w:t>
      </w:r>
      <w:r w:rsidRPr="00CD32C2">
        <w:t>are applied consistently and methodically. Any difficulties or anomalies need to be addressed through modification of the publication and not by idiosyncratic reinterpretati</w:t>
      </w:r>
      <w:r w:rsidR="001E04D9" w:rsidRPr="00CD32C2">
        <w:t>on of any part. All queries on</w:t>
      </w:r>
      <w:r w:rsidRPr="00CD32C2">
        <w:t xml:space="preserve"> </w:t>
      </w:r>
      <w:r w:rsidR="001E04D9" w:rsidRPr="00CD32C2">
        <w:t xml:space="preserve">the Guidelines </w:t>
      </w:r>
      <w:r w:rsidRPr="00CD32C2">
        <w:t xml:space="preserve">or suggestions for improvement should be addressed to </w:t>
      </w:r>
      <w:r w:rsidR="00D76748" w:rsidRPr="00CD32C2">
        <w:t xml:space="preserve">the Director, Rehabilitation and Compensation </w:t>
      </w:r>
      <w:hyperlink r:id="rId19" w:history="1">
        <w:r w:rsidR="00CD32C2" w:rsidRPr="002C47AC">
          <w:rPr>
            <w:rStyle w:val="Hyperlink"/>
            <w:bCs/>
          </w:rPr>
          <w:t>datantworksafe@nt.gov.au</w:t>
        </w:r>
      </w:hyperlink>
    </w:p>
    <w:p w:rsidR="00CD32C2" w:rsidRDefault="00CD32C2">
      <w:pPr>
        <w:rPr>
          <w:rFonts w:eastAsia="Times New Roman" w:cs="Arial"/>
          <w:bCs/>
          <w:lang w:eastAsia="en-AU"/>
        </w:rPr>
      </w:pPr>
      <w:r>
        <w:rPr>
          <w:rFonts w:eastAsia="Times New Roman" w:cs="Arial"/>
          <w:bCs/>
          <w:lang w:eastAsia="en-AU"/>
        </w:rPr>
        <w:br w:type="page"/>
      </w:r>
    </w:p>
    <w:p w:rsidR="00CD32C2" w:rsidRDefault="00CD32C2" w:rsidP="00CD32C2">
      <w:pPr>
        <w:spacing w:line="240" w:lineRule="auto"/>
        <w:rPr>
          <w:rFonts w:ascii="Times New Roman" w:eastAsia="Times New Roman" w:hAnsi="Times New Roman" w:cs="Times New Roman"/>
          <w:lang w:eastAsia="en-AU"/>
        </w:rPr>
      </w:pPr>
    </w:p>
    <w:p w:rsidR="00CD32C2" w:rsidRDefault="00CD32C2" w:rsidP="00CD32C2">
      <w:pPr>
        <w:spacing w:line="240" w:lineRule="auto"/>
        <w:rPr>
          <w:rFonts w:ascii="Times New Roman" w:eastAsia="Times New Roman" w:hAnsi="Times New Roman" w:cs="Times New Roman"/>
          <w:lang w:eastAsia="en-AU"/>
        </w:rPr>
        <w:sectPr w:rsidR="00CD32C2" w:rsidSect="00C61FD5">
          <w:footerReference w:type="default" r:id="rId20"/>
          <w:pgSz w:w="11906" w:h="16838" w:code="9"/>
          <w:pgMar w:top="1134" w:right="1134" w:bottom="1134" w:left="1134" w:header="135" w:footer="720" w:gutter="0"/>
          <w:pgNumType w:fmt="lowerRoman" w:start="1"/>
          <w:cols w:space="720"/>
          <w:docGrid w:linePitch="299"/>
        </w:sectPr>
      </w:pPr>
    </w:p>
    <w:p w:rsidR="00CD32C2" w:rsidRPr="00CD32C2" w:rsidRDefault="00CD32C2" w:rsidP="008C19E6">
      <w:pPr>
        <w:pStyle w:val="Heading1"/>
        <w:numPr>
          <w:ilvl w:val="0"/>
          <w:numId w:val="0"/>
        </w:numPr>
        <w:ind w:left="567" w:hanging="567"/>
        <w:rPr>
          <w:rFonts w:ascii="Times New Roman" w:hAnsi="Times New Roman"/>
        </w:rPr>
      </w:pPr>
      <w:bookmarkStart w:id="3" w:name="_Toc487809943"/>
      <w:r>
        <w:rPr>
          <w:lang w:val="en-US"/>
        </w:rPr>
        <w:lastRenderedPageBreak/>
        <w:t>Contents</w:t>
      </w:r>
      <w:r w:rsidRPr="00CD32C2">
        <w:t xml:space="preserve"> </w:t>
      </w:r>
      <w:bookmarkEnd w:id="3"/>
    </w:p>
    <w:p w:rsidR="009F4601" w:rsidRDefault="009F4601" w:rsidP="00535AFE">
      <w:pPr>
        <w:tabs>
          <w:tab w:val="right" w:pos="9072"/>
        </w:tabs>
        <w:spacing w:line="240" w:lineRule="auto"/>
        <w:rPr>
          <w:rFonts w:asciiTheme="minorHAnsi" w:eastAsiaTheme="minorEastAsia" w:hAnsiTheme="minorHAnsi"/>
          <w:noProof/>
          <w:lang w:eastAsia="en-AU"/>
        </w:rPr>
      </w:pPr>
      <w:r>
        <w:rPr>
          <w:rFonts w:eastAsia="Times New Roman" w:cs="Arial"/>
          <w:b/>
          <w:bCs/>
          <w:lang w:eastAsia="en-AU"/>
        </w:rPr>
        <w:fldChar w:fldCharType="begin"/>
      </w:r>
      <w:r>
        <w:rPr>
          <w:rFonts w:eastAsia="Times New Roman" w:cs="Arial"/>
          <w:b/>
          <w:bCs/>
          <w:lang w:eastAsia="en-AU"/>
        </w:rPr>
        <w:instrText xml:space="preserve"> TOC \o "1-1" \h \z \u </w:instrText>
      </w:r>
      <w:r>
        <w:rPr>
          <w:rFonts w:eastAsia="Times New Roman" w:cs="Arial"/>
          <w:b/>
          <w:bCs/>
          <w:lang w:eastAsia="en-AU"/>
        </w:rPr>
        <w:fldChar w:fldCharType="separate"/>
      </w:r>
      <w:hyperlink w:anchor="_Toc487809942" w:history="1">
        <w:r w:rsidRPr="00533872">
          <w:rPr>
            <w:rStyle w:val="Hyperlink"/>
            <w:noProof/>
            <w:lang w:val="en-US"/>
          </w:rPr>
          <w:t>Foreword</w:t>
        </w:r>
        <w:r>
          <w:rPr>
            <w:noProof/>
            <w:webHidden/>
          </w:rPr>
          <w:tab/>
        </w:r>
        <w:r>
          <w:rPr>
            <w:noProof/>
            <w:webHidden/>
          </w:rPr>
          <w:fldChar w:fldCharType="begin"/>
        </w:r>
        <w:r>
          <w:rPr>
            <w:noProof/>
            <w:webHidden/>
          </w:rPr>
          <w:instrText xml:space="preserve"> PAGEREF _Toc487809942 \h </w:instrText>
        </w:r>
        <w:r>
          <w:rPr>
            <w:noProof/>
            <w:webHidden/>
          </w:rPr>
        </w:r>
        <w:r>
          <w:rPr>
            <w:noProof/>
            <w:webHidden/>
          </w:rPr>
          <w:fldChar w:fldCharType="separate"/>
        </w:r>
        <w:r w:rsidR="001D0904">
          <w:rPr>
            <w:noProof/>
            <w:webHidden/>
          </w:rPr>
          <w:t>i</w:t>
        </w:r>
        <w:r>
          <w:rPr>
            <w:noProof/>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44" w:history="1">
        <w:r w:rsidR="009F4601" w:rsidRPr="00533872">
          <w:rPr>
            <w:rStyle w:val="Hyperlink"/>
            <w:rFonts w:cs="Arial"/>
          </w:rPr>
          <w:t>1.</w:t>
        </w:r>
        <w:r w:rsidR="009F4601">
          <w:rPr>
            <w:rFonts w:asciiTheme="minorHAnsi" w:eastAsiaTheme="minorEastAsia" w:hAnsiTheme="minorHAnsi" w:cstheme="minorBidi"/>
            <w:szCs w:val="22"/>
            <w:lang w:val="en-AU" w:eastAsia="en-AU"/>
          </w:rPr>
          <w:tab/>
        </w:r>
        <w:r w:rsidR="009F4601" w:rsidRPr="00533872">
          <w:rPr>
            <w:rStyle w:val="Hyperlink"/>
          </w:rPr>
          <w:t>Introduction</w:t>
        </w:r>
        <w:r w:rsidR="009F4601">
          <w:rPr>
            <w:webHidden/>
          </w:rPr>
          <w:tab/>
        </w:r>
        <w:r w:rsidR="009F4601">
          <w:rPr>
            <w:webHidden/>
          </w:rPr>
          <w:fldChar w:fldCharType="begin"/>
        </w:r>
        <w:r w:rsidR="009F4601">
          <w:rPr>
            <w:webHidden/>
          </w:rPr>
          <w:instrText xml:space="preserve"> PAGEREF _Toc487809944 \h </w:instrText>
        </w:r>
        <w:r w:rsidR="009F4601">
          <w:rPr>
            <w:webHidden/>
          </w:rPr>
        </w:r>
        <w:r w:rsidR="009F4601">
          <w:rPr>
            <w:webHidden/>
          </w:rPr>
          <w:fldChar w:fldCharType="separate"/>
        </w:r>
        <w:r w:rsidR="001D0904">
          <w:rPr>
            <w:webHidden/>
          </w:rPr>
          <w:t>1</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45" w:history="1">
        <w:r w:rsidR="009F4601" w:rsidRPr="00533872">
          <w:rPr>
            <w:rStyle w:val="Hyperlink"/>
            <w:rFonts w:cs="Arial"/>
          </w:rPr>
          <w:t>2.</w:t>
        </w:r>
        <w:r w:rsidR="009F4601">
          <w:rPr>
            <w:rFonts w:asciiTheme="minorHAnsi" w:eastAsiaTheme="minorEastAsia" w:hAnsiTheme="minorHAnsi" w:cstheme="minorBidi"/>
            <w:szCs w:val="22"/>
            <w:lang w:val="en-AU" w:eastAsia="en-AU"/>
          </w:rPr>
          <w:tab/>
        </w:r>
        <w:r w:rsidR="009F4601" w:rsidRPr="00533872">
          <w:rPr>
            <w:rStyle w:val="Hyperlink"/>
          </w:rPr>
          <w:t>Upper extremity</w:t>
        </w:r>
        <w:r w:rsidR="009F4601">
          <w:rPr>
            <w:webHidden/>
          </w:rPr>
          <w:tab/>
        </w:r>
        <w:r w:rsidR="009F4601">
          <w:rPr>
            <w:webHidden/>
          </w:rPr>
          <w:fldChar w:fldCharType="begin"/>
        </w:r>
        <w:r w:rsidR="009F4601">
          <w:rPr>
            <w:webHidden/>
          </w:rPr>
          <w:instrText xml:space="preserve"> PAGEREF _Toc487809945 \h </w:instrText>
        </w:r>
        <w:r w:rsidR="009F4601">
          <w:rPr>
            <w:webHidden/>
          </w:rPr>
        </w:r>
        <w:r w:rsidR="009F4601">
          <w:rPr>
            <w:webHidden/>
          </w:rPr>
          <w:fldChar w:fldCharType="separate"/>
        </w:r>
        <w:r w:rsidR="001D0904">
          <w:rPr>
            <w:webHidden/>
          </w:rPr>
          <w:t>9</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46" w:history="1">
        <w:r w:rsidR="009F4601" w:rsidRPr="00533872">
          <w:rPr>
            <w:rStyle w:val="Hyperlink"/>
            <w:rFonts w:cs="Arial"/>
          </w:rPr>
          <w:t>3.</w:t>
        </w:r>
        <w:r w:rsidR="009F4601">
          <w:rPr>
            <w:rFonts w:asciiTheme="minorHAnsi" w:eastAsiaTheme="minorEastAsia" w:hAnsiTheme="minorHAnsi" w:cstheme="minorBidi"/>
            <w:szCs w:val="22"/>
            <w:lang w:val="en-AU" w:eastAsia="en-AU"/>
          </w:rPr>
          <w:tab/>
        </w:r>
        <w:r w:rsidR="009F4601" w:rsidRPr="00533872">
          <w:rPr>
            <w:rStyle w:val="Hyperlink"/>
          </w:rPr>
          <w:t>Lower extremity</w:t>
        </w:r>
        <w:r w:rsidR="009F4601">
          <w:rPr>
            <w:webHidden/>
          </w:rPr>
          <w:tab/>
        </w:r>
        <w:r w:rsidR="009F4601">
          <w:rPr>
            <w:webHidden/>
          </w:rPr>
          <w:fldChar w:fldCharType="begin"/>
        </w:r>
        <w:r w:rsidR="009F4601">
          <w:rPr>
            <w:webHidden/>
          </w:rPr>
          <w:instrText xml:space="preserve"> PAGEREF _Toc487809946 \h </w:instrText>
        </w:r>
        <w:r w:rsidR="009F4601">
          <w:rPr>
            <w:webHidden/>
          </w:rPr>
        </w:r>
        <w:r w:rsidR="009F4601">
          <w:rPr>
            <w:webHidden/>
          </w:rPr>
          <w:fldChar w:fldCharType="separate"/>
        </w:r>
        <w:r w:rsidR="001D0904">
          <w:rPr>
            <w:webHidden/>
          </w:rPr>
          <w:t>13</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47" w:history="1">
        <w:r w:rsidR="009F4601" w:rsidRPr="00533872">
          <w:rPr>
            <w:rStyle w:val="Hyperlink"/>
            <w:rFonts w:cs="Arial"/>
          </w:rPr>
          <w:t>4.</w:t>
        </w:r>
        <w:r w:rsidR="009F4601">
          <w:rPr>
            <w:rFonts w:asciiTheme="minorHAnsi" w:eastAsiaTheme="minorEastAsia" w:hAnsiTheme="minorHAnsi" w:cstheme="minorBidi"/>
            <w:szCs w:val="22"/>
            <w:lang w:val="en-AU" w:eastAsia="en-AU"/>
          </w:rPr>
          <w:tab/>
        </w:r>
        <w:r w:rsidR="009F4601" w:rsidRPr="00533872">
          <w:rPr>
            <w:rStyle w:val="Hyperlink"/>
          </w:rPr>
          <w:t>The spine</w:t>
        </w:r>
        <w:r w:rsidR="009F4601">
          <w:rPr>
            <w:webHidden/>
          </w:rPr>
          <w:tab/>
        </w:r>
        <w:r w:rsidR="009F4601">
          <w:rPr>
            <w:webHidden/>
          </w:rPr>
          <w:fldChar w:fldCharType="begin"/>
        </w:r>
        <w:r w:rsidR="009F4601">
          <w:rPr>
            <w:webHidden/>
          </w:rPr>
          <w:instrText xml:space="preserve"> PAGEREF _Toc487809947 \h </w:instrText>
        </w:r>
        <w:r w:rsidR="009F4601">
          <w:rPr>
            <w:webHidden/>
          </w:rPr>
        </w:r>
        <w:r w:rsidR="009F4601">
          <w:rPr>
            <w:webHidden/>
          </w:rPr>
          <w:fldChar w:fldCharType="separate"/>
        </w:r>
        <w:r w:rsidR="001D0904">
          <w:rPr>
            <w:webHidden/>
          </w:rPr>
          <w:t>24</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48" w:history="1">
        <w:r w:rsidR="009F4601" w:rsidRPr="00533872">
          <w:rPr>
            <w:rStyle w:val="Hyperlink"/>
            <w:rFonts w:cs="Arial"/>
          </w:rPr>
          <w:t>5.</w:t>
        </w:r>
        <w:r w:rsidR="009F4601">
          <w:rPr>
            <w:rFonts w:asciiTheme="minorHAnsi" w:eastAsiaTheme="minorEastAsia" w:hAnsiTheme="minorHAnsi" w:cstheme="minorBidi"/>
            <w:szCs w:val="22"/>
            <w:lang w:val="en-AU" w:eastAsia="en-AU"/>
          </w:rPr>
          <w:tab/>
        </w:r>
        <w:r w:rsidR="009F4601" w:rsidRPr="00533872">
          <w:rPr>
            <w:rStyle w:val="Hyperlink"/>
          </w:rPr>
          <w:t>Nervous system</w:t>
        </w:r>
        <w:r w:rsidR="009F4601">
          <w:rPr>
            <w:webHidden/>
          </w:rPr>
          <w:tab/>
        </w:r>
        <w:r w:rsidR="009F4601">
          <w:rPr>
            <w:webHidden/>
          </w:rPr>
          <w:fldChar w:fldCharType="begin"/>
        </w:r>
        <w:r w:rsidR="009F4601">
          <w:rPr>
            <w:webHidden/>
          </w:rPr>
          <w:instrText xml:space="preserve"> PAGEREF _Toc487809948 \h </w:instrText>
        </w:r>
        <w:r w:rsidR="009F4601">
          <w:rPr>
            <w:webHidden/>
          </w:rPr>
        </w:r>
        <w:r w:rsidR="009F4601">
          <w:rPr>
            <w:webHidden/>
          </w:rPr>
          <w:fldChar w:fldCharType="separate"/>
        </w:r>
        <w:r w:rsidR="001D0904">
          <w:rPr>
            <w:webHidden/>
          </w:rPr>
          <w:t>31</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49" w:history="1">
        <w:r w:rsidR="009F4601" w:rsidRPr="00533872">
          <w:rPr>
            <w:rStyle w:val="Hyperlink"/>
            <w:rFonts w:cs="Arial"/>
          </w:rPr>
          <w:t>6.</w:t>
        </w:r>
        <w:r w:rsidR="009F4601">
          <w:rPr>
            <w:rFonts w:asciiTheme="minorHAnsi" w:eastAsiaTheme="minorEastAsia" w:hAnsiTheme="minorHAnsi" w:cstheme="minorBidi"/>
            <w:szCs w:val="22"/>
            <w:lang w:val="en-AU" w:eastAsia="en-AU"/>
          </w:rPr>
          <w:tab/>
        </w:r>
        <w:r w:rsidR="009F4601" w:rsidRPr="00533872">
          <w:rPr>
            <w:rStyle w:val="Hyperlink"/>
          </w:rPr>
          <w:t>Ear, nose, throat and related structures</w:t>
        </w:r>
        <w:r w:rsidR="009F4601">
          <w:rPr>
            <w:webHidden/>
          </w:rPr>
          <w:tab/>
        </w:r>
        <w:r w:rsidR="009F4601">
          <w:rPr>
            <w:webHidden/>
          </w:rPr>
          <w:fldChar w:fldCharType="begin"/>
        </w:r>
        <w:r w:rsidR="009F4601">
          <w:rPr>
            <w:webHidden/>
          </w:rPr>
          <w:instrText xml:space="preserve"> PAGEREF _Toc487809949 \h </w:instrText>
        </w:r>
        <w:r w:rsidR="009F4601">
          <w:rPr>
            <w:webHidden/>
          </w:rPr>
        </w:r>
        <w:r w:rsidR="009F4601">
          <w:rPr>
            <w:webHidden/>
          </w:rPr>
          <w:fldChar w:fldCharType="separate"/>
        </w:r>
        <w:r w:rsidR="001D0904">
          <w:rPr>
            <w:webHidden/>
          </w:rPr>
          <w:t>34</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50" w:history="1">
        <w:r w:rsidR="009F4601" w:rsidRPr="00533872">
          <w:rPr>
            <w:rStyle w:val="Hyperlink"/>
            <w:rFonts w:cs="Arial"/>
            <w:bCs/>
          </w:rPr>
          <w:t>7.</w:t>
        </w:r>
        <w:r w:rsidR="009F4601">
          <w:rPr>
            <w:rFonts w:asciiTheme="minorHAnsi" w:eastAsiaTheme="minorEastAsia" w:hAnsiTheme="minorHAnsi" w:cstheme="minorBidi"/>
            <w:szCs w:val="22"/>
            <w:lang w:val="en-AU" w:eastAsia="en-AU"/>
          </w:rPr>
          <w:tab/>
        </w:r>
        <w:r w:rsidR="009F4601" w:rsidRPr="00533872">
          <w:rPr>
            <w:rStyle w:val="Hyperlink"/>
          </w:rPr>
          <w:t>Urinary and reproductive systems</w:t>
        </w:r>
        <w:r w:rsidR="009F4601">
          <w:rPr>
            <w:webHidden/>
          </w:rPr>
          <w:tab/>
        </w:r>
        <w:r w:rsidR="009F4601">
          <w:rPr>
            <w:webHidden/>
          </w:rPr>
          <w:fldChar w:fldCharType="begin"/>
        </w:r>
        <w:r w:rsidR="009F4601">
          <w:rPr>
            <w:webHidden/>
          </w:rPr>
          <w:instrText xml:space="preserve"> PAGEREF _Toc487809950 \h </w:instrText>
        </w:r>
        <w:r w:rsidR="009F4601">
          <w:rPr>
            <w:webHidden/>
          </w:rPr>
        </w:r>
        <w:r w:rsidR="009F4601">
          <w:rPr>
            <w:webHidden/>
          </w:rPr>
          <w:fldChar w:fldCharType="separate"/>
        </w:r>
        <w:r w:rsidR="001D0904">
          <w:rPr>
            <w:webHidden/>
          </w:rPr>
          <w:t>38</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51" w:history="1">
        <w:r w:rsidR="009F4601" w:rsidRPr="00533872">
          <w:rPr>
            <w:rStyle w:val="Hyperlink"/>
            <w:rFonts w:cs="Arial"/>
            <w:bCs/>
          </w:rPr>
          <w:t>8.</w:t>
        </w:r>
        <w:r w:rsidR="009F4601">
          <w:rPr>
            <w:rFonts w:asciiTheme="minorHAnsi" w:eastAsiaTheme="minorEastAsia" w:hAnsiTheme="minorHAnsi" w:cstheme="minorBidi"/>
            <w:szCs w:val="22"/>
            <w:lang w:val="en-AU" w:eastAsia="en-AU"/>
          </w:rPr>
          <w:tab/>
        </w:r>
        <w:r w:rsidR="009F4601" w:rsidRPr="00533872">
          <w:rPr>
            <w:rStyle w:val="Hyperlink"/>
          </w:rPr>
          <w:t>Respiratory system</w:t>
        </w:r>
        <w:r w:rsidR="009F4601">
          <w:rPr>
            <w:webHidden/>
          </w:rPr>
          <w:tab/>
        </w:r>
        <w:r w:rsidR="009F4601">
          <w:rPr>
            <w:webHidden/>
          </w:rPr>
          <w:fldChar w:fldCharType="begin"/>
        </w:r>
        <w:r w:rsidR="009F4601">
          <w:rPr>
            <w:webHidden/>
          </w:rPr>
          <w:instrText xml:space="preserve"> PAGEREF _Toc487809951 \h </w:instrText>
        </w:r>
        <w:r w:rsidR="009F4601">
          <w:rPr>
            <w:webHidden/>
          </w:rPr>
        </w:r>
        <w:r w:rsidR="009F4601">
          <w:rPr>
            <w:webHidden/>
          </w:rPr>
          <w:fldChar w:fldCharType="separate"/>
        </w:r>
        <w:r w:rsidR="001D0904">
          <w:rPr>
            <w:webHidden/>
          </w:rPr>
          <w:t>42</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52" w:history="1">
        <w:r w:rsidR="009F4601" w:rsidRPr="00533872">
          <w:rPr>
            <w:rStyle w:val="Hyperlink"/>
            <w:rFonts w:cs="Arial"/>
          </w:rPr>
          <w:t>9.</w:t>
        </w:r>
        <w:r w:rsidR="009F4601">
          <w:rPr>
            <w:rFonts w:asciiTheme="minorHAnsi" w:eastAsiaTheme="minorEastAsia" w:hAnsiTheme="minorHAnsi" w:cstheme="minorBidi"/>
            <w:szCs w:val="22"/>
            <w:lang w:val="en-AU" w:eastAsia="en-AU"/>
          </w:rPr>
          <w:tab/>
        </w:r>
        <w:r w:rsidR="009F4601" w:rsidRPr="00533872">
          <w:rPr>
            <w:rStyle w:val="Hyperlink"/>
          </w:rPr>
          <w:t>Hearing</w:t>
        </w:r>
        <w:r w:rsidR="009F4601">
          <w:rPr>
            <w:webHidden/>
          </w:rPr>
          <w:tab/>
        </w:r>
        <w:r w:rsidR="009F4601">
          <w:rPr>
            <w:webHidden/>
          </w:rPr>
          <w:fldChar w:fldCharType="begin"/>
        </w:r>
        <w:r w:rsidR="009F4601">
          <w:rPr>
            <w:webHidden/>
          </w:rPr>
          <w:instrText xml:space="preserve"> PAGEREF _Toc487809952 \h </w:instrText>
        </w:r>
        <w:r w:rsidR="009F4601">
          <w:rPr>
            <w:webHidden/>
          </w:rPr>
        </w:r>
        <w:r w:rsidR="009F4601">
          <w:rPr>
            <w:webHidden/>
          </w:rPr>
          <w:fldChar w:fldCharType="separate"/>
        </w:r>
        <w:r w:rsidR="001D0904">
          <w:rPr>
            <w:webHidden/>
          </w:rPr>
          <w:t>44</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53" w:history="1">
        <w:r w:rsidR="009F4601" w:rsidRPr="00533872">
          <w:rPr>
            <w:rStyle w:val="Hyperlink"/>
            <w:rFonts w:cs="Arial"/>
            <w:bCs/>
          </w:rPr>
          <w:t>10.</w:t>
        </w:r>
        <w:r w:rsidR="009F4601">
          <w:rPr>
            <w:rFonts w:asciiTheme="minorHAnsi" w:eastAsiaTheme="minorEastAsia" w:hAnsiTheme="minorHAnsi" w:cstheme="minorBidi"/>
            <w:szCs w:val="22"/>
            <w:lang w:val="en-AU" w:eastAsia="en-AU"/>
          </w:rPr>
          <w:tab/>
        </w:r>
        <w:r w:rsidR="009F4601" w:rsidRPr="00533872">
          <w:rPr>
            <w:rStyle w:val="Hyperlink"/>
          </w:rPr>
          <w:t>The visual system</w:t>
        </w:r>
        <w:r w:rsidR="009F4601">
          <w:rPr>
            <w:webHidden/>
          </w:rPr>
          <w:tab/>
        </w:r>
        <w:r w:rsidR="009F4601">
          <w:rPr>
            <w:webHidden/>
          </w:rPr>
          <w:fldChar w:fldCharType="begin"/>
        </w:r>
        <w:r w:rsidR="009F4601">
          <w:rPr>
            <w:webHidden/>
          </w:rPr>
          <w:instrText xml:space="preserve"> PAGEREF _Toc487809953 \h </w:instrText>
        </w:r>
        <w:r w:rsidR="009F4601">
          <w:rPr>
            <w:webHidden/>
          </w:rPr>
        </w:r>
        <w:r w:rsidR="009F4601">
          <w:rPr>
            <w:webHidden/>
          </w:rPr>
          <w:fldChar w:fldCharType="separate"/>
        </w:r>
        <w:r w:rsidR="001D0904">
          <w:rPr>
            <w:webHidden/>
          </w:rPr>
          <w:t>52</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54" w:history="1">
        <w:r w:rsidR="009F4601" w:rsidRPr="00533872">
          <w:rPr>
            <w:rStyle w:val="Hyperlink"/>
            <w:rFonts w:cs="Arial"/>
            <w:bCs/>
          </w:rPr>
          <w:t>11.</w:t>
        </w:r>
        <w:r w:rsidR="009F4601">
          <w:rPr>
            <w:rFonts w:asciiTheme="minorHAnsi" w:eastAsiaTheme="minorEastAsia" w:hAnsiTheme="minorHAnsi" w:cstheme="minorBidi"/>
            <w:szCs w:val="22"/>
            <w:lang w:val="en-AU" w:eastAsia="en-AU"/>
          </w:rPr>
          <w:tab/>
        </w:r>
        <w:r w:rsidR="009F4601" w:rsidRPr="00533872">
          <w:rPr>
            <w:rStyle w:val="Hyperlink"/>
          </w:rPr>
          <w:t>Psychiatric and psychological disorders</w:t>
        </w:r>
        <w:r w:rsidR="009F4601">
          <w:rPr>
            <w:webHidden/>
          </w:rPr>
          <w:tab/>
        </w:r>
        <w:r w:rsidR="009F4601">
          <w:rPr>
            <w:webHidden/>
          </w:rPr>
          <w:fldChar w:fldCharType="begin"/>
        </w:r>
        <w:r w:rsidR="009F4601">
          <w:rPr>
            <w:webHidden/>
          </w:rPr>
          <w:instrText xml:space="preserve"> PAGEREF _Toc487809954 \h </w:instrText>
        </w:r>
        <w:r w:rsidR="009F4601">
          <w:rPr>
            <w:webHidden/>
          </w:rPr>
        </w:r>
        <w:r w:rsidR="009F4601">
          <w:rPr>
            <w:webHidden/>
          </w:rPr>
          <w:fldChar w:fldCharType="separate"/>
        </w:r>
        <w:r w:rsidR="001D0904">
          <w:rPr>
            <w:webHidden/>
          </w:rPr>
          <w:t>53</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55" w:history="1">
        <w:r w:rsidR="009F4601" w:rsidRPr="00533872">
          <w:rPr>
            <w:rStyle w:val="Hyperlink"/>
            <w:rFonts w:cs="Arial"/>
            <w:bCs/>
          </w:rPr>
          <w:t>12.</w:t>
        </w:r>
        <w:r w:rsidR="009F4601">
          <w:rPr>
            <w:rFonts w:asciiTheme="minorHAnsi" w:eastAsiaTheme="minorEastAsia" w:hAnsiTheme="minorHAnsi" w:cstheme="minorBidi"/>
            <w:szCs w:val="22"/>
            <w:lang w:val="en-AU" w:eastAsia="en-AU"/>
          </w:rPr>
          <w:tab/>
        </w:r>
        <w:r w:rsidR="009F4601" w:rsidRPr="00533872">
          <w:rPr>
            <w:rStyle w:val="Hyperlink"/>
          </w:rPr>
          <w:t>Haematopoietic system</w:t>
        </w:r>
        <w:r w:rsidR="009F4601">
          <w:rPr>
            <w:webHidden/>
          </w:rPr>
          <w:tab/>
        </w:r>
        <w:r w:rsidR="009F4601">
          <w:rPr>
            <w:webHidden/>
          </w:rPr>
          <w:fldChar w:fldCharType="begin"/>
        </w:r>
        <w:r w:rsidR="009F4601">
          <w:rPr>
            <w:webHidden/>
          </w:rPr>
          <w:instrText xml:space="preserve"> PAGEREF _Toc487809955 \h </w:instrText>
        </w:r>
        <w:r w:rsidR="009F4601">
          <w:rPr>
            <w:webHidden/>
          </w:rPr>
        </w:r>
        <w:r w:rsidR="009F4601">
          <w:rPr>
            <w:webHidden/>
          </w:rPr>
          <w:fldChar w:fldCharType="separate"/>
        </w:r>
        <w:r w:rsidR="001D0904">
          <w:rPr>
            <w:webHidden/>
          </w:rPr>
          <w:t>60</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56" w:history="1">
        <w:r w:rsidR="009F4601" w:rsidRPr="00533872">
          <w:rPr>
            <w:rStyle w:val="Hyperlink"/>
            <w:rFonts w:cs="Arial"/>
            <w:bCs/>
          </w:rPr>
          <w:t>13.</w:t>
        </w:r>
        <w:r w:rsidR="009F4601">
          <w:rPr>
            <w:rFonts w:asciiTheme="minorHAnsi" w:eastAsiaTheme="minorEastAsia" w:hAnsiTheme="minorHAnsi" w:cstheme="minorBidi"/>
            <w:szCs w:val="22"/>
            <w:lang w:val="en-AU" w:eastAsia="en-AU"/>
          </w:rPr>
          <w:tab/>
        </w:r>
        <w:r w:rsidR="009F4601" w:rsidRPr="00533872">
          <w:rPr>
            <w:rStyle w:val="Hyperlink"/>
          </w:rPr>
          <w:t>The endocrine system</w:t>
        </w:r>
        <w:r w:rsidR="009F4601">
          <w:rPr>
            <w:webHidden/>
          </w:rPr>
          <w:tab/>
        </w:r>
        <w:r w:rsidR="009F4601">
          <w:rPr>
            <w:webHidden/>
          </w:rPr>
          <w:fldChar w:fldCharType="begin"/>
        </w:r>
        <w:r w:rsidR="009F4601">
          <w:rPr>
            <w:webHidden/>
          </w:rPr>
          <w:instrText xml:space="preserve"> PAGEREF _Toc487809956 \h </w:instrText>
        </w:r>
        <w:r w:rsidR="009F4601">
          <w:rPr>
            <w:webHidden/>
          </w:rPr>
        </w:r>
        <w:r w:rsidR="009F4601">
          <w:rPr>
            <w:webHidden/>
          </w:rPr>
          <w:fldChar w:fldCharType="separate"/>
        </w:r>
        <w:r w:rsidR="001D0904">
          <w:rPr>
            <w:webHidden/>
          </w:rPr>
          <w:t>62</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57" w:history="1">
        <w:r w:rsidR="009F4601" w:rsidRPr="00533872">
          <w:rPr>
            <w:rStyle w:val="Hyperlink"/>
            <w:rFonts w:cs="Arial"/>
            <w:bCs/>
          </w:rPr>
          <w:t>14.</w:t>
        </w:r>
        <w:r w:rsidR="009F4601">
          <w:rPr>
            <w:rFonts w:asciiTheme="minorHAnsi" w:eastAsiaTheme="minorEastAsia" w:hAnsiTheme="minorHAnsi" w:cstheme="minorBidi"/>
            <w:szCs w:val="22"/>
            <w:lang w:val="en-AU" w:eastAsia="en-AU"/>
          </w:rPr>
          <w:tab/>
        </w:r>
        <w:r w:rsidR="009F4601" w:rsidRPr="00533872">
          <w:rPr>
            <w:rStyle w:val="Hyperlink"/>
          </w:rPr>
          <w:t>The skin</w:t>
        </w:r>
        <w:r w:rsidR="009F4601">
          <w:rPr>
            <w:webHidden/>
          </w:rPr>
          <w:tab/>
        </w:r>
        <w:r w:rsidR="009F4601">
          <w:rPr>
            <w:webHidden/>
          </w:rPr>
          <w:fldChar w:fldCharType="begin"/>
        </w:r>
        <w:r w:rsidR="009F4601">
          <w:rPr>
            <w:webHidden/>
          </w:rPr>
          <w:instrText xml:space="preserve"> PAGEREF _Toc487809957 \h </w:instrText>
        </w:r>
        <w:r w:rsidR="009F4601">
          <w:rPr>
            <w:webHidden/>
          </w:rPr>
        </w:r>
        <w:r w:rsidR="009F4601">
          <w:rPr>
            <w:webHidden/>
          </w:rPr>
          <w:fldChar w:fldCharType="separate"/>
        </w:r>
        <w:r w:rsidR="001D0904">
          <w:rPr>
            <w:webHidden/>
          </w:rPr>
          <w:t>71</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58" w:history="1">
        <w:r w:rsidR="009F4601" w:rsidRPr="00533872">
          <w:rPr>
            <w:rStyle w:val="Hyperlink"/>
            <w:rFonts w:cs="Arial"/>
            <w:bCs/>
          </w:rPr>
          <w:t>15.</w:t>
        </w:r>
        <w:r w:rsidR="009F4601">
          <w:rPr>
            <w:rFonts w:asciiTheme="minorHAnsi" w:eastAsiaTheme="minorEastAsia" w:hAnsiTheme="minorHAnsi" w:cstheme="minorBidi"/>
            <w:szCs w:val="22"/>
            <w:lang w:val="en-AU" w:eastAsia="en-AU"/>
          </w:rPr>
          <w:tab/>
        </w:r>
        <w:r w:rsidR="009F4601" w:rsidRPr="00533872">
          <w:rPr>
            <w:rStyle w:val="Hyperlink"/>
          </w:rPr>
          <w:t>Cardiovascular system</w:t>
        </w:r>
        <w:r w:rsidR="009F4601">
          <w:rPr>
            <w:webHidden/>
          </w:rPr>
          <w:tab/>
        </w:r>
        <w:r w:rsidR="009F4601">
          <w:rPr>
            <w:webHidden/>
          </w:rPr>
          <w:fldChar w:fldCharType="begin"/>
        </w:r>
        <w:r w:rsidR="009F4601">
          <w:rPr>
            <w:webHidden/>
          </w:rPr>
          <w:instrText xml:space="preserve"> PAGEREF _Toc487809958 \h </w:instrText>
        </w:r>
        <w:r w:rsidR="009F4601">
          <w:rPr>
            <w:webHidden/>
          </w:rPr>
        </w:r>
        <w:r w:rsidR="009F4601">
          <w:rPr>
            <w:webHidden/>
          </w:rPr>
          <w:fldChar w:fldCharType="separate"/>
        </w:r>
        <w:r w:rsidR="001D0904">
          <w:rPr>
            <w:webHidden/>
          </w:rPr>
          <w:t>75</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59" w:history="1">
        <w:r w:rsidR="009F4601" w:rsidRPr="00533872">
          <w:rPr>
            <w:rStyle w:val="Hyperlink"/>
            <w:rFonts w:cs="Arial"/>
          </w:rPr>
          <w:t>16.</w:t>
        </w:r>
        <w:r w:rsidR="009F4601">
          <w:rPr>
            <w:rFonts w:asciiTheme="minorHAnsi" w:eastAsiaTheme="minorEastAsia" w:hAnsiTheme="minorHAnsi" w:cstheme="minorBidi"/>
            <w:szCs w:val="22"/>
            <w:lang w:val="en-AU" w:eastAsia="en-AU"/>
          </w:rPr>
          <w:tab/>
        </w:r>
        <w:r w:rsidR="009F4601" w:rsidRPr="00533872">
          <w:rPr>
            <w:rStyle w:val="Hyperlink"/>
          </w:rPr>
          <w:t>Digestive system</w:t>
        </w:r>
        <w:r w:rsidR="009F4601">
          <w:rPr>
            <w:webHidden/>
          </w:rPr>
          <w:tab/>
        </w:r>
        <w:r w:rsidR="009F4601">
          <w:rPr>
            <w:webHidden/>
          </w:rPr>
          <w:fldChar w:fldCharType="begin"/>
        </w:r>
        <w:r w:rsidR="009F4601">
          <w:rPr>
            <w:webHidden/>
          </w:rPr>
          <w:instrText xml:space="preserve"> PAGEREF _Toc487809959 \h </w:instrText>
        </w:r>
        <w:r w:rsidR="009F4601">
          <w:rPr>
            <w:webHidden/>
          </w:rPr>
        </w:r>
        <w:r w:rsidR="009F4601">
          <w:rPr>
            <w:webHidden/>
          </w:rPr>
          <w:fldChar w:fldCharType="separate"/>
        </w:r>
        <w:r w:rsidR="001D0904">
          <w:rPr>
            <w:webHidden/>
          </w:rPr>
          <w:t>76</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60" w:history="1">
        <w:r w:rsidR="009F4601" w:rsidRPr="00533872">
          <w:rPr>
            <w:rStyle w:val="Hyperlink"/>
            <w:rFonts w:cs="Arial"/>
          </w:rPr>
          <w:t>17.</w:t>
        </w:r>
        <w:r w:rsidR="009F4601">
          <w:rPr>
            <w:rFonts w:asciiTheme="minorHAnsi" w:eastAsiaTheme="minorEastAsia" w:hAnsiTheme="minorHAnsi" w:cstheme="minorBidi"/>
            <w:szCs w:val="22"/>
            <w:lang w:val="en-AU" w:eastAsia="en-AU"/>
          </w:rPr>
          <w:tab/>
        </w:r>
        <w:r w:rsidR="009F4601" w:rsidRPr="00533872">
          <w:rPr>
            <w:rStyle w:val="Hyperlink"/>
          </w:rPr>
          <w:t>Evaluation of permanent impairment arising from chronic pain</w:t>
        </w:r>
        <w:r w:rsidR="009F4601">
          <w:rPr>
            <w:webHidden/>
          </w:rPr>
          <w:tab/>
        </w:r>
        <w:r w:rsidR="009F4601">
          <w:rPr>
            <w:webHidden/>
          </w:rPr>
          <w:fldChar w:fldCharType="begin"/>
        </w:r>
        <w:r w:rsidR="009F4601">
          <w:rPr>
            <w:webHidden/>
          </w:rPr>
          <w:instrText xml:space="preserve"> PAGEREF _Toc487809960 \h </w:instrText>
        </w:r>
        <w:r w:rsidR="009F4601">
          <w:rPr>
            <w:webHidden/>
          </w:rPr>
        </w:r>
        <w:r w:rsidR="009F4601">
          <w:rPr>
            <w:webHidden/>
          </w:rPr>
          <w:fldChar w:fldCharType="separate"/>
        </w:r>
        <w:r w:rsidR="001D0904">
          <w:rPr>
            <w:webHidden/>
          </w:rPr>
          <w:t>78</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61" w:history="1">
        <w:r w:rsidR="009F4601" w:rsidRPr="00533872">
          <w:rPr>
            <w:rStyle w:val="Hyperlink"/>
            <w:rFonts w:eastAsiaTheme="minorHAnsi"/>
            <w:lang w:val="en-US"/>
          </w:rPr>
          <w:t>Appendix 1: Key definitions</w:t>
        </w:r>
        <w:r w:rsidR="009F4601">
          <w:rPr>
            <w:webHidden/>
          </w:rPr>
          <w:tab/>
        </w:r>
        <w:r w:rsidR="009F4601">
          <w:rPr>
            <w:webHidden/>
          </w:rPr>
          <w:fldChar w:fldCharType="begin"/>
        </w:r>
        <w:r w:rsidR="009F4601">
          <w:rPr>
            <w:webHidden/>
          </w:rPr>
          <w:instrText xml:space="preserve"> PAGEREF _Toc487809961 \h </w:instrText>
        </w:r>
        <w:r w:rsidR="009F4601">
          <w:rPr>
            <w:webHidden/>
          </w:rPr>
        </w:r>
        <w:r w:rsidR="009F4601">
          <w:rPr>
            <w:webHidden/>
          </w:rPr>
          <w:fldChar w:fldCharType="separate"/>
        </w:r>
        <w:r w:rsidR="001D0904">
          <w:rPr>
            <w:webHidden/>
          </w:rPr>
          <w:t>81</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62" w:history="1">
        <w:r w:rsidR="009F4601" w:rsidRPr="00533872">
          <w:rPr>
            <w:rStyle w:val="Hyperlink"/>
            <w:lang w:val="en-US"/>
          </w:rPr>
          <w:t>Appendix 2: Northern Territory Variations</w:t>
        </w:r>
        <w:r w:rsidR="009F4601">
          <w:rPr>
            <w:webHidden/>
          </w:rPr>
          <w:tab/>
        </w:r>
        <w:r w:rsidR="009F4601">
          <w:rPr>
            <w:webHidden/>
          </w:rPr>
          <w:fldChar w:fldCharType="begin"/>
        </w:r>
        <w:r w:rsidR="009F4601">
          <w:rPr>
            <w:webHidden/>
          </w:rPr>
          <w:instrText xml:space="preserve"> PAGEREF _Toc487809962 \h </w:instrText>
        </w:r>
        <w:r w:rsidR="009F4601">
          <w:rPr>
            <w:webHidden/>
          </w:rPr>
        </w:r>
        <w:r w:rsidR="009F4601">
          <w:rPr>
            <w:webHidden/>
          </w:rPr>
          <w:fldChar w:fldCharType="separate"/>
        </w:r>
        <w:r w:rsidR="001D0904">
          <w:rPr>
            <w:webHidden/>
          </w:rPr>
          <w:t>82</w:t>
        </w:r>
        <w:r w:rsidR="009F4601">
          <w:rPr>
            <w:webHidden/>
          </w:rPr>
          <w:fldChar w:fldCharType="end"/>
        </w:r>
      </w:hyperlink>
    </w:p>
    <w:p w:rsidR="009F4601" w:rsidRDefault="006D4037" w:rsidP="00535AFE">
      <w:pPr>
        <w:pStyle w:val="TOC1"/>
        <w:spacing w:after="200"/>
        <w:rPr>
          <w:rFonts w:asciiTheme="minorHAnsi" w:eastAsiaTheme="minorEastAsia" w:hAnsiTheme="minorHAnsi" w:cstheme="minorBidi"/>
          <w:szCs w:val="22"/>
          <w:lang w:val="en-AU" w:eastAsia="en-AU"/>
        </w:rPr>
      </w:pPr>
      <w:hyperlink w:anchor="_Toc487809963" w:history="1">
        <w:r w:rsidR="009F4601" w:rsidRPr="00533872">
          <w:rPr>
            <w:rStyle w:val="Hyperlink"/>
          </w:rPr>
          <w:t>Appendix 3: Working groups on permanent impairment</w:t>
        </w:r>
        <w:r w:rsidR="009F4601">
          <w:rPr>
            <w:webHidden/>
          </w:rPr>
          <w:tab/>
        </w:r>
        <w:r w:rsidR="009F4601">
          <w:rPr>
            <w:webHidden/>
          </w:rPr>
          <w:fldChar w:fldCharType="begin"/>
        </w:r>
        <w:r w:rsidR="009F4601">
          <w:rPr>
            <w:webHidden/>
          </w:rPr>
          <w:instrText xml:space="preserve"> PAGEREF _Toc487809963 \h </w:instrText>
        </w:r>
        <w:r w:rsidR="009F4601">
          <w:rPr>
            <w:webHidden/>
          </w:rPr>
        </w:r>
        <w:r w:rsidR="009F4601">
          <w:rPr>
            <w:webHidden/>
          </w:rPr>
          <w:fldChar w:fldCharType="separate"/>
        </w:r>
        <w:r w:rsidR="001D0904">
          <w:rPr>
            <w:webHidden/>
          </w:rPr>
          <w:t>83</w:t>
        </w:r>
        <w:r w:rsidR="009F4601">
          <w:rPr>
            <w:webHidden/>
          </w:rPr>
          <w:fldChar w:fldCharType="end"/>
        </w:r>
      </w:hyperlink>
    </w:p>
    <w:p w:rsidR="00C61FD5" w:rsidRDefault="009F4601" w:rsidP="009F4601">
      <w:pPr>
        <w:spacing w:after="120" w:line="240" w:lineRule="auto"/>
        <w:rPr>
          <w:rFonts w:eastAsia="Times New Roman" w:cs="Times New Roman"/>
          <w:sz w:val="24"/>
          <w:szCs w:val="20"/>
          <w:lang w:val="en-US"/>
        </w:rPr>
      </w:pPr>
      <w:r>
        <w:rPr>
          <w:rFonts w:eastAsia="Times New Roman" w:cs="Arial"/>
          <w:b/>
          <w:bCs/>
          <w:lang w:eastAsia="en-AU"/>
        </w:rPr>
        <w:fldChar w:fldCharType="end"/>
      </w:r>
    </w:p>
    <w:p w:rsidR="009F4601" w:rsidRDefault="00486E02" w:rsidP="009F4601">
      <w:pPr>
        <w:rPr>
          <w:rFonts w:eastAsia="Times New Roman" w:cs="Times New Roman"/>
          <w:sz w:val="24"/>
          <w:szCs w:val="20"/>
          <w:lang w:val="en-US"/>
        </w:rPr>
      </w:pPr>
      <w:r>
        <w:rPr>
          <w:rFonts w:eastAsia="Times New Roman" w:cs="Times New Roman"/>
          <w:sz w:val="24"/>
          <w:szCs w:val="20"/>
          <w:lang w:val="en-US"/>
        </w:rPr>
        <w:br w:type="page"/>
      </w:r>
    </w:p>
    <w:p w:rsidR="009F4601" w:rsidRDefault="009F4601">
      <w:pPr>
        <w:rPr>
          <w:rFonts w:eastAsia="Times New Roman" w:cs="Times New Roman"/>
          <w:sz w:val="24"/>
          <w:szCs w:val="20"/>
          <w:lang w:val="en-US"/>
        </w:rPr>
      </w:pPr>
    </w:p>
    <w:p w:rsidR="00F02613" w:rsidRDefault="00F02613" w:rsidP="00D8141B">
      <w:pPr>
        <w:spacing w:after="0" w:line="240" w:lineRule="auto"/>
        <w:rPr>
          <w:rFonts w:eastAsia="Times New Roman" w:cs="Arial"/>
          <w:b/>
          <w:iCs/>
          <w:sz w:val="32"/>
          <w:szCs w:val="32"/>
        </w:rPr>
      </w:pPr>
    </w:p>
    <w:p w:rsidR="00F02613" w:rsidRDefault="00F02613" w:rsidP="00D8141B">
      <w:pPr>
        <w:spacing w:after="0" w:line="240" w:lineRule="auto"/>
        <w:rPr>
          <w:rFonts w:eastAsia="Times New Roman" w:cs="Arial"/>
          <w:b/>
          <w:iCs/>
          <w:sz w:val="32"/>
          <w:szCs w:val="32"/>
        </w:rPr>
        <w:sectPr w:rsidR="00F02613" w:rsidSect="00C61FD5">
          <w:pgSz w:w="11906" w:h="16838" w:code="9"/>
          <w:pgMar w:top="1134" w:right="1134" w:bottom="1134" w:left="1134" w:header="0" w:footer="720" w:gutter="0"/>
          <w:pgNumType w:fmt="lowerRoman"/>
          <w:cols w:space="720"/>
          <w:docGrid w:linePitch="299"/>
        </w:sectPr>
      </w:pPr>
    </w:p>
    <w:p w:rsidR="00F02613" w:rsidRPr="00F02613" w:rsidRDefault="00F02613" w:rsidP="00A51088">
      <w:pPr>
        <w:pStyle w:val="Heading1"/>
        <w:tabs>
          <w:tab w:val="clear" w:pos="567"/>
          <w:tab w:val="left" w:pos="709"/>
        </w:tabs>
        <w:ind w:hanging="720"/>
      </w:pPr>
      <w:bookmarkStart w:id="4" w:name="_Toc487809944"/>
      <w:r w:rsidRPr="00F02613">
        <w:lastRenderedPageBreak/>
        <w:t>Introduction</w:t>
      </w:r>
      <w:bookmarkEnd w:id="4"/>
    </w:p>
    <w:p w:rsidR="009976A6" w:rsidRPr="00F02613" w:rsidRDefault="009976A6" w:rsidP="00657EC5">
      <w:pPr>
        <w:pStyle w:val="Heading2"/>
        <w:rPr>
          <w:lang w:eastAsia="en-AU"/>
        </w:rPr>
      </w:pPr>
      <w:r w:rsidRPr="00F02613">
        <w:rPr>
          <w:lang w:eastAsia="en-AU"/>
        </w:rPr>
        <w:t>PART 1 – INTENT</w:t>
      </w:r>
      <w:r w:rsidR="00EA3451" w:rsidRPr="00F02613">
        <w:rPr>
          <w:lang w:eastAsia="en-AU"/>
        </w:rPr>
        <w:t xml:space="preserve"> AND LEGISLATIVE BASIS FOR THE</w:t>
      </w:r>
      <w:r w:rsidRPr="00F02613">
        <w:rPr>
          <w:lang w:eastAsia="en-AU"/>
        </w:rPr>
        <w:t xml:space="preserve"> </w:t>
      </w:r>
      <w:r w:rsidRPr="00F02613">
        <w:rPr>
          <w:bCs/>
          <w:lang w:eastAsia="en-AU"/>
        </w:rPr>
        <w:t>GUIDELINES</w:t>
      </w:r>
    </w:p>
    <w:p w:rsidR="009976A6" w:rsidRPr="009976A6" w:rsidRDefault="009976A6" w:rsidP="00F81C40">
      <w:pPr>
        <w:pStyle w:val="BodyText1"/>
        <w:tabs>
          <w:tab w:val="clear" w:pos="851"/>
          <w:tab w:val="left" w:pos="709"/>
        </w:tabs>
      </w:pPr>
      <w:r w:rsidRPr="009976A6">
        <w:t xml:space="preserve">For the purposes of </w:t>
      </w:r>
      <w:r w:rsidR="00451C99">
        <w:t xml:space="preserve">the Northern Territory </w:t>
      </w:r>
      <w:r w:rsidRPr="009976A6">
        <w:rPr>
          <w:bCs/>
          <w:i/>
        </w:rPr>
        <w:t>Guidelines</w:t>
      </w:r>
      <w:r w:rsidRPr="009976A6">
        <w:rPr>
          <w:i/>
        </w:rPr>
        <w:t xml:space="preserve"> for the Evaluation of Permanent Impairment </w:t>
      </w:r>
      <w:r w:rsidRPr="009976A6">
        <w:t>(</w:t>
      </w:r>
      <w:r w:rsidR="001E04D9">
        <w:t xml:space="preserve">the </w:t>
      </w:r>
      <w:r w:rsidRPr="001E04D9">
        <w:rPr>
          <w:bCs/>
        </w:rPr>
        <w:t>Guidelines</w:t>
      </w:r>
      <w:r w:rsidRPr="009976A6">
        <w:t xml:space="preserve">) are made under </w:t>
      </w:r>
      <w:r w:rsidR="00451C99">
        <w:t xml:space="preserve">section 70 of the </w:t>
      </w:r>
      <w:r w:rsidR="00451C99" w:rsidRPr="004E72EB">
        <w:rPr>
          <w:i/>
        </w:rPr>
        <w:t>Return to Work Act</w:t>
      </w:r>
      <w:r w:rsidR="005B49F3">
        <w:t xml:space="preserve"> </w:t>
      </w:r>
      <w:r w:rsidRPr="009976A6">
        <w:t xml:space="preserve">and </w:t>
      </w:r>
      <w:r w:rsidR="008D2839">
        <w:t>the</w:t>
      </w:r>
      <w:r w:rsidR="000E7589">
        <w:t xml:space="preserve">se </w:t>
      </w:r>
      <w:r w:rsidR="008D2839">
        <w:t>Guidelines are</w:t>
      </w:r>
      <w:r w:rsidRPr="009976A6">
        <w:t xml:space="preserve"> to be used within the </w:t>
      </w:r>
      <w:r w:rsidR="00451C99">
        <w:t>Northern Territory</w:t>
      </w:r>
      <w:r w:rsidR="005B49F3">
        <w:t xml:space="preserve"> </w:t>
      </w:r>
      <w:r w:rsidRPr="009976A6">
        <w:t xml:space="preserve">to evaluate permanent impairment arising from work-related injuries/diseases. </w:t>
      </w:r>
    </w:p>
    <w:p w:rsidR="009976A6" w:rsidRPr="009976A6" w:rsidRDefault="001E04D9" w:rsidP="00F81C40">
      <w:pPr>
        <w:pStyle w:val="BodyText1"/>
        <w:numPr>
          <w:ilvl w:val="0"/>
          <w:numId w:val="0"/>
        </w:numPr>
        <w:tabs>
          <w:tab w:val="clear" w:pos="851"/>
        </w:tabs>
        <w:ind w:left="709"/>
      </w:pPr>
      <w:r>
        <w:t xml:space="preserve">The </w:t>
      </w:r>
      <w:r w:rsidR="009976A6" w:rsidRPr="001E04D9">
        <w:rPr>
          <w:bCs/>
        </w:rPr>
        <w:t>Guidelines</w:t>
      </w:r>
      <w:r>
        <w:t xml:space="preserve"> adopt</w:t>
      </w:r>
      <w:r w:rsidR="009976A6" w:rsidRPr="009976A6">
        <w:t xml:space="preserve"> the fifth edition of the</w:t>
      </w:r>
      <w:r>
        <w:t xml:space="preserve"> American Medical Association’s </w:t>
      </w:r>
      <w:r w:rsidR="009976A6" w:rsidRPr="009976A6">
        <w:rPr>
          <w:i/>
        </w:rPr>
        <w:t xml:space="preserve">Guides </w:t>
      </w:r>
      <w:r w:rsidR="007B23EF">
        <w:rPr>
          <w:i/>
        </w:rPr>
        <w:t>to</w:t>
      </w:r>
      <w:r w:rsidR="009976A6" w:rsidRPr="009976A6">
        <w:rPr>
          <w:i/>
        </w:rPr>
        <w:t xml:space="preserve"> the Evaluation of Permanent Impairment</w:t>
      </w:r>
      <w:r w:rsidR="009976A6" w:rsidRPr="009976A6">
        <w:t xml:space="preserve"> (AMA5) in most cases. Where there is any deviation, the difference is defined in the </w:t>
      </w:r>
      <w:r w:rsidR="009976A6" w:rsidRPr="001E04D9">
        <w:rPr>
          <w:bCs/>
        </w:rPr>
        <w:t>Guidelines</w:t>
      </w:r>
      <w:r w:rsidR="009976A6" w:rsidRPr="009976A6">
        <w:t xml:space="preserve"> and</w:t>
      </w:r>
      <w:r w:rsidR="009976A6" w:rsidRPr="009976A6">
        <w:rPr>
          <w:i/>
        </w:rPr>
        <w:t xml:space="preserve"> </w:t>
      </w:r>
      <w:r w:rsidR="009976A6" w:rsidRPr="009976A6">
        <w:t>the procedures contained therein are to prevail if there is any inconsistency with the AMA5.</w:t>
      </w:r>
    </w:p>
    <w:p w:rsidR="009976A6" w:rsidRPr="00657EC5" w:rsidRDefault="009976A6" w:rsidP="00657EC5">
      <w:pPr>
        <w:pStyle w:val="Heading3"/>
        <w:rPr>
          <w:lang w:eastAsia="en-AU"/>
        </w:rPr>
      </w:pPr>
      <w:r w:rsidRPr="009976A6">
        <w:rPr>
          <w:lang w:eastAsia="en-AU"/>
        </w:rPr>
        <w:t xml:space="preserve">Date of </w:t>
      </w:r>
      <w:r w:rsidRPr="00657EC5">
        <w:rPr>
          <w:lang w:eastAsia="en-AU"/>
        </w:rPr>
        <w:t>Effect</w:t>
      </w:r>
    </w:p>
    <w:p w:rsidR="009976A6" w:rsidRPr="009976A6" w:rsidRDefault="00D667FF" w:rsidP="00657EC5">
      <w:pPr>
        <w:pStyle w:val="BodyText1"/>
      </w:pPr>
      <w:r>
        <w:t>When conducting a permanent impairment assessment in accordance with the Guidelines, assessors are required to use the current version at the time of the assessment.</w:t>
      </w:r>
      <w:r w:rsidR="009976A6" w:rsidRPr="009976A6">
        <w:t xml:space="preserve"> </w:t>
      </w:r>
    </w:p>
    <w:p w:rsidR="009976A6" w:rsidRPr="009976A6" w:rsidRDefault="00902591" w:rsidP="00657EC5">
      <w:pPr>
        <w:pStyle w:val="Heading3"/>
        <w:rPr>
          <w:lang w:eastAsia="en-AU"/>
        </w:rPr>
      </w:pPr>
      <w:r>
        <w:rPr>
          <w:lang w:eastAsia="en-AU"/>
        </w:rPr>
        <w:t>Development of the</w:t>
      </w:r>
      <w:r w:rsidR="009976A6" w:rsidRPr="009976A6">
        <w:rPr>
          <w:lang w:eastAsia="en-AU"/>
        </w:rPr>
        <w:t xml:space="preserve"> </w:t>
      </w:r>
      <w:r w:rsidR="009976A6" w:rsidRPr="001E04D9">
        <w:rPr>
          <w:bCs/>
          <w:lang w:eastAsia="en-AU"/>
        </w:rPr>
        <w:t>Guidelines</w:t>
      </w:r>
    </w:p>
    <w:p w:rsidR="009976A6" w:rsidRPr="009976A6" w:rsidRDefault="001E04D9" w:rsidP="00657EC5">
      <w:pPr>
        <w:pStyle w:val="BodyText1"/>
      </w:pPr>
      <w:r>
        <w:t>The</w:t>
      </w:r>
      <w:r w:rsidR="009976A6" w:rsidRPr="009976A6">
        <w:t xml:space="preserve"> </w:t>
      </w:r>
      <w:r w:rsidR="009976A6" w:rsidRPr="001E04D9">
        <w:rPr>
          <w:bCs/>
        </w:rPr>
        <w:t>Guidelines</w:t>
      </w:r>
      <w:r w:rsidR="009976A6" w:rsidRPr="009976A6">
        <w:t xml:space="preserve"> are based on a template guide that was developed through a national process facilitated by Safe Work Australia. The template national guide is based on a similar set of guidelines that was developed and used extensively in the New South Wales’ workers compensation system. </w:t>
      </w:r>
      <w:r w:rsidR="00902591">
        <w:t>Consequently provisions of the</w:t>
      </w:r>
      <w:r w:rsidR="009976A6" w:rsidRPr="009976A6">
        <w:rPr>
          <w:bCs/>
          <w:i/>
        </w:rPr>
        <w:t xml:space="preserve"> </w:t>
      </w:r>
      <w:r w:rsidR="009976A6" w:rsidRPr="00902591">
        <w:rPr>
          <w:bCs/>
        </w:rPr>
        <w:t>Guidelines</w:t>
      </w:r>
      <w:r w:rsidR="009976A6" w:rsidRPr="009976A6">
        <w:t xml:space="preserve"> are the result of extensive and in-depth deliberations by groups of medical specialists convened</w:t>
      </w:r>
      <w:r w:rsidR="00F37A82">
        <w:t xml:space="preserve"> </w:t>
      </w:r>
      <w:r w:rsidR="009976A6" w:rsidRPr="009976A6">
        <w:t>to review the AMA5 in the Australian workers’ compensation context. It has been adopted for use in multiple Australian jurisdictions.</w:t>
      </w:r>
    </w:p>
    <w:p w:rsidR="009976A6" w:rsidRPr="009976A6" w:rsidRDefault="009976A6" w:rsidP="00657EC5">
      <w:pPr>
        <w:pStyle w:val="BodyText1"/>
      </w:pPr>
      <w:r w:rsidRPr="009976A6">
        <w:t xml:space="preserve">Use of </w:t>
      </w:r>
      <w:r w:rsidR="00902591">
        <w:t>the</w:t>
      </w:r>
      <w:r w:rsidR="00902591" w:rsidRPr="009976A6">
        <w:rPr>
          <w:bCs/>
          <w:i/>
        </w:rPr>
        <w:t xml:space="preserve"> </w:t>
      </w:r>
      <w:r w:rsidR="00902591" w:rsidRPr="00902591">
        <w:rPr>
          <w:bCs/>
        </w:rPr>
        <w:t>Guidelines</w:t>
      </w:r>
      <w:r w:rsidR="00902591" w:rsidRPr="009976A6">
        <w:t xml:space="preserve"> </w:t>
      </w:r>
      <w:r w:rsidRPr="009976A6">
        <w:t>is monitored by the jurisdictions that have adopted it. T</w:t>
      </w:r>
      <w:r w:rsidR="00902591">
        <w:t>he</w:t>
      </w:r>
      <w:r w:rsidR="00902591" w:rsidRPr="009976A6">
        <w:rPr>
          <w:bCs/>
          <w:i/>
        </w:rPr>
        <w:t xml:space="preserve"> </w:t>
      </w:r>
      <w:r w:rsidR="00902591" w:rsidRPr="00902591">
        <w:rPr>
          <w:bCs/>
        </w:rPr>
        <w:t>Guidelines</w:t>
      </w:r>
      <w:r w:rsidR="00902591" w:rsidRPr="009976A6">
        <w:t xml:space="preserve"> </w:t>
      </w:r>
      <w:r w:rsidRPr="009976A6">
        <w:t>may be reviewed if significant anomalies or insurmountable difficulties in their use become apparent.</w:t>
      </w:r>
    </w:p>
    <w:p w:rsidR="009976A6" w:rsidRPr="009976A6" w:rsidRDefault="00902591" w:rsidP="00657EC5">
      <w:pPr>
        <w:pStyle w:val="BodyText1"/>
      </w:pPr>
      <w:r>
        <w:t>The</w:t>
      </w:r>
      <w:r w:rsidRPr="009976A6">
        <w:rPr>
          <w:bCs/>
          <w:i/>
        </w:rPr>
        <w:t xml:space="preserve"> </w:t>
      </w:r>
      <w:r w:rsidRPr="00902591">
        <w:rPr>
          <w:bCs/>
        </w:rPr>
        <w:t>Guidelines</w:t>
      </w:r>
      <w:r w:rsidRPr="009976A6">
        <w:t xml:space="preserve"> </w:t>
      </w:r>
      <w:r w:rsidR="009976A6" w:rsidRPr="009976A6">
        <w:t xml:space="preserve">are intended to assist a suitably qualified and experienced medical practitioner to assess a claimant’s degree of permanent impairment. </w:t>
      </w:r>
    </w:p>
    <w:p w:rsidR="009976A6" w:rsidRPr="009976A6" w:rsidRDefault="009976A6" w:rsidP="00657EC5">
      <w:pPr>
        <w:pStyle w:val="Heading2"/>
        <w:rPr>
          <w:lang w:eastAsia="en-AU"/>
        </w:rPr>
      </w:pPr>
      <w:r w:rsidRPr="009976A6">
        <w:rPr>
          <w:lang w:eastAsia="en-AU"/>
        </w:rPr>
        <w:t>PART 2 – PRINCIPLES OF ASSESSMENT</w:t>
      </w:r>
    </w:p>
    <w:p w:rsidR="009976A6" w:rsidRPr="009976A6" w:rsidRDefault="009976A6" w:rsidP="00F81C40">
      <w:pPr>
        <w:pStyle w:val="BodyText1"/>
        <w:tabs>
          <w:tab w:val="clear" w:pos="851"/>
          <w:tab w:val="left" w:pos="709"/>
        </w:tabs>
      </w:pPr>
      <w:r w:rsidRPr="009976A6">
        <w:t xml:space="preserve">The following is a basic </w:t>
      </w:r>
      <w:r w:rsidRPr="00F04C11">
        <w:t>summary</w:t>
      </w:r>
      <w:r w:rsidRPr="009976A6">
        <w:t xml:space="preserve"> of some key principles of permanent impairment assessments:</w:t>
      </w:r>
    </w:p>
    <w:p w:rsidR="009976A6" w:rsidRPr="009976A6" w:rsidRDefault="00F37A82" w:rsidP="00F81C40">
      <w:pPr>
        <w:pStyle w:val="Paragraph2"/>
        <w:keepNext w:val="0"/>
        <w:ind w:hanging="993"/>
      </w:pPr>
      <w:r>
        <w:t>1.6.1</w:t>
      </w:r>
      <w:r>
        <w:tab/>
      </w:r>
      <w:r w:rsidR="009976A6" w:rsidRPr="009976A6">
        <w:t>Assessing permanent impairment involves clinical assessment of the claimant as they present on the day of assessment taking account of the claimant’s relevant medical history and all available relevant medical information in order to determine:</w:t>
      </w:r>
    </w:p>
    <w:p w:rsidR="009976A6" w:rsidRPr="009976A6" w:rsidRDefault="009976A6" w:rsidP="00F04C11">
      <w:pPr>
        <w:pStyle w:val="Bulletpoint"/>
        <w:keepNext w:val="0"/>
      </w:pPr>
      <w:r w:rsidRPr="009976A6">
        <w:t xml:space="preserve">Whether the condition has reached Maximum Medical Improvement; </w:t>
      </w:r>
    </w:p>
    <w:p w:rsidR="009976A6" w:rsidRPr="009976A6" w:rsidRDefault="009976A6" w:rsidP="00F04C11">
      <w:pPr>
        <w:pStyle w:val="Bulletpoint"/>
        <w:keepNext w:val="0"/>
      </w:pPr>
      <w:r w:rsidRPr="009976A6">
        <w:t xml:space="preserve">Whether the claimant’s compensable injury/condition has resulted in an impairment; </w:t>
      </w:r>
    </w:p>
    <w:p w:rsidR="009976A6" w:rsidRPr="009976A6" w:rsidRDefault="009976A6" w:rsidP="00F04C11">
      <w:pPr>
        <w:pStyle w:val="Bulletpoint"/>
        <w:keepNext w:val="0"/>
      </w:pPr>
      <w:r w:rsidRPr="009976A6">
        <w:t>Whether the resultant impairment is permanent;</w:t>
      </w:r>
    </w:p>
    <w:p w:rsidR="009976A6" w:rsidRPr="009976A6" w:rsidRDefault="009976A6" w:rsidP="00F04C11">
      <w:pPr>
        <w:pStyle w:val="Bulletpoint"/>
        <w:keepNext w:val="0"/>
      </w:pPr>
      <w:r w:rsidRPr="009976A6">
        <w:t>The degree of permanent impairment that results from the injury; and</w:t>
      </w:r>
    </w:p>
    <w:p w:rsidR="009976A6" w:rsidRPr="009976A6" w:rsidRDefault="009976A6" w:rsidP="00F04C11">
      <w:pPr>
        <w:pStyle w:val="Bulletpoint"/>
        <w:keepNext w:val="0"/>
      </w:pPr>
      <w:r w:rsidRPr="009976A6">
        <w:t>The proportion of permanent impairment due to any previous</w:t>
      </w:r>
      <w:r w:rsidR="00527BD6">
        <w:t xml:space="preserve"> </w:t>
      </w:r>
      <w:r w:rsidRPr="009976A6">
        <w:t xml:space="preserve">injury, pre-existing condition or abnormality, if any, in accordance with diagnostic and other objective criteria as outlined in </w:t>
      </w:r>
      <w:r w:rsidR="00902591">
        <w:t>the</w:t>
      </w:r>
      <w:r w:rsidR="00902591" w:rsidRPr="009976A6">
        <w:rPr>
          <w:bCs/>
          <w:i/>
        </w:rPr>
        <w:t xml:space="preserve"> </w:t>
      </w:r>
      <w:r w:rsidR="00902591" w:rsidRPr="00902591">
        <w:rPr>
          <w:bCs/>
        </w:rPr>
        <w:t>Guidelines</w:t>
      </w:r>
      <w:r w:rsidRPr="009976A6">
        <w:t>.</w:t>
      </w:r>
    </w:p>
    <w:p w:rsidR="009976A6" w:rsidRPr="009976A6" w:rsidRDefault="00F04C11" w:rsidP="00F81C40">
      <w:pPr>
        <w:pStyle w:val="Paragraph2"/>
        <w:keepNext w:val="0"/>
        <w:ind w:hanging="993"/>
      </w:pPr>
      <w:r>
        <w:lastRenderedPageBreak/>
        <w:t>1.6.2</w:t>
      </w:r>
      <w:r>
        <w:tab/>
      </w:r>
      <w:r w:rsidR="009976A6" w:rsidRPr="009976A6">
        <w:t xml:space="preserve">Assessors are required to exercise their clinical judgement in determining </w:t>
      </w:r>
      <w:r w:rsidR="009976A6" w:rsidRPr="009976A6">
        <w:rPr>
          <w:lang w:val="en-US"/>
        </w:rPr>
        <w:t>a diagnosis when assessing</w:t>
      </w:r>
      <w:r w:rsidR="009976A6" w:rsidRPr="00F04C11">
        <w:t xml:space="preserve"> </w:t>
      </w:r>
      <w:r w:rsidR="009976A6" w:rsidRPr="009976A6">
        <w:rPr>
          <w:lang w:val="en-US"/>
        </w:rPr>
        <w:t>permanent impairment and when making deductions for pre-existing injuries/conditions.</w:t>
      </w:r>
    </w:p>
    <w:p w:rsidR="009976A6" w:rsidRPr="009976A6" w:rsidRDefault="00F04C11" w:rsidP="00F81C40">
      <w:pPr>
        <w:pStyle w:val="Paragraph2"/>
        <w:keepNext w:val="0"/>
        <w:ind w:hanging="993"/>
      </w:pPr>
      <w:r>
        <w:t>1.6.3</w:t>
      </w:r>
      <w:r>
        <w:tab/>
      </w:r>
      <w:r w:rsidR="009976A6" w:rsidRPr="009976A6">
        <w:t xml:space="preserve">In </w:t>
      </w:r>
      <w:r w:rsidR="009976A6" w:rsidRPr="009976A6">
        <w:rPr>
          <w:lang w:val="en-US"/>
        </w:rPr>
        <w:t>calculating the final level of impairment, the assessor needs to clarify the degree of impairment that results from the compensable injury/condition. Any deductions for pre-existing injuries/conditions are to be clearly identified in the report and calculated. If, in an unusual situation, a related injury/condition has not previously been identified, an assessor should record the nature of any previously unidentified injury/condition in their report and specify the causal connection to the relevant compensable injury or medical condition.</w:t>
      </w:r>
    </w:p>
    <w:p w:rsidR="009976A6" w:rsidRPr="009976A6" w:rsidRDefault="00F04C11" w:rsidP="00F81C40">
      <w:pPr>
        <w:pStyle w:val="Paragraph2"/>
        <w:keepNext w:val="0"/>
        <w:ind w:hanging="993"/>
      </w:pPr>
      <w:r>
        <w:t>1.6.4</w:t>
      </w:r>
      <w:r>
        <w:tab/>
      </w:r>
      <w:r w:rsidR="009976A6" w:rsidRPr="009976A6">
        <w:t>The referral for an assessment of permanent impairment is to make clear to the assessor the injury or medical condition for which an assessment is sought – see also paragraphs 1.</w:t>
      </w:r>
      <w:r w:rsidR="001B197C">
        <w:t>43</w:t>
      </w:r>
      <w:r w:rsidR="009976A6" w:rsidRPr="009976A6">
        <w:t xml:space="preserve"> and 1.</w:t>
      </w:r>
      <w:r w:rsidR="001B197C">
        <w:t>44</w:t>
      </w:r>
      <w:r w:rsidR="009976A6" w:rsidRPr="009976A6">
        <w:t>.</w:t>
      </w:r>
    </w:p>
    <w:p w:rsidR="009976A6" w:rsidRPr="009976A6" w:rsidRDefault="009976A6" w:rsidP="00F04C11">
      <w:pPr>
        <w:pStyle w:val="BodyText1"/>
      </w:pPr>
      <w:r w:rsidRPr="009976A6">
        <w:t xml:space="preserve">Medical </w:t>
      </w:r>
      <w:r w:rsidRPr="009976A6">
        <w:rPr>
          <w:lang w:val="en-US"/>
        </w:rPr>
        <w:t>assessors are expected to be familiar with Chapters 1 and 2 of the AMA5 in addition to the information contained in this Introduction.</w:t>
      </w:r>
    </w:p>
    <w:p w:rsidR="009976A6" w:rsidRPr="009976A6" w:rsidRDefault="009976A6" w:rsidP="00F04C11">
      <w:pPr>
        <w:pStyle w:val="BodyText1"/>
      </w:pPr>
      <w:r w:rsidRPr="009976A6">
        <w:t xml:space="preserve">The degree of permanent impairment that results from the injury/condition must be determined using the tables, graphs and methodology given in </w:t>
      </w:r>
      <w:r w:rsidR="00902591">
        <w:t>the</w:t>
      </w:r>
      <w:r w:rsidR="00902591" w:rsidRPr="009976A6">
        <w:rPr>
          <w:bCs/>
          <w:i/>
        </w:rPr>
        <w:t xml:space="preserve"> </w:t>
      </w:r>
      <w:r w:rsidR="00902591" w:rsidRPr="00902591">
        <w:rPr>
          <w:bCs/>
        </w:rPr>
        <w:t>Guidelines</w:t>
      </w:r>
      <w:r w:rsidR="00902591" w:rsidRPr="009976A6">
        <w:t xml:space="preserve"> </w:t>
      </w:r>
      <w:r w:rsidRPr="009976A6">
        <w:t>and the AMA5 where appropriate.</w:t>
      </w:r>
    </w:p>
    <w:p w:rsidR="009976A6" w:rsidRPr="009976A6" w:rsidRDefault="00902591" w:rsidP="00F04C11">
      <w:pPr>
        <w:pStyle w:val="BodyText1"/>
        <w:rPr>
          <w:b/>
          <w:iCs/>
        </w:rPr>
      </w:pPr>
      <w:r>
        <w:t>The</w:t>
      </w:r>
      <w:r w:rsidRPr="009976A6">
        <w:rPr>
          <w:bCs/>
          <w:i/>
        </w:rPr>
        <w:t xml:space="preserve"> </w:t>
      </w:r>
      <w:r w:rsidRPr="00902591">
        <w:rPr>
          <w:bCs/>
        </w:rPr>
        <w:t>Guidelines</w:t>
      </w:r>
      <w:r w:rsidRPr="009976A6">
        <w:t xml:space="preserve"> </w:t>
      </w:r>
      <w:r w:rsidR="009976A6" w:rsidRPr="009976A6">
        <w:rPr>
          <w:iCs/>
        </w:rPr>
        <w:t xml:space="preserve">may specify more than one method that assessors can use to establish the degree of a </w:t>
      </w:r>
      <w:r w:rsidR="009976A6" w:rsidRPr="009976A6">
        <w:t>claimant’s</w:t>
      </w:r>
      <w:r w:rsidR="009976A6" w:rsidRPr="009976A6">
        <w:rPr>
          <w:iCs/>
        </w:rPr>
        <w:t xml:space="preserve"> permanent impairment. In that case, assessors should use the method that </w:t>
      </w:r>
      <w:r w:rsidR="00C563EE">
        <w:rPr>
          <w:iCs/>
        </w:rPr>
        <w:t>yields</w:t>
      </w:r>
      <w:r w:rsidR="00C563EE" w:rsidRPr="009976A6">
        <w:rPr>
          <w:iCs/>
        </w:rPr>
        <w:t xml:space="preserve"> </w:t>
      </w:r>
      <w:r w:rsidR="009976A6" w:rsidRPr="009976A6">
        <w:rPr>
          <w:iCs/>
        </w:rPr>
        <w:t>the highest degree of permanent impairment.</w:t>
      </w:r>
      <w:r w:rsidR="009976A6" w:rsidRPr="009976A6">
        <w:rPr>
          <w:i/>
          <w:iCs/>
        </w:rPr>
        <w:t xml:space="preserve"> (This does not apply to gait derangement - see paragraphs 3.5 and 3.10).</w:t>
      </w:r>
    </w:p>
    <w:p w:rsidR="009976A6" w:rsidRPr="0001273F" w:rsidRDefault="009976A6" w:rsidP="00F04C11">
      <w:pPr>
        <w:pStyle w:val="Heading3"/>
        <w:keepNext w:val="0"/>
        <w:rPr>
          <w:iCs/>
          <w:lang w:eastAsia="en-AU"/>
        </w:rPr>
      </w:pPr>
      <w:r w:rsidRPr="0001273F">
        <w:rPr>
          <w:lang w:eastAsia="en-AU"/>
        </w:rPr>
        <w:t>Body systems covered by t</w:t>
      </w:r>
      <w:r w:rsidRPr="0001273F">
        <w:rPr>
          <w:iCs/>
          <w:lang w:eastAsia="en-AU"/>
        </w:rPr>
        <w:t>h</w:t>
      </w:r>
      <w:r w:rsidR="00902591">
        <w:rPr>
          <w:iCs/>
          <w:lang w:eastAsia="en-AU"/>
        </w:rPr>
        <w:t>e</w:t>
      </w:r>
      <w:r w:rsidRPr="0001273F">
        <w:rPr>
          <w:iCs/>
          <w:lang w:eastAsia="en-AU"/>
        </w:rPr>
        <w:t xml:space="preserve"> Guidelines</w:t>
      </w:r>
    </w:p>
    <w:p w:rsidR="009976A6" w:rsidRPr="009976A6" w:rsidRDefault="009976A6" w:rsidP="00F04C11">
      <w:pPr>
        <w:pStyle w:val="BodyText1"/>
      </w:pPr>
      <w:r w:rsidRPr="009976A6">
        <w:t xml:space="preserve">The AMA5 is used for most body systems, with the exception of psychiatric and psychological disorders, chronic pain, visual and hearing injuries.  </w:t>
      </w:r>
    </w:p>
    <w:p w:rsidR="009976A6" w:rsidRPr="0001273F" w:rsidRDefault="009976A6" w:rsidP="00F04C11">
      <w:pPr>
        <w:pStyle w:val="BodyText1"/>
      </w:pPr>
      <w:r w:rsidRPr="0001273F">
        <w:t xml:space="preserve">The AMA5 chapter on Mental and Behavioural Disorders (Chapter 14) is omitted. </w:t>
      </w:r>
      <w:r w:rsidR="00902591">
        <w:t>The</w:t>
      </w:r>
      <w:r w:rsidR="00902591" w:rsidRPr="009976A6">
        <w:rPr>
          <w:bCs/>
          <w:i/>
        </w:rPr>
        <w:t xml:space="preserve"> </w:t>
      </w:r>
      <w:r w:rsidR="00902591" w:rsidRPr="00902591">
        <w:rPr>
          <w:bCs/>
        </w:rPr>
        <w:t>Guidelines</w:t>
      </w:r>
      <w:r w:rsidR="00902591" w:rsidRPr="009976A6">
        <w:t xml:space="preserve"> </w:t>
      </w:r>
      <w:r w:rsidRPr="0001273F">
        <w:t>contain a substitute chapter on the assessment of psyc</w:t>
      </w:r>
      <w:r w:rsidRPr="0001273F">
        <w:rPr>
          <w:bCs/>
        </w:rPr>
        <w:t>hiatric and psychol</w:t>
      </w:r>
      <w:r w:rsidRPr="0001273F">
        <w:t>ogical disorders (Chapter 11) which was written by a group of Australian psychiatrists.</w:t>
      </w:r>
    </w:p>
    <w:p w:rsidR="009976A6" w:rsidRPr="009976A6" w:rsidRDefault="009976A6" w:rsidP="00F04C11">
      <w:pPr>
        <w:pStyle w:val="BodyText1"/>
      </w:pPr>
      <w:r w:rsidRPr="009976A6">
        <w:t xml:space="preserve">The AMA5 chapter on pain (Chapter 18) is excluded entirely at the present time. Conditions associated with chronic pain should be assessed on the basis of the underlying diagnosed condition, and not on the basis of the chronic pain. Where pain is commonly associated with a condition, an allowance is made in the degree of impairment assigned in </w:t>
      </w:r>
      <w:r w:rsidR="00902591">
        <w:t>the</w:t>
      </w:r>
      <w:r w:rsidR="00902591" w:rsidRPr="009976A6">
        <w:rPr>
          <w:bCs/>
          <w:i/>
        </w:rPr>
        <w:t xml:space="preserve"> </w:t>
      </w:r>
      <w:r w:rsidR="00902591" w:rsidRPr="00902591">
        <w:rPr>
          <w:bCs/>
        </w:rPr>
        <w:t>Guidelines</w:t>
      </w:r>
      <w:r w:rsidRPr="009976A6">
        <w:t xml:space="preserve">. Complex regional pain syndrome should be assessed in accordance with Chapter 17 of </w:t>
      </w:r>
      <w:r w:rsidR="00902591">
        <w:t>the</w:t>
      </w:r>
      <w:r w:rsidR="00902591" w:rsidRPr="009976A6">
        <w:rPr>
          <w:bCs/>
          <w:i/>
        </w:rPr>
        <w:t xml:space="preserve"> </w:t>
      </w:r>
      <w:r w:rsidR="00902591" w:rsidRPr="00902591">
        <w:rPr>
          <w:bCs/>
        </w:rPr>
        <w:t>Guidelines</w:t>
      </w:r>
      <w:r w:rsidRPr="009976A6">
        <w:t>.</w:t>
      </w:r>
    </w:p>
    <w:p w:rsidR="009976A6" w:rsidRPr="009976A6" w:rsidRDefault="009976A6" w:rsidP="00F04C11">
      <w:pPr>
        <w:pStyle w:val="BodyText1"/>
      </w:pPr>
      <w:r w:rsidRPr="009976A6">
        <w:t>On the advice of medical specialists (ophthalmologists), assessments of visual injuries are conducted according to American Medical Association</w:t>
      </w:r>
      <w:r w:rsidRPr="009976A6">
        <w:rPr>
          <w:i/>
        </w:rPr>
        <w:t xml:space="preserve"> Guides to the Evaluation of Permanent Impairment</w:t>
      </w:r>
      <w:r w:rsidRPr="009976A6">
        <w:t>, 4</w:t>
      </w:r>
      <w:r w:rsidRPr="009976A6">
        <w:rPr>
          <w:vertAlign w:val="superscript"/>
        </w:rPr>
        <w:t>th</w:t>
      </w:r>
      <w:r w:rsidRPr="009976A6">
        <w:t xml:space="preserve"> Edition (AMA4). </w:t>
      </w:r>
    </w:p>
    <w:p w:rsidR="009976A6" w:rsidRPr="009976A6" w:rsidRDefault="009976A6" w:rsidP="00F04C11">
      <w:pPr>
        <w:pStyle w:val="BodyText1"/>
      </w:pPr>
      <w:r w:rsidRPr="009976A6">
        <w:t xml:space="preserve">Evaluation of permanent impairment due to hearing loss adopts the methodology indicated in </w:t>
      </w:r>
      <w:r w:rsidR="00902591">
        <w:t>the</w:t>
      </w:r>
      <w:r w:rsidR="00902591" w:rsidRPr="009976A6">
        <w:rPr>
          <w:bCs/>
          <w:i/>
        </w:rPr>
        <w:t xml:space="preserve"> </w:t>
      </w:r>
      <w:r w:rsidR="00902591" w:rsidRPr="00902591">
        <w:rPr>
          <w:bCs/>
        </w:rPr>
        <w:t>Guidelines</w:t>
      </w:r>
      <w:r w:rsidR="00902591" w:rsidRPr="009976A6">
        <w:t xml:space="preserve"> </w:t>
      </w:r>
      <w:r w:rsidRPr="009976A6">
        <w:t xml:space="preserve">(Chapter 9) with some reference to the AMA5  (Chapter 11, pp 245–251) but uses National Acoustic Laboratory (NAL) Tables from the NAL Report No 118, </w:t>
      </w:r>
      <w:r w:rsidRPr="009976A6">
        <w:rPr>
          <w:i/>
        </w:rPr>
        <w:t>Improved Procedure for Determining Percentage Loss of Hearing</w:t>
      </w:r>
      <w:r w:rsidRPr="009976A6">
        <w:t>, January 1988.</w:t>
      </w:r>
    </w:p>
    <w:p w:rsidR="009976A6" w:rsidRPr="009976A6" w:rsidRDefault="009976A6" w:rsidP="00F04C11">
      <w:pPr>
        <w:pStyle w:val="Heading3"/>
        <w:keepNext w:val="0"/>
        <w:rPr>
          <w:lang w:eastAsia="en-AU"/>
        </w:rPr>
      </w:pPr>
      <w:r w:rsidRPr="009976A6">
        <w:rPr>
          <w:lang w:eastAsia="en-AU"/>
        </w:rPr>
        <w:t>Maximum Medical Impr</w:t>
      </w:r>
      <w:r w:rsidRPr="00F04C11">
        <w:rPr>
          <w:rStyle w:val="Heading3Char"/>
        </w:rPr>
        <w:t>o</w:t>
      </w:r>
      <w:r w:rsidRPr="009976A6">
        <w:rPr>
          <w:lang w:eastAsia="en-AU"/>
        </w:rPr>
        <w:t>vement</w:t>
      </w:r>
    </w:p>
    <w:p w:rsidR="00E860AB" w:rsidRDefault="009976A6" w:rsidP="005A5204">
      <w:pPr>
        <w:pStyle w:val="BodyText1"/>
      </w:pPr>
      <w:r w:rsidRPr="009976A6">
        <w:t>Assessments are only to be conducted when the medical assessor considers that the degree of permanent impairment of the claimant is unlikely to improve further and has attained maximum medical improvement</w:t>
      </w:r>
      <w:r w:rsidR="009418BE">
        <w:t xml:space="preserve"> </w:t>
      </w:r>
      <w:r w:rsidR="009418BE" w:rsidRPr="006215EF">
        <w:t>(MMI)</w:t>
      </w:r>
      <w:r w:rsidRPr="006215EF">
        <w:t xml:space="preserve">. </w:t>
      </w:r>
      <w:r w:rsidR="005A5204" w:rsidRPr="006215EF">
        <w:t xml:space="preserve"> </w:t>
      </w:r>
      <w:r w:rsidRPr="009976A6">
        <w:t xml:space="preserve">This is considered to occur when the </w:t>
      </w:r>
      <w:r w:rsidRPr="009976A6">
        <w:lastRenderedPageBreak/>
        <w:t>worker’s condition is well stabilised and is unlikely to change substantially in the next year wi</w:t>
      </w:r>
      <w:r w:rsidR="00F1270D">
        <w:t>th or w</w:t>
      </w:r>
      <w:r w:rsidR="005D5DC5">
        <w:t>ithout medical treatment.</w:t>
      </w:r>
    </w:p>
    <w:p w:rsidR="005D5DC5" w:rsidRPr="006215EF" w:rsidRDefault="005D5DC5" w:rsidP="005A5204">
      <w:pPr>
        <w:pStyle w:val="BodyText1"/>
        <w:numPr>
          <w:ilvl w:val="0"/>
          <w:numId w:val="0"/>
        </w:numPr>
        <w:tabs>
          <w:tab w:val="clear" w:pos="851"/>
        </w:tabs>
        <w:spacing w:after="120"/>
        <w:ind w:left="709"/>
        <w:rPr>
          <w:b/>
          <w:i/>
        </w:rPr>
      </w:pPr>
      <w:r w:rsidRPr="006215EF">
        <w:rPr>
          <w:b/>
          <w:i/>
        </w:rPr>
        <w:t>Variation for the Northern Territory</w:t>
      </w:r>
    </w:p>
    <w:p w:rsidR="00F432D3" w:rsidRPr="006215EF" w:rsidRDefault="005A5204" w:rsidP="005A5204">
      <w:pPr>
        <w:pStyle w:val="BodyText1"/>
        <w:numPr>
          <w:ilvl w:val="0"/>
          <w:numId w:val="0"/>
        </w:numPr>
        <w:tabs>
          <w:tab w:val="clear" w:pos="851"/>
        </w:tabs>
        <w:ind w:left="709"/>
      </w:pPr>
      <w:r w:rsidRPr="006215EF">
        <w:t xml:space="preserve">Where an assessment for a progressive disease is conducted, </w:t>
      </w:r>
      <w:r w:rsidR="00F432D3" w:rsidRPr="006215EF">
        <w:t>the claimant will be considered to have reached maximum medical improvement based on the assessment of the person as they present on the day of the assessment, provided the disease is in the course of its natural progression and is unlikely to substantially improve in the next 12 months.</w:t>
      </w:r>
    </w:p>
    <w:p w:rsidR="009976A6" w:rsidRPr="009976A6" w:rsidRDefault="009976A6" w:rsidP="00F04C11">
      <w:pPr>
        <w:pStyle w:val="BodyText1"/>
      </w:pPr>
      <w:r w:rsidRPr="009976A6">
        <w:t>If the medical assessor considers that the claimant’s treatment has been inadequate and maximum medical improvement has not been achieved, the assessment should be deferred and comment made on the value of additional/different treatment and/or rehabilitation – subject to paragraph 1.</w:t>
      </w:r>
      <w:r w:rsidR="001B197C">
        <w:t>34</w:t>
      </w:r>
      <w:r w:rsidRPr="009976A6">
        <w:t>.</w:t>
      </w:r>
    </w:p>
    <w:p w:rsidR="009976A6" w:rsidRPr="009976A6" w:rsidRDefault="009976A6" w:rsidP="00F04C11">
      <w:pPr>
        <w:pStyle w:val="Heading3"/>
        <w:rPr>
          <w:color w:val="404040"/>
          <w:lang w:eastAsia="en-AU"/>
        </w:rPr>
      </w:pPr>
      <w:r w:rsidRPr="009976A6">
        <w:t>Multiple impairments</w:t>
      </w:r>
    </w:p>
    <w:p w:rsidR="009976A6" w:rsidRPr="009976A6" w:rsidRDefault="009976A6" w:rsidP="00F04C11">
      <w:pPr>
        <w:pStyle w:val="BodyText1"/>
      </w:pPr>
      <w:r w:rsidRPr="009976A6">
        <w:t xml:space="preserve">Impairments </w:t>
      </w:r>
      <w:r w:rsidRPr="009976A6">
        <w:rPr>
          <w:lang w:val="en-US"/>
        </w:rPr>
        <w:t xml:space="preserve">arising from the same injury are to be assessed together. Impairments that result from more than one injury arising out of the same incident are to be assessed together to calculate the degree of permanent impairment of the </w:t>
      </w:r>
      <w:r w:rsidRPr="009976A6">
        <w:t>claimant</w:t>
      </w:r>
      <w:r w:rsidRPr="009976A6">
        <w:rPr>
          <w:lang w:val="en-US"/>
        </w:rPr>
        <w:t>.</w:t>
      </w:r>
    </w:p>
    <w:p w:rsidR="009976A6" w:rsidRDefault="009976A6" w:rsidP="00F04C11">
      <w:pPr>
        <w:pStyle w:val="BodyText1"/>
      </w:pPr>
      <w:r w:rsidRPr="009976A6">
        <w:rPr>
          <w:lang w:val="en-US"/>
        </w:rPr>
        <w:t xml:space="preserve">The </w:t>
      </w:r>
      <w:r w:rsidRPr="009976A6">
        <w:t>Combined Values Chart (pp 604-606, AMA5) is used to derive a % WPI that arises from multiple impairments. An explanation of its use is found on pp 9-10 of the AMA5. When combining more than two impairments, the Assessor should commence with the highest impairment and combine with the next highest and so on.</w:t>
      </w:r>
    </w:p>
    <w:p w:rsidR="001242EC" w:rsidRPr="009976A6" w:rsidRDefault="008D2839" w:rsidP="00F04C11">
      <w:pPr>
        <w:pStyle w:val="BodyText1"/>
      </w:pPr>
      <w:r>
        <w:rPr>
          <w:lang w:val="en-US"/>
        </w:rPr>
        <w:t>DELETED (</w:t>
      </w:r>
      <w:r w:rsidR="00EE71DF">
        <w:rPr>
          <w:lang w:val="en-US"/>
        </w:rPr>
        <w:t>See Appendix 2)</w:t>
      </w:r>
    </w:p>
    <w:p w:rsidR="009976A6" w:rsidRPr="009976A6" w:rsidRDefault="009976A6" w:rsidP="00F04C11">
      <w:pPr>
        <w:pStyle w:val="BodyText1"/>
      </w:pPr>
      <w:r w:rsidRPr="009976A6">
        <w:rPr>
          <w:lang w:val="en-US"/>
        </w:rPr>
        <w:t xml:space="preserve">In the case of a complex injury, where different medical assessors are required to assess different body systems, a ‘lead assessor’ </w:t>
      </w:r>
      <w:r w:rsidR="008D2839">
        <w:rPr>
          <w:lang w:val="en-US"/>
        </w:rPr>
        <w:t>may</w:t>
      </w:r>
      <w:r w:rsidRPr="009976A6">
        <w:rPr>
          <w:lang w:val="en-US"/>
        </w:rPr>
        <w:t xml:space="preserve"> be nominated to coordinate and calculate the final degree of permanent impairment as a percentage of whole person impairment (% WPI) resulting from the individual assessments.</w:t>
      </w:r>
    </w:p>
    <w:p w:rsidR="009976A6" w:rsidRPr="00EC2E94" w:rsidRDefault="009976A6" w:rsidP="00E14F27">
      <w:pPr>
        <w:pStyle w:val="Heading3"/>
        <w:rPr>
          <w:lang w:eastAsia="en-AU"/>
        </w:rPr>
      </w:pPr>
      <w:r w:rsidRPr="009976A6">
        <w:rPr>
          <w:lang w:eastAsia="en-AU"/>
        </w:rPr>
        <w:t xml:space="preserve">Psychiatric/ psychological </w:t>
      </w:r>
      <w:r w:rsidR="00EC2E94">
        <w:rPr>
          <w:lang w:eastAsia="en-AU"/>
        </w:rPr>
        <w:t>injuries</w:t>
      </w:r>
    </w:p>
    <w:p w:rsidR="009976A6" w:rsidRPr="00527BD6" w:rsidRDefault="00FF3CBB" w:rsidP="00E14F27">
      <w:pPr>
        <w:pStyle w:val="BodyText1"/>
      </w:pPr>
      <w:r>
        <w:t>DELETED (</w:t>
      </w:r>
      <w:r w:rsidR="00EE71DF">
        <w:rPr>
          <w:lang w:val="en-US"/>
        </w:rPr>
        <w:t>See Appendix 2</w:t>
      </w:r>
      <w:r>
        <w:t>)</w:t>
      </w:r>
    </w:p>
    <w:p w:rsidR="009976A6" w:rsidRPr="009976A6" w:rsidRDefault="00FF3CBB" w:rsidP="00E14F27">
      <w:pPr>
        <w:pStyle w:val="BodyText1"/>
      </w:pPr>
      <w:r>
        <w:t>DELETED (</w:t>
      </w:r>
      <w:r w:rsidR="00EE71DF">
        <w:rPr>
          <w:lang w:val="en-US"/>
        </w:rPr>
        <w:t>See Appendix 2</w:t>
      </w:r>
      <w:r>
        <w:t>)</w:t>
      </w:r>
    </w:p>
    <w:p w:rsidR="009976A6" w:rsidRPr="001242EC" w:rsidRDefault="009976A6" w:rsidP="00E14F27">
      <w:pPr>
        <w:pStyle w:val="Heading3"/>
        <w:rPr>
          <w:lang w:eastAsia="en-AU"/>
        </w:rPr>
      </w:pPr>
      <w:r w:rsidRPr="001242EC">
        <w:rPr>
          <w:lang w:eastAsia="en-AU"/>
        </w:rPr>
        <w:t>Condition</w:t>
      </w:r>
      <w:r w:rsidR="00902591">
        <w:rPr>
          <w:lang w:eastAsia="en-AU"/>
        </w:rPr>
        <w:t>s which are not covered in the</w:t>
      </w:r>
      <w:r w:rsidRPr="001242EC">
        <w:rPr>
          <w:lang w:eastAsia="en-AU"/>
        </w:rPr>
        <w:t xml:space="preserve"> </w:t>
      </w:r>
      <w:r w:rsidRPr="00902591">
        <w:rPr>
          <w:bCs/>
          <w:lang w:eastAsia="en-AU"/>
        </w:rPr>
        <w:t>Guidelines</w:t>
      </w:r>
      <w:r w:rsidRPr="001242EC">
        <w:rPr>
          <w:lang w:eastAsia="en-AU"/>
        </w:rPr>
        <w:t xml:space="preserve"> – equivalent or analogous conditions</w:t>
      </w:r>
    </w:p>
    <w:p w:rsidR="009976A6" w:rsidRPr="009976A6" w:rsidRDefault="009976A6" w:rsidP="00E14F27">
      <w:pPr>
        <w:pStyle w:val="BodyText1"/>
      </w:pPr>
      <w:r w:rsidRPr="009976A6">
        <w:t xml:space="preserve">The AMA5 states: “Given the range, evolution and discovery of new medical conditions, </w:t>
      </w:r>
      <w:r w:rsidR="00902591">
        <w:t>the</w:t>
      </w:r>
      <w:r w:rsidR="00902591" w:rsidRPr="009976A6">
        <w:rPr>
          <w:bCs/>
          <w:i/>
        </w:rPr>
        <w:t xml:space="preserve"> </w:t>
      </w:r>
      <w:r w:rsidR="00902591" w:rsidRPr="00902591">
        <w:rPr>
          <w:bCs/>
        </w:rPr>
        <w:t>Guidelines</w:t>
      </w:r>
      <w:r w:rsidR="00902591" w:rsidRPr="009976A6">
        <w:t xml:space="preserve"> </w:t>
      </w:r>
      <w:r w:rsidRPr="009976A6">
        <w:t xml:space="preserve">cannot provide an impairment rating for all impairments ... In situations where impairment ratings are not provided, </w:t>
      </w:r>
      <w:r w:rsidR="00902591">
        <w:t>the</w:t>
      </w:r>
      <w:r w:rsidR="00902591" w:rsidRPr="009976A6">
        <w:rPr>
          <w:bCs/>
          <w:i/>
        </w:rPr>
        <w:t xml:space="preserve"> </w:t>
      </w:r>
      <w:r w:rsidR="00902591" w:rsidRPr="00902591">
        <w:rPr>
          <w:bCs/>
        </w:rPr>
        <w:t>Guidelines</w:t>
      </w:r>
      <w:r w:rsidR="00902591" w:rsidRPr="009976A6">
        <w:t xml:space="preserve"> </w:t>
      </w:r>
      <w:r w:rsidRPr="009976A6">
        <w:t>suggest that medical practitioners use clinical judgment, comparing measurable impairment resulting from the unlisted condition to measurable impairment resulting from similar conditions with similar impairment of function in performing activities of daily living. The assessor must stay within the body part/region when using analogy.</w:t>
      </w:r>
    </w:p>
    <w:p w:rsidR="009976A6" w:rsidRPr="009976A6" w:rsidRDefault="009976A6" w:rsidP="004E276D">
      <w:pPr>
        <w:pStyle w:val="BodyText1"/>
        <w:numPr>
          <w:ilvl w:val="0"/>
          <w:numId w:val="0"/>
        </w:numPr>
        <w:tabs>
          <w:tab w:val="clear" w:pos="851"/>
        </w:tabs>
        <w:ind w:left="709"/>
      </w:pPr>
      <w:r w:rsidRPr="009976A6">
        <w:t xml:space="preserve">The assessor’s judgment, based upon experience, training, skill, thoroughness in clinical evaluation, and ability to apply </w:t>
      </w:r>
      <w:r w:rsidR="00902591">
        <w:t>the</w:t>
      </w:r>
      <w:r w:rsidRPr="009976A6">
        <w:t xml:space="preserve"> </w:t>
      </w:r>
      <w:r w:rsidRPr="00902591">
        <w:rPr>
          <w:bCs/>
        </w:rPr>
        <w:t>Guidelines</w:t>
      </w:r>
      <w:r w:rsidRPr="009976A6">
        <w:t xml:space="preserve"> criteria as intended, will enable an appropriate and reproducible assessment to be made of clinical impairment.”</w:t>
      </w:r>
    </w:p>
    <w:p w:rsidR="009976A6" w:rsidRPr="009976A6" w:rsidRDefault="009976A6" w:rsidP="00E14F27">
      <w:pPr>
        <w:pStyle w:val="Heading3"/>
        <w:rPr>
          <w:lang w:eastAsia="en-AU"/>
        </w:rPr>
      </w:pPr>
      <w:r w:rsidRPr="009976A6">
        <w:rPr>
          <w:lang w:eastAsia="en-AU"/>
        </w:rPr>
        <w:lastRenderedPageBreak/>
        <w:t>Activities of Daily Living</w:t>
      </w:r>
    </w:p>
    <w:p w:rsidR="009976A6" w:rsidRPr="009976A6" w:rsidRDefault="009976A6" w:rsidP="00BB678A">
      <w:pPr>
        <w:pStyle w:val="BodyText1"/>
      </w:pPr>
      <w:r w:rsidRPr="009976A6">
        <w:t>Many tables in the AMA5 (e.g. spine section) give class values for particular impairments, with a range of possible impairment values within each class. Commonly, the tables require the assessor to consider the impact of the injury/illness on activities of daily living in determining the precise impairment value. The activities of daily living which should be considered, if relevant, are listed in Table 1-2, p4, of the AMA5. The impact of the injury on activities of daily living is not considered in assessments of the upper or lower extremities.</w:t>
      </w:r>
    </w:p>
    <w:p w:rsidR="009976A6" w:rsidRPr="009976A6" w:rsidRDefault="009976A6" w:rsidP="00BB678A">
      <w:pPr>
        <w:pStyle w:val="BodyText1"/>
      </w:pPr>
      <w:r w:rsidRPr="009976A6">
        <w:t>The assessment of the impact of the injury/condition on activities of daily living should be verified wherever possible by reference to objective assessments, for example, physiotherapist or occupational therapist functional assessments and other medical reports.</w:t>
      </w:r>
    </w:p>
    <w:p w:rsidR="009976A6" w:rsidRPr="009976A6" w:rsidRDefault="009976A6" w:rsidP="00E14F27">
      <w:pPr>
        <w:pStyle w:val="Heading3"/>
        <w:rPr>
          <w:lang w:eastAsia="en-AU"/>
        </w:rPr>
      </w:pPr>
      <w:r w:rsidRPr="009976A6">
        <w:rPr>
          <w:lang w:eastAsia="en-AU"/>
        </w:rPr>
        <w:t>Rounding</w:t>
      </w:r>
    </w:p>
    <w:p w:rsidR="009976A6" w:rsidRPr="009976A6" w:rsidRDefault="009976A6" w:rsidP="00E14F27">
      <w:pPr>
        <w:pStyle w:val="BodyText1"/>
      </w:pPr>
      <w:r w:rsidRPr="009976A6">
        <w:t xml:space="preserve">Occasionally the methods of </w:t>
      </w:r>
      <w:r w:rsidR="00902591">
        <w:t>the</w:t>
      </w:r>
      <w:r w:rsidR="00902591" w:rsidRPr="009976A6">
        <w:rPr>
          <w:bCs/>
          <w:i/>
        </w:rPr>
        <w:t xml:space="preserve"> </w:t>
      </w:r>
      <w:r w:rsidR="00902591" w:rsidRPr="00902591">
        <w:rPr>
          <w:bCs/>
        </w:rPr>
        <w:t>Guidelines</w:t>
      </w:r>
      <w:r w:rsidR="00902591" w:rsidRPr="009976A6">
        <w:t xml:space="preserve"> </w:t>
      </w:r>
      <w:r w:rsidRPr="009976A6">
        <w:t>will result in an impairment value which is not a whole number (e.g. an assessment of peripheral nerve impairment in the upper extremity). All such values must be rounded to the nearest whole number before moving from one degree of impairment to the next (e.g. from finger impairment to hand impairment, or from hand impairment to upper extremity impairment) or from a regional impairment to a whole person impairment. Figures should also be rounded before using the combination tables. This will ensure that the final whole person impairment will always be a whole number. The usual mathematical convention is followed where rounding occurs - values less than 0.5 are rounded down to the nearest whole number and values of 0.5 and above are rounded up to the next whole number. The method of calculating levels of binaural hearing loss is shown in Chapter 9, paragraph 9.15</w:t>
      </w:r>
      <w:r w:rsidR="00C563EE">
        <w:t xml:space="preserve"> in the Guidelines</w:t>
      </w:r>
      <w:r w:rsidRPr="009976A6">
        <w:t>.</w:t>
      </w:r>
    </w:p>
    <w:p w:rsidR="009976A6" w:rsidRPr="009976A6" w:rsidRDefault="009976A6" w:rsidP="00E14F27">
      <w:pPr>
        <w:pStyle w:val="Heading3"/>
        <w:rPr>
          <w:lang w:eastAsia="en-AU"/>
        </w:rPr>
      </w:pPr>
      <w:r w:rsidRPr="009976A6">
        <w:rPr>
          <w:lang w:eastAsia="en-AU"/>
        </w:rPr>
        <w:t xml:space="preserve">Deductions for pre-existing condition or injuries </w:t>
      </w:r>
    </w:p>
    <w:p w:rsidR="009976A6" w:rsidRPr="001242EC" w:rsidRDefault="009976A6" w:rsidP="00E14F27">
      <w:pPr>
        <w:pStyle w:val="BodyText1"/>
      </w:pPr>
      <w:r w:rsidRPr="001242EC">
        <w:t>The degree of permanent impairment resulting from pre-existing impairments should not be included in the final calculation of permanent impairment if those impairments are not related to the compensable injury.</w:t>
      </w:r>
      <w:r w:rsidR="001242EC">
        <w:t xml:space="preserve"> </w:t>
      </w:r>
      <w:r w:rsidRPr="001242EC">
        <w:t>The assessor needs to take account of all available evidence to calculate the degree of permanent impairment that pre-existed the injury.</w:t>
      </w:r>
    </w:p>
    <w:p w:rsidR="009976A6" w:rsidRPr="006F0E08" w:rsidRDefault="009976A6" w:rsidP="00E14F27">
      <w:pPr>
        <w:pStyle w:val="BodyText1"/>
      </w:pPr>
      <w:r w:rsidRPr="006F0E08">
        <w:t>In assessing the degree of permanent impairment resulting from the compensable injury/condition, the assessor is to indicate the degree of impairment due to any previous injury, pre-existing condition or abnormality. This proportion is known as “the deductible proportion” and should be deducted from the degree of permanent impairment determined by the assessor.</w:t>
      </w:r>
    </w:p>
    <w:p w:rsidR="009976A6" w:rsidRPr="009976A6" w:rsidRDefault="009976A6" w:rsidP="00E14F27">
      <w:pPr>
        <w:pStyle w:val="Heading3"/>
        <w:rPr>
          <w:lang w:eastAsia="en-AU"/>
        </w:rPr>
      </w:pPr>
      <w:r w:rsidRPr="009976A6">
        <w:rPr>
          <w:lang w:eastAsia="en-AU"/>
        </w:rPr>
        <w:t>Adjustment for the effects of orthoses and prostheses</w:t>
      </w:r>
    </w:p>
    <w:p w:rsidR="009976A6" w:rsidRPr="009976A6" w:rsidRDefault="009976A6" w:rsidP="00E14F27">
      <w:pPr>
        <w:pStyle w:val="BodyText1"/>
      </w:pPr>
      <w:r w:rsidRPr="009976A6">
        <w:t xml:space="preserve">Assessments of permanent impairment are to be conducted without assistive devices, except where these cannot be removed. The assessor will need to make an estimate as to what is the degree of impairment, without such a device, if it cannot be removed for examination purposes. Further details may be obtained in the relevant chapters of </w:t>
      </w:r>
      <w:r w:rsidR="00902591">
        <w:t>the</w:t>
      </w:r>
      <w:r w:rsidR="00902591" w:rsidRPr="009976A6">
        <w:rPr>
          <w:bCs/>
          <w:i/>
        </w:rPr>
        <w:t xml:space="preserve"> </w:t>
      </w:r>
      <w:r w:rsidR="00902591" w:rsidRPr="00902591">
        <w:rPr>
          <w:bCs/>
        </w:rPr>
        <w:t>Guidelines</w:t>
      </w:r>
      <w:r w:rsidRPr="009976A6">
        <w:t xml:space="preserve">. </w:t>
      </w:r>
    </w:p>
    <w:p w:rsidR="009976A6" w:rsidRPr="009976A6" w:rsidRDefault="009976A6" w:rsidP="00E14F27">
      <w:pPr>
        <w:pStyle w:val="BodyText1"/>
      </w:pPr>
      <w:r w:rsidRPr="009976A6">
        <w:t>Impairment of vision should be measured with the claimant wearing their prescribed corrective spectacles and/or contact lenses, if this was usual for them before the injury. If, as a result of the injury, the claimant has been prescribed corrective spectacles and/or contact lenses for the first time, or different spectacles and/or contact lenses than those prescribed pre-injury, the difference should be accounted for in the assessment of permanent impairment.</w:t>
      </w:r>
    </w:p>
    <w:p w:rsidR="009976A6" w:rsidRPr="009976A6" w:rsidRDefault="009976A6" w:rsidP="008C19E6">
      <w:pPr>
        <w:pStyle w:val="Heading3"/>
        <w:rPr>
          <w:lang w:eastAsia="en-AU"/>
        </w:rPr>
      </w:pPr>
      <w:r w:rsidRPr="009976A6">
        <w:rPr>
          <w:lang w:eastAsia="en-AU"/>
        </w:rPr>
        <w:lastRenderedPageBreak/>
        <w:t>Adjustment for the effects of treatment</w:t>
      </w:r>
    </w:p>
    <w:p w:rsidR="009976A6" w:rsidRPr="009976A6" w:rsidRDefault="009976A6" w:rsidP="008C19E6">
      <w:pPr>
        <w:pStyle w:val="BodyText1"/>
      </w:pPr>
      <w:r w:rsidRPr="009976A6">
        <w:t xml:space="preserve">In circumstances where the treatment of a condition leads to a further, secondary impairment, the assessor should use the appropriate parts of </w:t>
      </w:r>
      <w:r w:rsidR="00902591">
        <w:t>the</w:t>
      </w:r>
      <w:r w:rsidR="00902591" w:rsidRPr="009976A6">
        <w:rPr>
          <w:bCs/>
          <w:i/>
        </w:rPr>
        <w:t xml:space="preserve"> </w:t>
      </w:r>
      <w:r w:rsidR="00902591" w:rsidRPr="00902591">
        <w:rPr>
          <w:bCs/>
        </w:rPr>
        <w:t>Guidelines</w:t>
      </w:r>
      <w:r w:rsidR="00902591" w:rsidRPr="009976A6">
        <w:t xml:space="preserve"> </w:t>
      </w:r>
      <w:r w:rsidRPr="009976A6">
        <w:t xml:space="preserve">to evaluate the effects of treatment, and use the Combined Values Chart (pp 604-606 AMA5) to arrive at a final percentage Whole Person Impairment. </w:t>
      </w:r>
    </w:p>
    <w:p w:rsidR="009976A6" w:rsidRPr="009976A6" w:rsidRDefault="009976A6" w:rsidP="008C19E6">
      <w:pPr>
        <w:pStyle w:val="BodyText1"/>
      </w:pPr>
      <w:r w:rsidRPr="009976A6">
        <w:t xml:space="preserve">Where </w:t>
      </w:r>
      <w:r w:rsidRPr="009976A6">
        <w:rPr>
          <w:lang w:val="en-GB"/>
        </w:rPr>
        <w:t xml:space="preserve">the effective long term treatment of an illness or injury results in apparent substantial or total elimination of the </w:t>
      </w:r>
      <w:r w:rsidRPr="009976A6">
        <w:t>claimant’s</w:t>
      </w:r>
      <w:r w:rsidRPr="009976A6">
        <w:rPr>
          <w:lang w:val="en-GB"/>
        </w:rPr>
        <w:t xml:space="preserve"> permanent impairment, but the </w:t>
      </w:r>
      <w:r w:rsidRPr="009976A6">
        <w:t>claimant</w:t>
      </w:r>
      <w:r w:rsidRPr="009976A6">
        <w:rPr>
          <w:lang w:val="en-GB"/>
        </w:rPr>
        <w:t xml:space="preserve"> is likely to revert to the original degree of impairment if treatment is withdrawn, the assessor may increase the percentage of whole person impairment by 1, 2 or 3% WPI. This percentage should be combined with any other impairment percentage, using the Combined Values Chart. This paragraph does not apply to the use of analgesics or anti-inflammatory medication for pain relief.</w:t>
      </w:r>
    </w:p>
    <w:p w:rsidR="009976A6" w:rsidRPr="009976A6" w:rsidRDefault="009976A6" w:rsidP="008C19E6">
      <w:pPr>
        <w:pStyle w:val="BodyText1"/>
      </w:pPr>
      <w:r w:rsidRPr="009976A6">
        <w:rPr>
          <w:lang w:val="en-GB"/>
        </w:rPr>
        <w:t xml:space="preserve">Where a </w:t>
      </w:r>
      <w:r w:rsidRPr="009976A6">
        <w:t>claimant</w:t>
      </w:r>
      <w:r w:rsidRPr="009976A6">
        <w:rPr>
          <w:lang w:val="en-GB"/>
        </w:rPr>
        <w:t xml:space="preserve"> has declined treatment which the assessor believes would be beneficial, the impairment rating should be neither increased nor decreased – see paragraph 1.3</w:t>
      </w:r>
      <w:r w:rsidR="00C5737A">
        <w:rPr>
          <w:lang w:val="en-GB"/>
        </w:rPr>
        <w:t>5</w:t>
      </w:r>
      <w:r w:rsidRPr="009976A6">
        <w:rPr>
          <w:lang w:val="en-GB"/>
        </w:rPr>
        <w:t xml:space="preserve"> for further details. </w:t>
      </w:r>
    </w:p>
    <w:p w:rsidR="009976A6" w:rsidRPr="009976A6" w:rsidRDefault="009976A6" w:rsidP="008C19E6">
      <w:pPr>
        <w:pStyle w:val="Heading3"/>
        <w:rPr>
          <w:lang w:eastAsia="en-AU"/>
        </w:rPr>
      </w:pPr>
      <w:r w:rsidRPr="009976A6">
        <w:rPr>
          <w:lang w:eastAsia="en-AU"/>
        </w:rPr>
        <w:t xml:space="preserve">Refusal of treatment </w:t>
      </w:r>
    </w:p>
    <w:p w:rsidR="009976A6" w:rsidRPr="009976A6" w:rsidRDefault="009976A6" w:rsidP="008C19E6">
      <w:pPr>
        <w:pStyle w:val="BodyText1"/>
      </w:pPr>
      <w:r w:rsidRPr="009976A6">
        <w:t xml:space="preserve">If </w:t>
      </w:r>
      <w:r w:rsidRPr="009976A6">
        <w:rPr>
          <w:lang w:val="en-US"/>
        </w:rPr>
        <w:t>the claimant has been offered, but</w:t>
      </w:r>
      <w:r w:rsidR="00C563EE">
        <w:rPr>
          <w:lang w:val="en-US"/>
        </w:rPr>
        <w:t xml:space="preserve"> has</w:t>
      </w:r>
      <w:r w:rsidRPr="009976A6">
        <w:rPr>
          <w:lang w:val="en-US"/>
        </w:rPr>
        <w:t xml:space="preserve"> refused, additional or alternative medical treatment that the assessor considers is likely to improve the claimant's condition, the medical assessor should evaluate the current condition, without consideration of potential changes associated with the proposed treatment. The assessor may note the potential for improvement in the claimant's condition in the evaluation report, and the reasons for refusal by the claimant, but should not adjust the level of impairment on the basis of the claimant's decision.</w:t>
      </w:r>
    </w:p>
    <w:p w:rsidR="009976A6" w:rsidRPr="009976A6" w:rsidRDefault="009976A6" w:rsidP="008C19E6">
      <w:pPr>
        <w:pStyle w:val="Heading3"/>
        <w:rPr>
          <w:lang w:eastAsia="en-AU"/>
        </w:rPr>
      </w:pPr>
      <w:r w:rsidRPr="009976A6">
        <w:rPr>
          <w:lang w:eastAsia="en-AU"/>
        </w:rPr>
        <w:t>Future deterioration of a condition</w:t>
      </w:r>
    </w:p>
    <w:p w:rsidR="009976A6" w:rsidRPr="009976A6" w:rsidRDefault="009976A6" w:rsidP="008C19E6">
      <w:pPr>
        <w:pStyle w:val="BodyText1"/>
      </w:pPr>
      <w:r w:rsidRPr="009976A6">
        <w:t xml:space="preserve">Similarly, </w:t>
      </w:r>
      <w:r w:rsidRPr="009976A6">
        <w:rPr>
          <w:lang w:val="en-US"/>
        </w:rPr>
        <w:t>if a medical assessor forms the opinion that the claimant's condition is stable for the next year, but that it may deteriorate in the long term, the assessor should make no allowance for this deterioration.</w:t>
      </w:r>
    </w:p>
    <w:p w:rsidR="009976A6" w:rsidRPr="009976A6" w:rsidRDefault="009976A6" w:rsidP="008C19E6">
      <w:pPr>
        <w:pStyle w:val="Heading3"/>
        <w:rPr>
          <w:lang w:eastAsia="en-AU"/>
        </w:rPr>
      </w:pPr>
      <w:r w:rsidRPr="009976A6">
        <w:rPr>
          <w:lang w:eastAsia="en-AU"/>
        </w:rPr>
        <w:t>Inconsistent presentation</w:t>
      </w:r>
    </w:p>
    <w:p w:rsidR="009976A6" w:rsidRPr="009976A6" w:rsidRDefault="009976A6" w:rsidP="008C19E6">
      <w:pPr>
        <w:pStyle w:val="BodyText1"/>
      </w:pPr>
      <w:r w:rsidRPr="009976A6">
        <w:t xml:space="preserve">The AMA5 </w:t>
      </w:r>
      <w:r w:rsidRPr="009976A6">
        <w:rPr>
          <w:lang w:val="en-US"/>
        </w:rPr>
        <w:t xml:space="preserve">states: “Consistency tests are designed to ensure reproducibility and greater accuracy. These measurements, such as one that checks the individual’s range of motion are good but imperfect indicators of people’s efforts. The assessor must use their entire range of clinical skill and judgment when assessing whether or not the measurements or test results are plausible and consistent with the impairment being evaluated. If, in spite of an observation or test result, the medical evidence appears insufficient to verify that an impairment of a certain magnitude exists, the assessor may modify the impairment rating accordingly and then describe and explain the reason for the modification in writing.” (p 19). This paragraph applies to inconsistent presentation only. </w:t>
      </w:r>
    </w:p>
    <w:p w:rsidR="009976A6" w:rsidRPr="009976A6" w:rsidRDefault="009976A6" w:rsidP="008C19E6">
      <w:pPr>
        <w:pStyle w:val="Heading3"/>
        <w:rPr>
          <w:lang w:eastAsia="en-AU"/>
        </w:rPr>
      </w:pPr>
      <w:r w:rsidRPr="009976A6">
        <w:rPr>
          <w:lang w:eastAsia="en-AU"/>
        </w:rPr>
        <w:t>Ordering of additional investigations</w:t>
      </w:r>
    </w:p>
    <w:p w:rsidR="009976A6" w:rsidRPr="009976A6" w:rsidRDefault="009976A6" w:rsidP="008C19E6">
      <w:pPr>
        <w:pStyle w:val="BodyText1"/>
      </w:pPr>
      <w:r w:rsidRPr="009976A6">
        <w:t>As a general principle, the assessor should not order additional radiographic or other investigations purely for the purpose of conducting an assessment of permanent impairment.</w:t>
      </w:r>
    </w:p>
    <w:p w:rsidR="009976A6" w:rsidRPr="009976A6" w:rsidRDefault="009976A6" w:rsidP="008C19E6">
      <w:pPr>
        <w:pStyle w:val="BodyText1"/>
      </w:pPr>
      <w:r w:rsidRPr="009976A6">
        <w:t xml:space="preserve">However, if the investigations previously undertaken are not as required by the </w:t>
      </w:r>
      <w:r w:rsidRPr="00902591">
        <w:rPr>
          <w:bCs/>
        </w:rPr>
        <w:t>Guidelines</w:t>
      </w:r>
      <w:r w:rsidRPr="009976A6">
        <w:rPr>
          <w:i/>
        </w:rPr>
        <w:t xml:space="preserve"> </w:t>
      </w:r>
      <w:r w:rsidRPr="009976A6">
        <w:t>or are inadequate for a proper assessment to be made, the medical assessor should consider the value of proceeding with the evaluation of permanent impairment without adequate investigations.</w:t>
      </w:r>
    </w:p>
    <w:p w:rsidR="009976A6" w:rsidRPr="009976A6" w:rsidRDefault="009976A6" w:rsidP="008C19E6">
      <w:pPr>
        <w:pStyle w:val="BodyText1"/>
      </w:pPr>
      <w:r w:rsidRPr="009976A6">
        <w:lastRenderedPageBreak/>
        <w:t>In circumstances where the assessor considers that further investigation is essential for a comprehensive evaluation to be undertaken and deferral of the evaluation would considerably inconvenience the claimant (e.g. when the claimant has travelled from a country region specifically for the assessment), the assessor may proceed to order the appropriate investigations provided that there is no undue risk to the claimant. The approval of the referring body for the additional investigation will be required to ensure that the costs of the test are met promptly.</w:t>
      </w:r>
    </w:p>
    <w:p w:rsidR="009976A6" w:rsidRPr="009976A6" w:rsidRDefault="009976A6" w:rsidP="008C19E6">
      <w:pPr>
        <w:pStyle w:val="Heading2"/>
        <w:rPr>
          <w:lang w:eastAsia="en-AU"/>
        </w:rPr>
      </w:pPr>
      <w:r w:rsidRPr="009976A6">
        <w:rPr>
          <w:lang w:eastAsia="en-AU"/>
        </w:rPr>
        <w:t xml:space="preserve">PART 3 – </w:t>
      </w:r>
      <w:r w:rsidRPr="008C19E6">
        <w:t>ADMINISTRATIVE</w:t>
      </w:r>
      <w:r w:rsidRPr="009976A6">
        <w:rPr>
          <w:lang w:eastAsia="en-AU"/>
        </w:rPr>
        <w:t xml:space="preserve"> PROCESS</w:t>
      </w:r>
    </w:p>
    <w:p w:rsidR="009976A6" w:rsidRPr="009976A6" w:rsidRDefault="009976A6" w:rsidP="008C19E6">
      <w:pPr>
        <w:pStyle w:val="Heading3"/>
        <w:spacing w:before="120"/>
        <w:rPr>
          <w:lang w:eastAsia="en-AU"/>
        </w:rPr>
      </w:pPr>
      <w:r w:rsidRPr="009976A6">
        <w:rPr>
          <w:lang w:eastAsia="en-AU"/>
        </w:rPr>
        <w:t xml:space="preserve">Medical Assessors </w:t>
      </w:r>
    </w:p>
    <w:p w:rsidR="00966570" w:rsidRPr="00966570" w:rsidRDefault="009976A6" w:rsidP="008C19E6">
      <w:pPr>
        <w:pStyle w:val="BodyText1"/>
      </w:pPr>
      <w:r w:rsidRPr="009976A6">
        <w:t>An assessor will be a medical practitioner with qualifications, training and experience relevant to the body system being assessed</w:t>
      </w:r>
      <w:r w:rsidR="00B11E11">
        <w:t>.</w:t>
      </w:r>
    </w:p>
    <w:p w:rsidR="00966570" w:rsidRPr="008C19E6" w:rsidRDefault="00966570" w:rsidP="008C19E6">
      <w:pPr>
        <w:pStyle w:val="BodyText1"/>
        <w:numPr>
          <w:ilvl w:val="0"/>
          <w:numId w:val="0"/>
        </w:numPr>
        <w:spacing w:after="120"/>
        <w:ind w:left="851"/>
        <w:rPr>
          <w:b/>
          <w:i/>
        </w:rPr>
      </w:pPr>
      <w:r w:rsidRPr="008C19E6">
        <w:rPr>
          <w:b/>
          <w:i/>
        </w:rPr>
        <w:t>Variation for the Northern Territory</w:t>
      </w:r>
    </w:p>
    <w:p w:rsidR="009976A6" w:rsidRPr="00966570" w:rsidRDefault="00B11E11" w:rsidP="008C19E6">
      <w:pPr>
        <w:pStyle w:val="BodyText1"/>
        <w:numPr>
          <w:ilvl w:val="0"/>
          <w:numId w:val="0"/>
        </w:numPr>
        <w:ind w:left="851"/>
      </w:pPr>
      <w:r w:rsidRPr="00966570">
        <w:t xml:space="preserve">For a reassessment conducted in accordance with section 72 of the </w:t>
      </w:r>
      <w:r w:rsidRPr="00966570">
        <w:rPr>
          <w:i/>
        </w:rPr>
        <w:t>Return to Work Act</w:t>
      </w:r>
      <w:r w:rsidRPr="00966570">
        <w:t xml:space="preserve"> only one of the panel of three assessors </w:t>
      </w:r>
      <w:r w:rsidR="00966570" w:rsidRPr="00966570">
        <w:t>must meet the qualifications, training and experience relevant to the body system being assessed.</w:t>
      </w:r>
    </w:p>
    <w:p w:rsidR="009976A6" w:rsidRPr="00C63454" w:rsidRDefault="009976A6" w:rsidP="008C19E6">
      <w:pPr>
        <w:pStyle w:val="BodyText1"/>
        <w:rPr>
          <w:sz w:val="20"/>
        </w:rPr>
      </w:pPr>
      <w:r w:rsidRPr="00C63454">
        <w:t>Assessors may be one of the claimant’s treating practitioners or an assessor engaged to conduct an assessment for the purposes of determining the degree of permanent impairment.</w:t>
      </w:r>
    </w:p>
    <w:p w:rsidR="009976A6" w:rsidRPr="009976A6" w:rsidRDefault="009976A6" w:rsidP="008C19E6">
      <w:pPr>
        <w:pStyle w:val="Heading3"/>
        <w:rPr>
          <w:lang w:eastAsia="en-AU"/>
        </w:rPr>
      </w:pPr>
      <w:r w:rsidRPr="009976A6">
        <w:rPr>
          <w:lang w:eastAsia="en-AU"/>
        </w:rPr>
        <w:t xml:space="preserve">Information required </w:t>
      </w:r>
      <w:r w:rsidRPr="008C19E6">
        <w:rPr>
          <w:rStyle w:val="Heading3Char"/>
        </w:rPr>
        <w:t>f</w:t>
      </w:r>
      <w:r w:rsidRPr="009976A6">
        <w:rPr>
          <w:lang w:eastAsia="en-AU"/>
        </w:rPr>
        <w:t>or assessments</w:t>
      </w:r>
    </w:p>
    <w:p w:rsidR="009976A6" w:rsidRPr="009976A6" w:rsidRDefault="00C563EE" w:rsidP="008C19E6">
      <w:pPr>
        <w:pStyle w:val="BodyText1"/>
      </w:pPr>
      <w:r>
        <w:t>I</w:t>
      </w:r>
      <w:r w:rsidRPr="009976A6">
        <w:t xml:space="preserve">nformation </w:t>
      </w:r>
      <w:r w:rsidR="009976A6" w:rsidRPr="009976A6">
        <w:t xml:space="preserve">for claimants regarding independent medical examinations and assessments of permanent impairment, should be supplied </w:t>
      </w:r>
      <w:r w:rsidR="006F79E6">
        <w:t xml:space="preserve">by the referring body </w:t>
      </w:r>
      <w:r w:rsidR="009976A6" w:rsidRPr="009976A6">
        <w:t>when advising the appointment details.</w:t>
      </w:r>
    </w:p>
    <w:p w:rsidR="009976A6" w:rsidRPr="009976A6" w:rsidRDefault="009976A6" w:rsidP="008C19E6">
      <w:pPr>
        <w:pStyle w:val="BodyText1"/>
      </w:pPr>
      <w:r w:rsidRPr="009976A6">
        <w:t>On referral, the medical assessor should be provided with all relevant medical and allied health information, including results of all clinical investigations related to the injury/condition in question.</w:t>
      </w:r>
    </w:p>
    <w:p w:rsidR="009976A6" w:rsidRPr="009976A6" w:rsidRDefault="009976A6" w:rsidP="008C19E6">
      <w:pPr>
        <w:pStyle w:val="BodyText1"/>
      </w:pPr>
      <w:r w:rsidRPr="009976A6">
        <w:t>Most importantly, assessors must have available to them all information about the onset, subsequent treatment, relevant diagnostic tests, and functi</w:t>
      </w:r>
      <w:permStart w:id="999701765" w:ed="swa.gov.au\belinda.wade"/>
      <w:permEnd w:id="999701765"/>
      <w:r w:rsidRPr="009976A6">
        <w:t>onal assessments of the person claiming a permanent impairment. The absence of required information could result in an assessment being discontinued or deferred. Section 1.5 of Chapter 1 of the AMA5 (p10) applies to the conduct of assessments and expands on this concept.</w:t>
      </w:r>
    </w:p>
    <w:p w:rsidR="009976A6" w:rsidRPr="009976A6" w:rsidRDefault="00902591" w:rsidP="008C19E6">
      <w:pPr>
        <w:pStyle w:val="BodyText1"/>
      </w:pPr>
      <w:r>
        <w:t>The</w:t>
      </w:r>
      <w:r w:rsidRPr="009976A6">
        <w:rPr>
          <w:bCs/>
          <w:i/>
        </w:rPr>
        <w:t xml:space="preserve"> </w:t>
      </w:r>
      <w:r w:rsidRPr="00902591">
        <w:rPr>
          <w:bCs/>
        </w:rPr>
        <w:t>Guidelines</w:t>
      </w:r>
      <w:r w:rsidRPr="009976A6">
        <w:t xml:space="preserve"> </w:t>
      </w:r>
      <w:r w:rsidR="009976A6" w:rsidRPr="009976A6">
        <w:t xml:space="preserve">and the AMA5 indicate the information and investigations that are required to arrive at a diagnosis and to measure permanent impairment. Assessors must apply the approach outlined in </w:t>
      </w:r>
      <w:r>
        <w:t>the</w:t>
      </w:r>
      <w:r w:rsidRPr="009976A6">
        <w:rPr>
          <w:bCs/>
          <w:i/>
        </w:rPr>
        <w:t xml:space="preserve"> </w:t>
      </w:r>
      <w:r w:rsidRPr="00902591">
        <w:rPr>
          <w:bCs/>
        </w:rPr>
        <w:t>Guidelines</w:t>
      </w:r>
      <w:r w:rsidR="009976A6" w:rsidRPr="009976A6">
        <w:t>. Referrers must consult this publication to gain an understanding of the information that should be provided to the assessor in order to conduct a comprehensive evaluation.</w:t>
      </w:r>
    </w:p>
    <w:p w:rsidR="009976A6" w:rsidRPr="009976A6" w:rsidRDefault="009976A6" w:rsidP="008C19E6">
      <w:pPr>
        <w:pStyle w:val="Heading3"/>
        <w:keepNext w:val="0"/>
        <w:rPr>
          <w:lang w:eastAsia="en-AU"/>
        </w:rPr>
      </w:pPr>
      <w:r w:rsidRPr="009976A6">
        <w:rPr>
          <w:lang w:eastAsia="en-AU"/>
        </w:rPr>
        <w:t>Reports</w:t>
      </w:r>
    </w:p>
    <w:p w:rsidR="009976A6" w:rsidRPr="009976A6" w:rsidRDefault="009976A6" w:rsidP="008C19E6">
      <w:pPr>
        <w:pStyle w:val="BodyText1"/>
      </w:pPr>
      <w:r w:rsidRPr="009976A6">
        <w:rPr>
          <w:lang w:val="en-US"/>
        </w:rPr>
        <w:t xml:space="preserve">A report of the evaluation of permanent impairment should be accurate, comprehensive and fair. It should clearly address the question/s being asked of the assessor. In general, the assessor will be requested to address issues of: </w:t>
      </w:r>
    </w:p>
    <w:p w:rsidR="009976A6" w:rsidRPr="009976A6" w:rsidRDefault="009976A6" w:rsidP="008C19E6">
      <w:pPr>
        <w:pStyle w:val="Bulletpoint"/>
        <w:tabs>
          <w:tab w:val="left" w:pos="1276"/>
        </w:tabs>
        <w:ind w:left="1276"/>
      </w:pPr>
      <w:r w:rsidRPr="009976A6">
        <w:lastRenderedPageBreak/>
        <w:t xml:space="preserve">current clinical status, including the </w:t>
      </w:r>
      <w:r w:rsidRPr="009976A6">
        <w:rPr>
          <w:lang w:val="en-GB"/>
        </w:rPr>
        <w:t>basis for determining maximum medical improvement;</w:t>
      </w:r>
    </w:p>
    <w:p w:rsidR="009976A6" w:rsidRPr="009976A6" w:rsidRDefault="009976A6" w:rsidP="008C19E6">
      <w:pPr>
        <w:pStyle w:val="Bulletpoint"/>
        <w:tabs>
          <w:tab w:val="left" w:pos="1276"/>
        </w:tabs>
        <w:ind w:left="1276"/>
      </w:pPr>
      <w:r w:rsidRPr="009976A6">
        <w:t xml:space="preserve">the </w:t>
      </w:r>
      <w:r w:rsidRPr="009976A6">
        <w:rPr>
          <w:lang w:val="en-GB"/>
        </w:rPr>
        <w:t>degree of permanent impairment that results from the injury/condition; and</w:t>
      </w:r>
    </w:p>
    <w:p w:rsidR="009976A6" w:rsidRPr="009976A6" w:rsidRDefault="009976A6" w:rsidP="008C19E6">
      <w:pPr>
        <w:pStyle w:val="Bulletpoint"/>
        <w:keepNext w:val="0"/>
        <w:tabs>
          <w:tab w:val="left" w:pos="1276"/>
        </w:tabs>
        <w:ind w:left="1276"/>
      </w:pPr>
      <w:r w:rsidRPr="009976A6">
        <w:rPr>
          <w:lang w:val="en-GB"/>
        </w:rPr>
        <w:t>the proportion of permanent impairment due to any previous injury, pre-existing condition or abnormality, if applicable.</w:t>
      </w:r>
    </w:p>
    <w:p w:rsidR="009976A6" w:rsidRPr="009976A6" w:rsidRDefault="009976A6" w:rsidP="008C19E6">
      <w:pPr>
        <w:pStyle w:val="BodyText1"/>
      </w:pPr>
      <w:r w:rsidRPr="009976A6">
        <w:t xml:space="preserve">The </w:t>
      </w:r>
      <w:r w:rsidRPr="009976A6">
        <w:rPr>
          <w:lang w:val="en-GB"/>
        </w:rPr>
        <w:t>report should contain factual information based on all available medical information and results of investigations, the assessor’s own history taking and clinical examination. The other reports or investigations that are relied upon in arriving at an opinion should be appropriately referenced in the assessor’s report.</w:t>
      </w:r>
    </w:p>
    <w:p w:rsidR="009976A6" w:rsidRPr="009976A6" w:rsidRDefault="009976A6" w:rsidP="00BF4E25">
      <w:pPr>
        <w:pStyle w:val="BodyText1"/>
        <w:ind w:left="851" w:hanging="851"/>
      </w:pPr>
      <w:r w:rsidRPr="009976A6">
        <w:t xml:space="preserve">As </w:t>
      </w:r>
      <w:r w:rsidR="00902591">
        <w:t>the</w:t>
      </w:r>
      <w:r w:rsidR="00902591" w:rsidRPr="009976A6">
        <w:rPr>
          <w:bCs/>
          <w:i/>
        </w:rPr>
        <w:t xml:space="preserve"> </w:t>
      </w:r>
      <w:r w:rsidR="00902591" w:rsidRPr="00902591">
        <w:rPr>
          <w:bCs/>
        </w:rPr>
        <w:t>Guidelines</w:t>
      </w:r>
      <w:r w:rsidR="00902591" w:rsidRPr="009976A6">
        <w:t xml:space="preserve"> </w:t>
      </w:r>
      <w:r w:rsidR="003F5A6E">
        <w:t xml:space="preserve">are </w:t>
      </w:r>
      <w:r w:rsidRPr="009976A6">
        <w:t xml:space="preserve">to be used to assess permanent impairment, the report of the evaluation should provide a rationale consistent with the methodology and content of </w:t>
      </w:r>
      <w:r w:rsidR="00902591">
        <w:t>the</w:t>
      </w:r>
      <w:r w:rsidR="00902591" w:rsidRPr="009976A6">
        <w:rPr>
          <w:bCs/>
          <w:i/>
        </w:rPr>
        <w:t xml:space="preserve"> </w:t>
      </w:r>
      <w:r w:rsidR="00902591" w:rsidRPr="00902591">
        <w:rPr>
          <w:bCs/>
        </w:rPr>
        <w:t>Guidelines</w:t>
      </w:r>
      <w:r w:rsidRPr="009976A6">
        <w:t xml:space="preserve">. It should include a comparison of the key findings of the evaluation with the impairment criteria in </w:t>
      </w:r>
      <w:r w:rsidR="00902591">
        <w:t>the</w:t>
      </w:r>
      <w:r w:rsidR="00902591" w:rsidRPr="009976A6">
        <w:rPr>
          <w:bCs/>
          <w:i/>
        </w:rPr>
        <w:t xml:space="preserve"> </w:t>
      </w:r>
      <w:r w:rsidR="00902591" w:rsidRPr="00902591">
        <w:rPr>
          <w:bCs/>
        </w:rPr>
        <w:t>Guidelines</w:t>
      </w:r>
      <w:r w:rsidRPr="009976A6">
        <w:t>. If the evaluation was conducted in the absence of any pertinent data or information, the assessor should indicate how the impairment rating was determined with limited data.</w:t>
      </w:r>
    </w:p>
    <w:p w:rsidR="009976A6" w:rsidRPr="009976A6" w:rsidRDefault="009976A6" w:rsidP="008C19E6">
      <w:pPr>
        <w:pStyle w:val="BodyText1"/>
      </w:pPr>
      <w:r w:rsidRPr="009976A6">
        <w:t>The assessed degree of impairment is to be expressed as a % WPI.</w:t>
      </w:r>
    </w:p>
    <w:p w:rsidR="009976A6" w:rsidRDefault="009976A6" w:rsidP="008C19E6">
      <w:pPr>
        <w:pStyle w:val="BodyText1"/>
      </w:pPr>
      <w:r w:rsidRPr="009976A6">
        <w:t xml:space="preserve">The report should include a conclusion of the assessor, including the final % WPI. </w:t>
      </w:r>
    </w:p>
    <w:p w:rsidR="009976A6" w:rsidRPr="006F0E08" w:rsidRDefault="009976A6" w:rsidP="008C19E6">
      <w:pPr>
        <w:pStyle w:val="BodyText1"/>
      </w:pPr>
      <w:r w:rsidRPr="009976A6">
        <w:t>Reports are to be provided within ten working days of the assessment being completed, or as agreed between the referrer and the assessor.</w:t>
      </w:r>
    </w:p>
    <w:p w:rsidR="009976A6" w:rsidRPr="009976A6" w:rsidRDefault="009976A6" w:rsidP="008C19E6">
      <w:pPr>
        <w:pStyle w:val="Heading3"/>
        <w:rPr>
          <w:lang w:eastAsia="en-AU"/>
        </w:rPr>
      </w:pPr>
      <w:r w:rsidRPr="009976A6">
        <w:rPr>
          <w:lang w:eastAsia="en-AU"/>
        </w:rPr>
        <w:t>Quality assurance</w:t>
      </w:r>
    </w:p>
    <w:p w:rsidR="006110C3" w:rsidRPr="009976A6" w:rsidRDefault="006110C3" w:rsidP="008C19E6">
      <w:pPr>
        <w:pStyle w:val="BodyText1"/>
      </w:pPr>
      <w:r w:rsidRPr="009976A6">
        <w:t xml:space="preserve">The degree of permanent impairment that results from the injury must be determined using the tables, graphs and methodology given in </w:t>
      </w:r>
      <w:r>
        <w:t>the</w:t>
      </w:r>
      <w:r w:rsidRPr="009976A6">
        <w:rPr>
          <w:bCs/>
          <w:i/>
        </w:rPr>
        <w:t xml:space="preserve"> </w:t>
      </w:r>
      <w:r w:rsidRPr="00902591">
        <w:rPr>
          <w:bCs/>
        </w:rPr>
        <w:t>Guidelines</w:t>
      </w:r>
      <w:r w:rsidRPr="009976A6">
        <w:t xml:space="preserve">, as presented in the training in the use of </w:t>
      </w:r>
      <w:r>
        <w:t>the</w:t>
      </w:r>
      <w:r w:rsidRPr="009976A6">
        <w:rPr>
          <w:bCs/>
          <w:i/>
        </w:rPr>
        <w:t xml:space="preserve"> </w:t>
      </w:r>
      <w:r w:rsidRPr="00902591">
        <w:rPr>
          <w:bCs/>
        </w:rPr>
        <w:t>Guidelines</w:t>
      </w:r>
      <w:r w:rsidRPr="009976A6">
        <w:t xml:space="preserve"> and the applicable legislation. If it is not clear </w:t>
      </w:r>
      <w:r w:rsidR="0031302D">
        <w:t>t</w:t>
      </w:r>
      <w:r w:rsidRPr="009976A6">
        <w:t xml:space="preserve">hat a report has been completed in accordance with </w:t>
      </w:r>
      <w:r>
        <w:t>the</w:t>
      </w:r>
      <w:r w:rsidRPr="009976A6">
        <w:rPr>
          <w:bCs/>
          <w:i/>
        </w:rPr>
        <w:t xml:space="preserve"> </w:t>
      </w:r>
      <w:r w:rsidRPr="00902591">
        <w:rPr>
          <w:bCs/>
        </w:rPr>
        <w:t>Guidelines</w:t>
      </w:r>
      <w:r w:rsidRPr="009976A6">
        <w:t>, clarification may be sought from the assessor who prepared the report.</w:t>
      </w:r>
    </w:p>
    <w:p w:rsidR="009976A6" w:rsidRDefault="00C477EE" w:rsidP="008C19E6">
      <w:pPr>
        <w:pStyle w:val="BodyText1"/>
      </w:pPr>
      <w:r w:rsidRPr="004E72EB">
        <w:t>DELETED (</w:t>
      </w:r>
      <w:r w:rsidR="00EE71DF">
        <w:rPr>
          <w:lang w:val="en-US"/>
        </w:rPr>
        <w:t>See Appendix 2</w:t>
      </w:r>
      <w:r w:rsidRPr="004E72EB">
        <w:t>)</w:t>
      </w:r>
      <w:r w:rsidR="009976A6" w:rsidRPr="004E72EB">
        <w:t xml:space="preserve"> </w:t>
      </w:r>
    </w:p>
    <w:p w:rsidR="009976A6" w:rsidRPr="009976A6" w:rsidRDefault="009976A6" w:rsidP="008C19E6">
      <w:pPr>
        <w:pStyle w:val="Heading3"/>
        <w:rPr>
          <w:lang w:eastAsia="en-AU"/>
        </w:rPr>
      </w:pPr>
      <w:r w:rsidRPr="009976A6">
        <w:rPr>
          <w:lang w:eastAsia="en-AU"/>
        </w:rPr>
        <w:t>Code of conduct</w:t>
      </w:r>
    </w:p>
    <w:p w:rsidR="009976A6" w:rsidRPr="009976A6" w:rsidRDefault="009976A6" w:rsidP="008C19E6">
      <w:pPr>
        <w:pStyle w:val="BodyText1"/>
      </w:pPr>
      <w:r w:rsidRPr="009976A6">
        <w:t xml:space="preserve">Assessors are referred to the Medical Board of Australia’s Good Medical Practice: A Code of Conduct for Doctors in Australia, 8.7 Medico- legal, insurance and other assessments. </w:t>
      </w:r>
    </w:p>
    <w:p w:rsidR="009976A6" w:rsidRPr="009976A6" w:rsidRDefault="009976A6" w:rsidP="008C19E6">
      <w:pPr>
        <w:pStyle w:val="BodyText1"/>
      </w:pPr>
      <w:r w:rsidRPr="009976A6">
        <w:t>Assessors are reminded that they have an obligation to act in an ethical, professional and considerate manner when examining a claimant for the determination of permanent impairment.</w:t>
      </w:r>
    </w:p>
    <w:p w:rsidR="009976A6" w:rsidRPr="009976A6" w:rsidRDefault="009976A6" w:rsidP="008C19E6">
      <w:pPr>
        <w:pStyle w:val="BodyText1"/>
      </w:pPr>
      <w:r w:rsidRPr="009976A6">
        <w:t>Effective communication is vital to ensure that the claimant is well-informed and able to maximally cooperate in the process. Assessors should:</w:t>
      </w:r>
    </w:p>
    <w:p w:rsidR="009976A6" w:rsidRPr="009976A6" w:rsidRDefault="009976A6" w:rsidP="008C19E6">
      <w:pPr>
        <w:pStyle w:val="Bulletpoint"/>
        <w:ind w:left="1276"/>
      </w:pPr>
      <w:r w:rsidRPr="009976A6">
        <w:t>Ensure that the claimant understands who the assessor is and the assessor’s role in the evaluation;</w:t>
      </w:r>
    </w:p>
    <w:p w:rsidR="009976A6" w:rsidRPr="009976A6" w:rsidRDefault="009976A6" w:rsidP="008C19E6">
      <w:pPr>
        <w:pStyle w:val="Bulletpoint"/>
        <w:ind w:left="1276"/>
      </w:pPr>
      <w:r w:rsidRPr="009976A6">
        <w:t>Ensure that the claimant understands how the evaluation will proceed;</w:t>
      </w:r>
    </w:p>
    <w:p w:rsidR="009976A6" w:rsidRPr="009976A6" w:rsidRDefault="009976A6" w:rsidP="008C19E6">
      <w:pPr>
        <w:pStyle w:val="Bulletpoint"/>
        <w:ind w:left="1276"/>
      </w:pPr>
      <w:r w:rsidRPr="009976A6">
        <w:t>Take reasonable steps to preserve the privacy and modesty of the claimant during the evaluation; and</w:t>
      </w:r>
    </w:p>
    <w:p w:rsidR="009976A6" w:rsidRPr="009976A6" w:rsidRDefault="009976A6" w:rsidP="008C19E6">
      <w:pPr>
        <w:pStyle w:val="Bulletpoint"/>
        <w:ind w:left="1276"/>
      </w:pPr>
      <w:r w:rsidRPr="009976A6">
        <w:t>Not provide any opinion to the claimant about their claim.</w:t>
      </w:r>
    </w:p>
    <w:p w:rsidR="009976A6" w:rsidRPr="00AC08F9" w:rsidRDefault="00842DCA" w:rsidP="008C19E6">
      <w:pPr>
        <w:pStyle w:val="BodyText1"/>
      </w:pPr>
      <w:r>
        <w:t>DELETED (</w:t>
      </w:r>
      <w:r w:rsidR="00EE71DF">
        <w:rPr>
          <w:lang w:val="en-US"/>
        </w:rPr>
        <w:t>See Appendix 2</w:t>
      </w:r>
      <w:r>
        <w:t>)</w:t>
      </w:r>
    </w:p>
    <w:p w:rsidR="00AC08F9" w:rsidRPr="009976A6" w:rsidRDefault="00AC08F9" w:rsidP="008C19E6">
      <w:pPr>
        <w:pStyle w:val="Heading3"/>
        <w:rPr>
          <w:lang w:eastAsia="en-AU"/>
        </w:rPr>
      </w:pPr>
      <w:r w:rsidRPr="009976A6">
        <w:rPr>
          <w:lang w:eastAsia="en-AU"/>
        </w:rPr>
        <w:lastRenderedPageBreak/>
        <w:t>Disputes over assessed degree of permanent impairment</w:t>
      </w:r>
    </w:p>
    <w:p w:rsidR="00203797" w:rsidRPr="00203797" w:rsidRDefault="00F3391E" w:rsidP="00203797">
      <w:pPr>
        <w:pStyle w:val="BodyText1"/>
      </w:pPr>
      <w:r w:rsidRPr="004E72EB">
        <w:rPr>
          <w:rFonts w:cs="Times New Roman"/>
          <w:lang w:val="en-US"/>
        </w:rPr>
        <w:t>DELETED (</w:t>
      </w:r>
      <w:r w:rsidR="00EE71DF">
        <w:rPr>
          <w:lang w:val="en-US"/>
        </w:rPr>
        <w:t>See Appendix 2</w:t>
      </w:r>
      <w:r w:rsidR="006110C3">
        <w:rPr>
          <w:rFonts w:cs="Times New Roman"/>
          <w:lang w:val="en-US"/>
        </w:rPr>
        <w:t>)</w:t>
      </w:r>
      <w:bookmarkStart w:id="5" w:name="_Toc422836858"/>
    </w:p>
    <w:p w:rsidR="00203797" w:rsidRDefault="00203797" w:rsidP="00203797">
      <w:pPr>
        <w:rPr>
          <w:rFonts w:cs="Times New Roman"/>
          <w:lang w:val="en-US"/>
        </w:rPr>
        <w:sectPr w:rsidR="00203797" w:rsidSect="00535AFE">
          <w:headerReference w:type="default" r:id="rId21"/>
          <w:footerReference w:type="first" r:id="rId22"/>
          <w:pgSz w:w="11906" w:h="16838" w:code="9"/>
          <w:pgMar w:top="1134" w:right="1134" w:bottom="1134" w:left="1134" w:header="0" w:footer="720" w:gutter="0"/>
          <w:pgNumType w:start="1"/>
          <w:cols w:space="720"/>
          <w:titlePg/>
          <w:docGrid w:linePitch="299"/>
        </w:sectPr>
      </w:pPr>
      <w:r>
        <w:rPr>
          <w:rFonts w:cs="Times New Roman"/>
          <w:lang w:val="en-US"/>
        </w:rPr>
        <w:br w:type="page"/>
      </w:r>
    </w:p>
    <w:p w:rsidR="00D8141B" w:rsidRPr="00551741" w:rsidRDefault="00D8141B" w:rsidP="00A51088">
      <w:pPr>
        <w:pStyle w:val="Heading1"/>
        <w:tabs>
          <w:tab w:val="clear" w:pos="567"/>
          <w:tab w:val="left" w:pos="709"/>
        </w:tabs>
        <w:ind w:hanging="720"/>
      </w:pPr>
      <w:bookmarkStart w:id="6" w:name="_Toc487809945"/>
      <w:r w:rsidRPr="00551741">
        <w:lastRenderedPageBreak/>
        <w:t>Upper extremity</w:t>
      </w:r>
      <w:bookmarkEnd w:id="5"/>
      <w:bookmarkEnd w:id="6"/>
    </w:p>
    <w:p w:rsidR="00D8141B" w:rsidRPr="00F81C40" w:rsidRDefault="00D8141B" w:rsidP="00203797">
      <w:pPr>
        <w:pStyle w:val="BodyText1"/>
        <w:numPr>
          <w:ilvl w:val="0"/>
          <w:numId w:val="0"/>
        </w:numPr>
        <w:tabs>
          <w:tab w:val="clear" w:pos="851"/>
        </w:tabs>
        <w:rPr>
          <w:b/>
          <w:lang w:val="en-US"/>
        </w:rPr>
      </w:pPr>
      <w:bookmarkStart w:id="7" w:name="_Toc144874609"/>
      <w:bookmarkStart w:id="8" w:name="_Toc144875197"/>
      <w:r w:rsidRPr="00F81C40">
        <w:rPr>
          <w:b/>
          <w:lang w:val="en-US"/>
        </w:rPr>
        <w:t>Chapter 16, AMA5 (page 433) applies to the assessment of permanent impairment of the upper extremities, subject to the modifications set out below.</w:t>
      </w:r>
      <w:bookmarkEnd w:id="7"/>
      <w:bookmarkEnd w:id="8"/>
      <w:r w:rsidRPr="00F81C40">
        <w:rPr>
          <w:b/>
          <w:lang w:val="en-US"/>
        </w:rPr>
        <w:t xml:space="preserve"> Before undertaking an impairment assessment, us</w:t>
      </w:r>
      <w:r w:rsidR="00902591" w:rsidRPr="00F81C40">
        <w:rPr>
          <w:b/>
          <w:lang w:val="en-US"/>
        </w:rPr>
        <w:t>ers of the</w:t>
      </w:r>
      <w:r w:rsidRPr="00F81C40">
        <w:rPr>
          <w:b/>
          <w:lang w:val="en-US"/>
        </w:rPr>
        <w:t xml:space="preserve"> Guidelines must be familiar with the following:</w:t>
      </w:r>
    </w:p>
    <w:p w:rsidR="00D8141B" w:rsidRPr="003F702E" w:rsidRDefault="00902591" w:rsidP="00F81C40">
      <w:pPr>
        <w:pStyle w:val="Bulletpoint"/>
        <w:tabs>
          <w:tab w:val="left" w:pos="1134"/>
        </w:tabs>
        <w:ind w:left="1134"/>
        <w:rPr>
          <w:rFonts w:eastAsia="Calibri"/>
          <w:lang w:val="en-US"/>
        </w:rPr>
      </w:pPr>
      <w:r>
        <w:rPr>
          <w:rFonts w:eastAsia="Calibri"/>
          <w:lang w:val="en-US"/>
        </w:rPr>
        <w:t>The Introduction in the</w:t>
      </w:r>
      <w:r w:rsidR="00D8141B" w:rsidRPr="003F702E">
        <w:rPr>
          <w:rFonts w:eastAsia="Calibri"/>
          <w:lang w:val="en-US"/>
        </w:rPr>
        <w:t xml:space="preserve"> Guidelines</w:t>
      </w:r>
    </w:p>
    <w:p w:rsidR="00D8141B" w:rsidRPr="003F702E" w:rsidRDefault="00D8141B" w:rsidP="00F81C40">
      <w:pPr>
        <w:pStyle w:val="Bulletpoint"/>
        <w:tabs>
          <w:tab w:val="left" w:pos="1134"/>
        </w:tabs>
        <w:ind w:left="1134"/>
        <w:rPr>
          <w:rFonts w:eastAsia="Calibri"/>
          <w:lang w:val="en-US"/>
        </w:rPr>
      </w:pPr>
      <w:r w:rsidRPr="003F702E">
        <w:rPr>
          <w:rFonts w:eastAsia="Calibri"/>
          <w:lang w:val="en-US"/>
        </w:rPr>
        <w:t>Chapters 1 and 2 of AMA5</w:t>
      </w:r>
    </w:p>
    <w:p w:rsidR="00D8141B" w:rsidRPr="003F702E" w:rsidRDefault="00D8141B" w:rsidP="00F81C40">
      <w:pPr>
        <w:pStyle w:val="Bulletpoint"/>
        <w:tabs>
          <w:tab w:val="left" w:pos="1134"/>
        </w:tabs>
        <w:ind w:left="1134"/>
        <w:rPr>
          <w:rFonts w:eastAsia="Calibri"/>
          <w:lang w:val="en-US"/>
        </w:rPr>
      </w:pPr>
      <w:r w:rsidRPr="003F702E">
        <w:rPr>
          <w:rFonts w:eastAsia="Calibri"/>
          <w:lang w:val="en-US"/>
        </w:rPr>
        <w:t>Th</w:t>
      </w:r>
      <w:r w:rsidR="00902591">
        <w:rPr>
          <w:rFonts w:eastAsia="Calibri"/>
          <w:lang w:val="en-US"/>
        </w:rPr>
        <w:t>e appropriate chapter/s of the</w:t>
      </w:r>
      <w:r w:rsidRPr="003F702E">
        <w:rPr>
          <w:rFonts w:eastAsia="Calibri"/>
          <w:lang w:val="en-US"/>
        </w:rPr>
        <w:t xml:space="preserve"> Guidelines for the body system they are assessing.</w:t>
      </w:r>
    </w:p>
    <w:p w:rsidR="00D8141B" w:rsidRPr="003F702E" w:rsidRDefault="00D8141B" w:rsidP="00F81C40">
      <w:pPr>
        <w:pStyle w:val="Bulletpoint"/>
        <w:tabs>
          <w:tab w:val="left" w:pos="1134"/>
        </w:tabs>
        <w:spacing w:after="240"/>
        <w:ind w:left="1134"/>
        <w:rPr>
          <w:rFonts w:eastAsia="Calibri"/>
          <w:lang w:val="en-US"/>
        </w:rPr>
      </w:pPr>
      <w:r w:rsidRPr="003F702E">
        <w:rPr>
          <w:rFonts w:eastAsia="Calibri"/>
          <w:lang w:val="en-US"/>
        </w:rPr>
        <w:t>The appropriate chapter/s of AMA5 for the body system they are assessing.</w:t>
      </w:r>
    </w:p>
    <w:p w:rsidR="00D8141B" w:rsidRPr="003F702E" w:rsidRDefault="00902591" w:rsidP="00203797">
      <w:pPr>
        <w:pStyle w:val="BodyText1"/>
        <w:numPr>
          <w:ilvl w:val="0"/>
          <w:numId w:val="0"/>
        </w:numPr>
        <w:tabs>
          <w:tab w:val="clear" w:pos="851"/>
        </w:tabs>
        <w:rPr>
          <w:rFonts w:ascii="Calibri" w:eastAsia="Calibri" w:hAnsi="Calibri" w:cs="Calibri"/>
          <w:sz w:val="20"/>
          <w:lang w:val="en-US"/>
        </w:rPr>
      </w:pPr>
      <w:r>
        <w:rPr>
          <w:rFonts w:eastAsia="Calibri"/>
          <w:lang w:val="en-US"/>
        </w:rPr>
        <w:t>The</w:t>
      </w:r>
      <w:r w:rsidR="00D8141B" w:rsidRPr="003F702E">
        <w:rPr>
          <w:rFonts w:eastAsia="Calibri"/>
          <w:lang w:val="en-US"/>
        </w:rPr>
        <w:t xml:space="preserve"> Guidelines take precedence over AMA5</w:t>
      </w:r>
      <w:r w:rsidR="00D8141B" w:rsidRPr="003F702E">
        <w:rPr>
          <w:rFonts w:ascii="Calibri" w:eastAsia="Calibri" w:hAnsi="Calibri" w:cs="Calibri"/>
          <w:sz w:val="20"/>
          <w:lang w:val="en-US"/>
        </w:rPr>
        <w:t>.</w:t>
      </w:r>
    </w:p>
    <w:p w:rsidR="00D8141B" w:rsidRPr="00D8141B" w:rsidRDefault="00D8141B" w:rsidP="00203797">
      <w:pPr>
        <w:pStyle w:val="Heading3"/>
      </w:pPr>
      <w:bookmarkStart w:id="9" w:name="_Toc144874610"/>
      <w:bookmarkStart w:id="10" w:name="_Toc144875198"/>
      <w:r w:rsidRPr="00D8141B">
        <w:t>Introduction</w:t>
      </w:r>
      <w:bookmarkEnd w:id="9"/>
      <w:bookmarkEnd w:id="10"/>
    </w:p>
    <w:p w:rsidR="00203797" w:rsidRDefault="00D8141B" w:rsidP="00853745">
      <w:pPr>
        <w:pStyle w:val="BodyText2"/>
      </w:pPr>
      <w:r w:rsidRPr="00203797">
        <w:rPr>
          <w:lang w:val="en-US"/>
        </w:rPr>
        <w:t xml:space="preserve">The </w:t>
      </w:r>
      <w:r w:rsidRPr="00203797">
        <w:t xml:space="preserve">upper extremities are discussed in AMA5, chapter 16 (pp 433-521). This chapter </w:t>
      </w:r>
      <w:r w:rsidRPr="00853745">
        <w:t>provides</w:t>
      </w:r>
      <w:r w:rsidRPr="00203797">
        <w:t xml:space="preserve"> guidelines on methods of assessing permanent impairment involving these structures. It is a complex chapter that requires an organised approach with careful documentation of findings. </w:t>
      </w:r>
    </w:p>
    <w:p w:rsidR="00D8141B" w:rsidRPr="00203797" w:rsidRDefault="00D8141B" w:rsidP="00853745">
      <w:pPr>
        <w:pStyle w:val="BodyText2"/>
      </w:pPr>
      <w:r w:rsidRPr="00203797">
        <w:t>Evaluation of anatomical impairment forms the basis for upper extremity impairment assessment. The ratings reflect the degree of impairment and its impact on the ability of the person to perform</w:t>
      </w:r>
      <w:r w:rsidRPr="00203797">
        <w:rPr>
          <w:lang w:val="en-US"/>
        </w:rPr>
        <w:t xml:space="preserve"> ADL. There can be clinical conditions where evaluation of impairment may be difficult. Such conditions are evaluated by their effect on function of the upper extremity, or, if all else fails, by analogy with other impairments that have similar effects on upper limb function.</w:t>
      </w:r>
    </w:p>
    <w:p w:rsidR="00D8141B" w:rsidRPr="00D8141B" w:rsidRDefault="00D8141B" w:rsidP="00853745">
      <w:pPr>
        <w:pStyle w:val="Heading3"/>
        <w:rPr>
          <w:lang w:val="en-GB"/>
        </w:rPr>
      </w:pPr>
      <w:bookmarkStart w:id="11" w:name="_Toc144874611"/>
      <w:bookmarkStart w:id="12" w:name="_Toc144875199"/>
      <w:r w:rsidRPr="003771C2">
        <w:t>The approach to assessment of the upper extremity and hand</w:t>
      </w:r>
      <w:bookmarkEnd w:id="11"/>
      <w:bookmarkEnd w:id="12"/>
    </w:p>
    <w:p w:rsidR="00D8141B" w:rsidRPr="00D8141B" w:rsidRDefault="00D8141B" w:rsidP="00853745">
      <w:pPr>
        <w:pStyle w:val="BodyText2"/>
        <w:rPr>
          <w:lang w:val="en-GB"/>
        </w:rPr>
      </w:pPr>
      <w:r w:rsidRPr="00D8141B">
        <w:rPr>
          <w:lang w:val="en-US"/>
        </w:rPr>
        <w:t>Assessment of the upper extremity mainly involves clinical evaluation. Cosmetic and functional evaluations are performed in some situations. The impairment must be permanent and stable. The claimant will have a defined diagnosis that can be confirmed by examination</w:t>
      </w:r>
      <w:r w:rsidRPr="00D8141B">
        <w:rPr>
          <w:lang w:val="en-GB"/>
        </w:rPr>
        <w:t>.</w:t>
      </w:r>
    </w:p>
    <w:p w:rsidR="00D8141B" w:rsidRPr="00D8141B" w:rsidRDefault="00D8141B" w:rsidP="00853745">
      <w:pPr>
        <w:pStyle w:val="BodyText2"/>
        <w:rPr>
          <w:lang w:val="en-GB"/>
        </w:rPr>
      </w:pPr>
      <w:r w:rsidRPr="00D8141B">
        <w:rPr>
          <w:lang w:val="en-US"/>
        </w:rPr>
        <w:t>The assessed impairment of a part or region can never exceed the impairment due to amputation of that part or region. For an upper limb, therefore, the maximum evaluation is 60 per cent WPI, the value for amputation through the shoulder</w:t>
      </w:r>
      <w:r w:rsidRPr="00D8141B">
        <w:rPr>
          <w:lang w:val="en-GB"/>
        </w:rPr>
        <w:t>.</w:t>
      </w:r>
    </w:p>
    <w:p w:rsidR="00D8141B" w:rsidRPr="00D8141B" w:rsidRDefault="00D8141B" w:rsidP="00853745">
      <w:pPr>
        <w:pStyle w:val="BodyText2"/>
        <w:rPr>
          <w:lang w:val="en-US"/>
        </w:rPr>
      </w:pPr>
      <w:r w:rsidRPr="00D8141B">
        <w:rPr>
          <w:lang w:val="en-US"/>
        </w:rPr>
        <w:t>Range of motion is assessed as follows:</w:t>
      </w:r>
    </w:p>
    <w:p w:rsidR="00D8141B" w:rsidRPr="00D8141B" w:rsidRDefault="00D8141B" w:rsidP="00853745">
      <w:pPr>
        <w:pStyle w:val="Bulletpoint"/>
        <w:keepNext w:val="0"/>
        <w:tabs>
          <w:tab w:val="left" w:pos="1134"/>
        </w:tabs>
        <w:ind w:left="1134"/>
        <w:rPr>
          <w:lang w:val="en-US"/>
        </w:rPr>
      </w:pPr>
      <w:r w:rsidRPr="00D8141B">
        <w:rPr>
          <w:lang w:val="en-US"/>
        </w:rPr>
        <w:t>A goniometer or inclinometer must be used</w:t>
      </w:r>
      <w:r w:rsidRPr="00D8141B">
        <w:rPr>
          <w:rFonts w:ascii="Calibri" w:eastAsia="Calibri" w:hAnsi="Calibri" w:cs="Times New Roman"/>
          <w:i/>
          <w:sz w:val="20"/>
        </w:rPr>
        <w:t xml:space="preserve"> </w:t>
      </w:r>
      <w:r w:rsidRPr="00D8141B">
        <w:t>where clinically indicated.</w:t>
      </w:r>
    </w:p>
    <w:p w:rsidR="00D8141B" w:rsidRPr="00D8141B" w:rsidRDefault="00D8141B" w:rsidP="00853745">
      <w:pPr>
        <w:pStyle w:val="Bulletpoint"/>
        <w:keepNext w:val="0"/>
        <w:tabs>
          <w:tab w:val="left" w:pos="1134"/>
        </w:tabs>
        <w:ind w:left="1134"/>
        <w:rPr>
          <w:lang w:val="en-US"/>
        </w:rPr>
      </w:pPr>
      <w:r w:rsidRPr="00D8141B">
        <w:rPr>
          <w:lang w:val="en-US"/>
        </w:rPr>
        <w:t>Passive range of motion may form part of the clinical examination to ascertain clinical status of the joint, but impairment should only be calculated using active range of motion measurements.</w:t>
      </w:r>
      <w:r w:rsidRPr="00D8141B">
        <w:rPr>
          <w:rFonts w:ascii="Calibri" w:eastAsia="Calibri" w:hAnsi="Calibri" w:cs="Times New Roman"/>
          <w:sz w:val="20"/>
        </w:rPr>
        <w:t xml:space="preserve"> </w:t>
      </w:r>
      <w:r w:rsidRPr="00D8141B">
        <w:t>Impairment values for degree measurements falling between those listed must be adjusted or interpolated.</w:t>
      </w:r>
    </w:p>
    <w:p w:rsidR="00D8141B" w:rsidRPr="00D8141B" w:rsidRDefault="00D8141B" w:rsidP="00853745">
      <w:pPr>
        <w:pStyle w:val="Bulletpoint"/>
        <w:keepNext w:val="0"/>
        <w:tabs>
          <w:tab w:val="left" w:pos="1134"/>
        </w:tabs>
        <w:ind w:left="1134"/>
        <w:rPr>
          <w:lang w:val="en-US"/>
        </w:rPr>
      </w:pPr>
      <w:r w:rsidRPr="00D8141B">
        <w:rPr>
          <w:lang w:val="en-US"/>
        </w:rPr>
        <w:t xml:space="preserve">If the assessor is not satisfied that the results of a measurement are reliable, </w:t>
      </w:r>
      <w:r w:rsidR="00545EB7" w:rsidRPr="00545EB7">
        <w:rPr>
          <w:lang w:val="en-US"/>
        </w:rPr>
        <w:t>repeated testing may be helpful in this situation</w:t>
      </w:r>
      <w:r w:rsidRPr="00D8141B">
        <w:rPr>
          <w:lang w:val="en-US"/>
        </w:rPr>
        <w:t>.</w:t>
      </w:r>
    </w:p>
    <w:p w:rsidR="00D8141B" w:rsidRPr="00D8141B" w:rsidRDefault="00D8141B" w:rsidP="00853745">
      <w:pPr>
        <w:pStyle w:val="Bulletpoint"/>
        <w:keepNext w:val="0"/>
        <w:tabs>
          <w:tab w:val="left" w:pos="1134"/>
        </w:tabs>
        <w:ind w:left="1134"/>
        <w:rPr>
          <w:lang w:val="en-US"/>
        </w:rPr>
      </w:pPr>
      <w:r w:rsidRPr="00D8141B">
        <w:rPr>
          <w:lang w:val="en-US"/>
        </w:rPr>
        <w:t>If there is inconsistency in range of motion then it should not be used as a valid parameter of impairment evaluation</w:t>
      </w:r>
      <w:r w:rsidR="007B23EF">
        <w:rPr>
          <w:lang w:val="en-US"/>
        </w:rPr>
        <w:t>. Refer to section 1.3</w:t>
      </w:r>
      <w:r w:rsidR="00C563EE">
        <w:rPr>
          <w:lang w:val="en-US"/>
        </w:rPr>
        <w:t>6</w:t>
      </w:r>
      <w:r w:rsidR="00902591">
        <w:rPr>
          <w:lang w:val="en-US"/>
        </w:rPr>
        <w:t xml:space="preserve"> of the</w:t>
      </w:r>
      <w:r w:rsidRPr="00D8141B">
        <w:rPr>
          <w:lang w:val="en-US"/>
        </w:rPr>
        <w:t xml:space="preserve"> Guidelines.</w:t>
      </w:r>
    </w:p>
    <w:p w:rsidR="00D8141B" w:rsidRPr="00D8141B" w:rsidRDefault="00D8141B" w:rsidP="00853745">
      <w:pPr>
        <w:pStyle w:val="Bulletpoint"/>
        <w:keepNext w:val="0"/>
        <w:tabs>
          <w:tab w:val="left" w:pos="1134"/>
        </w:tabs>
        <w:ind w:left="1134"/>
        <w:rPr>
          <w:lang w:val="en-US"/>
        </w:rPr>
      </w:pPr>
      <w:r w:rsidRPr="00D8141B">
        <w:rPr>
          <w:lang w:val="en-US"/>
        </w:rPr>
        <w:t>If range of motion measurements at examination cannot be used as a valid parameter of impairment evaluation, the assessor should then use discretion in considering what weight to give other available evidence to determine if an impairment is present.</w:t>
      </w:r>
    </w:p>
    <w:p w:rsidR="00D8141B" w:rsidRPr="00D8141B" w:rsidRDefault="00D8141B" w:rsidP="00853745">
      <w:pPr>
        <w:pStyle w:val="BodyText2"/>
        <w:rPr>
          <w:lang w:val="en-US"/>
        </w:rPr>
      </w:pPr>
      <w:r w:rsidRPr="00D8141B">
        <w:rPr>
          <w:lang w:val="en-US"/>
        </w:rPr>
        <w:lastRenderedPageBreak/>
        <w:t>To achieve an accurate and comprehensive assessment of the upper extremity, findings should be documented on a standard form. AMA5 figures 16-1a and 16-1b (pp 436-437) are extremely useful both to document findings and to guide the assessment process.</w:t>
      </w:r>
    </w:p>
    <w:p w:rsidR="00D8141B" w:rsidRPr="00D8141B" w:rsidRDefault="00D8141B" w:rsidP="00853745">
      <w:pPr>
        <w:pStyle w:val="BodyText2"/>
        <w:rPr>
          <w:lang w:val="en-US"/>
        </w:rPr>
      </w:pPr>
      <w:r w:rsidRPr="00D8141B">
        <w:rPr>
          <w:lang w:val="en-US"/>
        </w:rPr>
        <w:t xml:space="preserve">The hand and upper extremity are divided into regions: thumb, fingers, wrist, elbow, and shoulder. Close attention needs to be paid to the instructions in figures 16-1a and 16-1b (pp 436-437 AMA5) regarding adding or combining impairments. </w:t>
      </w:r>
    </w:p>
    <w:p w:rsidR="00D8141B" w:rsidRPr="00D8141B" w:rsidRDefault="00D8141B" w:rsidP="00853745">
      <w:pPr>
        <w:pStyle w:val="BodyText2"/>
        <w:rPr>
          <w:lang w:val="en-US"/>
        </w:rPr>
      </w:pPr>
      <w:r w:rsidRPr="00D8141B">
        <w:rPr>
          <w:lang w:val="en-US"/>
        </w:rPr>
        <w:t>Table 16-3 (p 439 AMA5) is used to convert upper extremity impairment to WPI. When the combined values chart is used, the assessor must ensure that all values combined are in the same category of impairment (that is WPI, upper extremity impairment percentage, hand impairment percentage and so on). Regional impairments of the same limb (eg several upper extremity impairments), should be combined before converting to percentage WPI. (Note that impairments relating to the joints of the thumb are added rather than combined-AMA5, p 454, 16.4d thumb ray motion impairment.)</w:t>
      </w:r>
    </w:p>
    <w:p w:rsidR="00D8141B" w:rsidRPr="00D8141B" w:rsidRDefault="00D8141B" w:rsidP="00853745">
      <w:pPr>
        <w:pStyle w:val="Heading2"/>
      </w:pPr>
      <w:r w:rsidRPr="00D8141B">
        <w:t>Specific Interpretation of the AMA5 – The Hand and Upper Extremity</w:t>
      </w:r>
    </w:p>
    <w:p w:rsidR="00D8141B" w:rsidRPr="00291429" w:rsidRDefault="00D8141B" w:rsidP="00853745">
      <w:pPr>
        <w:pStyle w:val="Heading3"/>
      </w:pPr>
      <w:bookmarkStart w:id="13" w:name="_Toc144874612"/>
      <w:bookmarkStart w:id="14" w:name="_Toc144875200"/>
      <w:r w:rsidRPr="00291429">
        <w:t>Impairment of the upper extremity due to peripheral nerve disorders</w:t>
      </w:r>
      <w:bookmarkEnd w:id="13"/>
      <w:bookmarkEnd w:id="14"/>
    </w:p>
    <w:p w:rsidR="00D8141B" w:rsidRPr="00D8141B" w:rsidRDefault="00D8141B" w:rsidP="00853745">
      <w:pPr>
        <w:pStyle w:val="BodyText2"/>
        <w:rPr>
          <w:lang w:val="en-US"/>
        </w:rPr>
      </w:pPr>
      <w:r w:rsidRPr="00D8141B">
        <w:rPr>
          <w:lang w:val="en-US"/>
        </w:rPr>
        <w:t xml:space="preserve">If an upper extremity impairment results solely from a peripheral nerve injury, the assessor should not also evaluate impairment(s) from section 16.4, abnormal motion (pp 450-479 AMA5) for that upper extremity. Section 16.5 should be used for evaluation of such impairments.  </w:t>
      </w:r>
    </w:p>
    <w:p w:rsidR="00D8141B" w:rsidRPr="00D8141B" w:rsidRDefault="00D8141B" w:rsidP="00853745">
      <w:pPr>
        <w:pStyle w:val="BodyText2"/>
        <w:numPr>
          <w:ilvl w:val="0"/>
          <w:numId w:val="0"/>
        </w:numPr>
        <w:ind w:left="709"/>
        <w:rPr>
          <w:lang w:val="en-US"/>
        </w:rPr>
      </w:pPr>
      <w:r w:rsidRPr="00D8141B">
        <w:rPr>
          <w:lang w:val="en-US"/>
        </w:rPr>
        <w:t>For peripheral nerve lesions use table 16-15 (p 492 AMA5) together with tables 16-10 and 16-11 (pp 482 and 484 AMA5) for evaluation.</w:t>
      </w:r>
    </w:p>
    <w:p w:rsidR="00D8141B" w:rsidRPr="00D8141B" w:rsidRDefault="00D8141B" w:rsidP="00853745">
      <w:pPr>
        <w:pStyle w:val="BodyText2"/>
        <w:numPr>
          <w:ilvl w:val="0"/>
          <w:numId w:val="0"/>
        </w:numPr>
        <w:ind w:left="709"/>
        <w:rPr>
          <w:lang w:val="en-US"/>
        </w:rPr>
      </w:pPr>
      <w:r w:rsidRPr="00D8141B">
        <w:rPr>
          <w:lang w:val="en-US"/>
        </w:rPr>
        <w:t>The assessment of carpal tunnel syndrome post-operatively is undertaken in the same way as assessment without operation.</w:t>
      </w:r>
    </w:p>
    <w:p w:rsidR="00D8141B" w:rsidRPr="00D8141B" w:rsidRDefault="00D8141B" w:rsidP="00853745">
      <w:pPr>
        <w:pStyle w:val="BodyText2"/>
        <w:rPr>
          <w:b/>
          <w:lang w:val="en-GB"/>
        </w:rPr>
      </w:pPr>
      <w:r w:rsidRPr="00D8141B">
        <w:rPr>
          <w:lang w:val="en-US"/>
        </w:rPr>
        <w:t>When applying tables 16-10 (pp 482 AMA5) and table 16-11 (p 484 AMA5) the examiner must use clinical judgement to estimate the appropriate percentage within the range of values shown for each severity grade. The maximum value is not applied automatically</w:t>
      </w:r>
      <w:r w:rsidRPr="00D8141B">
        <w:rPr>
          <w:b/>
          <w:lang w:val="en-GB"/>
        </w:rPr>
        <w:t xml:space="preserve">. </w:t>
      </w:r>
    </w:p>
    <w:p w:rsidR="00D8141B" w:rsidRPr="00291429" w:rsidRDefault="00D8141B" w:rsidP="00853745">
      <w:pPr>
        <w:pStyle w:val="Heading3"/>
      </w:pPr>
      <w:bookmarkStart w:id="15" w:name="_Toc144874613"/>
      <w:bookmarkStart w:id="16" w:name="_Toc144875201"/>
      <w:r w:rsidRPr="00291429">
        <w:t>Impairment due to other disorders of the upper extremity</w:t>
      </w:r>
      <w:bookmarkEnd w:id="15"/>
      <w:bookmarkEnd w:id="16"/>
    </w:p>
    <w:p w:rsidR="00D8141B" w:rsidRPr="00D8141B" w:rsidRDefault="00D8141B" w:rsidP="00853745">
      <w:pPr>
        <w:pStyle w:val="BodyText2"/>
        <w:rPr>
          <w:lang w:val="en-US"/>
        </w:rPr>
      </w:pPr>
      <w:r w:rsidRPr="00D8141B">
        <w:rPr>
          <w:lang w:val="en-US"/>
        </w:rPr>
        <w:t>The section 'Impairment  of the upper extremity due to other disorders' (AMA5 section 16.7 pp 498-507) should be used only when other criteria (as presented in sections 16.2 -16.6 (pp 441-498 AMA5)) have not adequately encompassed the extent of the impairments. Impairments from the disorders considered in section 16.7 are usually estimated using other criteria. The assessor must take care to avoid duplication of impairments.</w:t>
      </w:r>
    </w:p>
    <w:p w:rsidR="00D8141B" w:rsidRPr="00D8141B" w:rsidRDefault="00D8141B" w:rsidP="00853745">
      <w:pPr>
        <w:pStyle w:val="BodyText2"/>
        <w:rPr>
          <w:b/>
          <w:lang w:val="en-US"/>
        </w:rPr>
      </w:pPr>
      <w:r w:rsidRPr="00D8141B">
        <w:rPr>
          <w:lang w:val="en-US"/>
        </w:rPr>
        <w:t>In section 16.7 (impairment of the upper extremities  due to other disorders) AMA5 notes 'the severity of impairment due to these disorders is rated separately according to table 16-19 through 16-30 and then multiplied by the relative maximum value of the unit involved as specified in table 16-18'. This statement should not include tables 16-25 (carpal instability), 16-26 (shoulder instability) and 16-27 (arthroplasty), noting that these tables are already expressed in terms of upper extremity impairment.</w:t>
      </w:r>
    </w:p>
    <w:p w:rsidR="00D8141B" w:rsidRPr="00D8141B" w:rsidRDefault="00D8141B" w:rsidP="00853745">
      <w:pPr>
        <w:pStyle w:val="BodyText2"/>
        <w:rPr>
          <w:lang w:val="en-US"/>
        </w:rPr>
      </w:pPr>
      <w:r w:rsidRPr="00D8141B">
        <w:rPr>
          <w:lang w:val="en-US"/>
        </w:rPr>
        <w:t xml:space="preserve">Strength evaluation, as a method of upper extremity impairment assessment, should only be used in rare cases and its use justified when loss of strength represents an impairing factor not adequately considered by more objective rating methods. If chosen as a method, the caveats detailed on AMA5 p 508, under the heading '16.8a Principles' need to be observed, ie decreased strength cannot be rated in the presence of decreased motion, painful conditions, deformities and absence of parts (eg thumb amputation). </w:t>
      </w:r>
    </w:p>
    <w:p w:rsidR="00D8141B" w:rsidRPr="00D8141B" w:rsidRDefault="00D8141B" w:rsidP="00853745">
      <w:pPr>
        <w:pStyle w:val="Heading3"/>
        <w:rPr>
          <w:rFonts w:cs="Arial"/>
        </w:rPr>
      </w:pPr>
      <w:r w:rsidRPr="00291429">
        <w:lastRenderedPageBreak/>
        <w:t>Conditions affecting the shoulder region</w:t>
      </w:r>
    </w:p>
    <w:p w:rsidR="00D8141B" w:rsidRDefault="00BC12DE" w:rsidP="00853745">
      <w:pPr>
        <w:pStyle w:val="BodyText2"/>
        <w:rPr>
          <w:lang w:val="en-US"/>
        </w:rPr>
      </w:pPr>
      <w:r w:rsidRPr="00BC12DE">
        <w:rPr>
          <w:lang w:val="en-US"/>
        </w:rPr>
        <w:t>Most shoulder disorders with an abnormal range of movement are assessed according to AMA5 Section 16.4 - Evaluating Abnormal Motion. (Please note that AMA5 indicates that internal and external rotation of the shoulder are to be measured with the arm abducted in the coronal plane to 90 degrees and with the elbow flexed to 90 degrees. In those situations where abduction to 90 degrees is not possible, symmetrical measurement of rotation is to be carried out at the point of maximal abduction).</w:t>
      </w:r>
    </w:p>
    <w:p w:rsidR="00D8141B" w:rsidRPr="00D8141B" w:rsidRDefault="00D8141B" w:rsidP="00853745">
      <w:pPr>
        <w:pStyle w:val="BodyText2"/>
        <w:numPr>
          <w:ilvl w:val="0"/>
          <w:numId w:val="0"/>
        </w:numPr>
        <w:ind w:left="709"/>
        <w:rPr>
          <w:rFonts w:ascii="Times New Roman" w:hAnsi="Times New Roman"/>
          <w:lang w:val="en-GB"/>
        </w:rPr>
      </w:pPr>
      <w:r w:rsidRPr="00D8141B">
        <w:rPr>
          <w:lang w:val="en-GB"/>
        </w:rPr>
        <w:t xml:space="preserve">Rare cases of rotator cuff injury, where the loss of shoulder motion does not reflect the severity of the tear, and there is </w:t>
      </w:r>
      <w:r w:rsidRPr="00A10CBD">
        <w:rPr>
          <w:b/>
          <w:lang w:val="en-GB"/>
        </w:rPr>
        <w:t>no associated pain</w:t>
      </w:r>
      <w:r w:rsidRPr="00D8141B">
        <w:rPr>
          <w:lang w:val="en-GB"/>
        </w:rPr>
        <w:t>, may be assessed according to AMA5 Section 16.8c – strength evaluation.</w:t>
      </w:r>
      <w:r w:rsidRPr="00D8141B">
        <w:rPr>
          <w:lang w:val="en-GB"/>
        </w:rPr>
        <w:tab/>
        <w:t xml:space="preserve">Other specific shoulder disorders, where the loss of shoulder motion does not reflect the severity of the disorder, </w:t>
      </w:r>
      <w:r w:rsidRPr="00A10CBD">
        <w:rPr>
          <w:b/>
          <w:lang w:val="en-GB"/>
        </w:rPr>
        <w:t>associated with pain</w:t>
      </w:r>
      <w:r w:rsidRPr="00D8141B">
        <w:rPr>
          <w:lang w:val="en-GB"/>
        </w:rPr>
        <w:t>, should be assessed by comparison with other impairments that have similar effect(s) on upper limb function.</w:t>
      </w:r>
    </w:p>
    <w:p w:rsidR="00D8141B" w:rsidRPr="00D8141B" w:rsidRDefault="00D8141B" w:rsidP="00853745">
      <w:pPr>
        <w:pStyle w:val="BodyText2"/>
        <w:numPr>
          <w:ilvl w:val="0"/>
          <w:numId w:val="0"/>
        </w:numPr>
        <w:ind w:left="709"/>
        <w:rPr>
          <w:rFonts w:ascii="Times New Roman" w:hAnsi="Times New Roman"/>
          <w:lang w:val="en-GB"/>
        </w:rPr>
      </w:pPr>
      <w:r w:rsidRPr="00D8141B">
        <w:rPr>
          <w:lang w:val="en-US"/>
        </w:rPr>
        <w:t xml:space="preserve">As noted in AMA5 16.7b 'Arthroplasty', "In the presence of </w:t>
      </w:r>
      <w:r w:rsidRPr="00D8141B">
        <w:rPr>
          <w:i/>
          <w:lang w:val="en-US"/>
        </w:rPr>
        <w:t xml:space="preserve">decreased motion, </w:t>
      </w:r>
      <w:r w:rsidRPr="00D8141B">
        <w:rPr>
          <w:lang w:val="en-US"/>
        </w:rPr>
        <w:t xml:space="preserve">motion impairments are derived separately and </w:t>
      </w:r>
      <w:r w:rsidRPr="00D8141B">
        <w:rPr>
          <w:i/>
          <w:lang w:val="en-US"/>
        </w:rPr>
        <w:t xml:space="preserve">combined </w:t>
      </w:r>
      <w:r w:rsidRPr="00D8141B">
        <w:rPr>
          <w:lang w:val="en-US"/>
        </w:rPr>
        <w:t>with the arthroplasty impairment".</w:t>
      </w:r>
      <w:r w:rsidR="00E34F8F">
        <w:rPr>
          <w:lang w:val="en-US"/>
        </w:rPr>
        <w:t xml:space="preserve"> </w:t>
      </w:r>
      <w:r w:rsidRPr="00D8141B">
        <w:rPr>
          <w:lang w:val="en-US"/>
        </w:rPr>
        <w:t>This includes those arthroplasties in Table 16-27 designated as (isolated).</w:t>
      </w:r>
    </w:p>
    <w:p w:rsidR="00D8141B" w:rsidRPr="00D8141B" w:rsidRDefault="00D8141B" w:rsidP="00853745">
      <w:pPr>
        <w:pStyle w:val="BodyText2"/>
        <w:numPr>
          <w:ilvl w:val="0"/>
          <w:numId w:val="0"/>
        </w:numPr>
        <w:ind w:left="709"/>
        <w:rPr>
          <w:rFonts w:ascii="Times New Roman" w:hAnsi="Times New Roman"/>
          <w:lang w:val="en-GB"/>
        </w:rPr>
      </w:pPr>
      <w:r w:rsidRPr="00D8141B">
        <w:rPr>
          <w:lang w:val="en-US"/>
        </w:rPr>
        <w:t>Please note that in Table 16-27 (p506 AMA5) the figure for resection arthroplasty of the distal clavicle (isolated) has been changed to 5% upper extremity impairment, and the figure for resection arthroplasty of the proximal clavicle (isolated) has been changed to 8% upper extremity impairment.</w:t>
      </w:r>
    </w:p>
    <w:p w:rsidR="00D8141B" w:rsidRPr="00D8141B" w:rsidRDefault="00D8141B" w:rsidP="00853745">
      <w:pPr>
        <w:pStyle w:val="BodyText2"/>
        <w:numPr>
          <w:ilvl w:val="0"/>
          <w:numId w:val="0"/>
        </w:numPr>
        <w:ind w:left="709"/>
        <w:rPr>
          <w:lang w:val="en-US"/>
        </w:rPr>
      </w:pPr>
      <w:r w:rsidRPr="00D8141B">
        <w:rPr>
          <w:lang w:val="en-US"/>
        </w:rPr>
        <w:t>Please note that in Table 16-18 (p499 AMA5) the figures of impairment suggested for the sternoclavicular joint have been changed from 5% upper extremity  impairment and 3% whole person impairment, to 25% upper extremity impairment and 15% whole person impairment.</w:t>
      </w:r>
    </w:p>
    <w:p w:rsidR="00D8141B" w:rsidRPr="00D8141B" w:rsidRDefault="00D8141B" w:rsidP="00853745">
      <w:pPr>
        <w:pStyle w:val="BodyText2"/>
        <w:rPr>
          <w:bCs/>
          <w:lang w:val="en-US"/>
        </w:rPr>
      </w:pPr>
      <w:r w:rsidRPr="00D8141B">
        <w:rPr>
          <w:lang w:val="en-US"/>
        </w:rPr>
        <w:t>Ruptured long head of biceps shall be assessed as an upper extremity impairment (UEI) of three per cent UEI or two per cent WPI where it exists in isolation from other rotator cuff pathology. Impairment for ruptured long head of biceps cannot be combined with any other rotator cuff impairment or with loss of range of movement</w:t>
      </w:r>
      <w:r w:rsidRPr="00D8141B">
        <w:rPr>
          <w:bCs/>
          <w:lang w:val="en-US"/>
        </w:rPr>
        <w:t>.</w:t>
      </w:r>
    </w:p>
    <w:p w:rsidR="00D8141B" w:rsidRPr="00D8141B" w:rsidRDefault="00D8141B" w:rsidP="00853745">
      <w:pPr>
        <w:pStyle w:val="BodyText2"/>
        <w:rPr>
          <w:bCs/>
          <w:lang w:val="en-US"/>
        </w:rPr>
      </w:pPr>
      <w:r w:rsidRPr="00D8141B">
        <w:rPr>
          <w:bCs/>
          <w:lang w:val="en-US"/>
        </w:rPr>
        <w:t>Diagnosis of impingement is made on the basis of positive findings on appropriate provocative testing and is only to apply where there is no loss of range of motion. Symptoms must have been present for at least 12 months. An impairment rating of three per cent UEI or two per cent WPI shall apply.</w:t>
      </w:r>
    </w:p>
    <w:p w:rsidR="00D8141B" w:rsidRPr="00D8141B" w:rsidRDefault="00D8141B" w:rsidP="00853745">
      <w:pPr>
        <w:pStyle w:val="Heading3"/>
        <w:rPr>
          <w:rFonts w:cs="Arial"/>
          <w:bCs/>
        </w:rPr>
      </w:pPr>
      <w:r w:rsidRPr="00291429">
        <w:t>Fractures involving joints</w:t>
      </w:r>
    </w:p>
    <w:p w:rsidR="00D8141B" w:rsidRPr="00D8141B" w:rsidRDefault="00D8141B" w:rsidP="00853745">
      <w:pPr>
        <w:pStyle w:val="BodyText2"/>
        <w:rPr>
          <w:sz w:val="24"/>
          <w:lang w:val="en-US"/>
        </w:rPr>
      </w:pPr>
      <w:r w:rsidRPr="00D8141B">
        <w:rPr>
          <w:lang w:val="en-US"/>
        </w:rPr>
        <w:t>Displaced fractures involving joint surfaces are generally to be rated by range of motion. If, however, this loss of range is not sufficient to give an impairment rating, and movement is accompanied by pain and there is 2mm or more of displacement, allow two per cent UEI (one per cent WPI).</w:t>
      </w:r>
    </w:p>
    <w:p w:rsidR="00D8141B" w:rsidRPr="00D8141B" w:rsidRDefault="00D8141B" w:rsidP="00853745">
      <w:pPr>
        <w:pStyle w:val="Heading3"/>
      </w:pPr>
      <w:r w:rsidRPr="00D8141B">
        <w:t>Epicondylitis of the elbow</w:t>
      </w:r>
    </w:p>
    <w:p w:rsidR="00D8141B" w:rsidRPr="00D8141B" w:rsidRDefault="00D8141B" w:rsidP="00853745">
      <w:pPr>
        <w:pStyle w:val="BodyText2"/>
        <w:rPr>
          <w:lang w:val="en-US"/>
        </w:rPr>
      </w:pPr>
      <w:r w:rsidRPr="00D8141B">
        <w:rPr>
          <w:lang w:val="en-US"/>
        </w:rPr>
        <w:t>This condition is rated as two per cent UEI (one per cent WPI). In order to assess impairment in cases of epicondylitis, symptoms must have been present for at least 18 months. Localised tenderness at the epicondyle must be present and provocative tests must also be positive. If there is an associated loss of range of movement, these figures are not combined, but the method giving the highest rating is used.</w:t>
      </w:r>
    </w:p>
    <w:p w:rsidR="00D8141B" w:rsidRPr="00D8141B" w:rsidRDefault="00D8141B" w:rsidP="00853745">
      <w:pPr>
        <w:pStyle w:val="Heading3"/>
        <w:rPr>
          <w:snapToGrid w:val="0"/>
        </w:rPr>
      </w:pPr>
      <w:r w:rsidRPr="00D8141B">
        <w:rPr>
          <w:snapToGrid w:val="0"/>
        </w:rPr>
        <w:lastRenderedPageBreak/>
        <w:t>Resurfacing procedures</w:t>
      </w:r>
    </w:p>
    <w:p w:rsidR="00D8141B" w:rsidRPr="00D8141B" w:rsidRDefault="00D8141B" w:rsidP="00853745">
      <w:pPr>
        <w:pStyle w:val="BodyText2"/>
        <w:rPr>
          <w:snapToGrid w:val="0"/>
          <w:lang w:val="en-US"/>
        </w:rPr>
      </w:pPr>
      <w:r w:rsidRPr="00D8141B">
        <w:rPr>
          <w:snapToGrid w:val="0"/>
          <w:lang w:val="en-US"/>
        </w:rPr>
        <w:t xml:space="preserve">No additional impairment is to be awarded for resurfacing procedures used in the treatment of localised cartilage lesions and defects in major joints. </w:t>
      </w:r>
    </w:p>
    <w:p w:rsidR="00D8141B" w:rsidRPr="00D8141B" w:rsidRDefault="00D8141B" w:rsidP="00853745">
      <w:pPr>
        <w:pStyle w:val="Heading3"/>
        <w:rPr>
          <w:snapToGrid w:val="0"/>
        </w:rPr>
      </w:pPr>
      <w:r w:rsidRPr="00D8141B">
        <w:rPr>
          <w:snapToGrid w:val="0"/>
        </w:rPr>
        <w:t>Calculating motion impairment</w:t>
      </w:r>
    </w:p>
    <w:p w:rsidR="00D8141B" w:rsidRPr="00D8141B" w:rsidRDefault="00D8141B" w:rsidP="00853745">
      <w:pPr>
        <w:pStyle w:val="BodyText2"/>
        <w:rPr>
          <w:snapToGrid w:val="0"/>
          <w:lang w:val="en-US"/>
        </w:rPr>
      </w:pPr>
      <w:r w:rsidRPr="00D8141B">
        <w:rPr>
          <w:snapToGrid w:val="0"/>
          <w:lang w:val="en-US"/>
        </w:rPr>
        <w:t>When calculating impairment for loss of range of movement, it is most important to always compare measurements of the relevant joint(s) in both extremities. If a contralateral 'normal/uninjured'  joint has less than average mobility, the impairment value(s) corresponding to the uninvolved joint serves as a baseline and is subtracted from the calculated impairment  for the involved joint. The rationale for this decision should be explained in the report (AMA5, p 543, 16.4c).</w:t>
      </w:r>
    </w:p>
    <w:p w:rsidR="00D8141B" w:rsidRPr="00D8141B" w:rsidRDefault="00D8141B" w:rsidP="00A51088">
      <w:pPr>
        <w:pStyle w:val="Heading3"/>
        <w:rPr>
          <w:snapToGrid w:val="0"/>
        </w:rPr>
      </w:pPr>
      <w:r w:rsidRPr="00D8141B">
        <w:rPr>
          <w:snapToGrid w:val="0"/>
        </w:rPr>
        <w:t>Complex regional pain syndrome (upper extremity)</w:t>
      </w:r>
    </w:p>
    <w:p w:rsidR="00D8141B" w:rsidRPr="00D8141B" w:rsidRDefault="00D8141B" w:rsidP="00A51088">
      <w:pPr>
        <w:pStyle w:val="BodyText2"/>
        <w:rPr>
          <w:rFonts w:cs="Times New Roman"/>
          <w:sz w:val="24"/>
          <w:lang w:val="en-US"/>
        </w:rPr>
      </w:pPr>
      <w:r w:rsidRPr="00D8141B">
        <w:rPr>
          <w:snapToGrid w:val="0"/>
          <w:lang w:val="en-US"/>
        </w:rPr>
        <w:t>Complex regional pain syndrome types 1 and 2 should be assessed using the method in the Guidelines, chapter 17.</w:t>
      </w:r>
    </w:p>
    <w:p w:rsidR="00BB678A" w:rsidRDefault="00BB678A" w:rsidP="00A51088">
      <w:pPr>
        <w:pStyle w:val="Heading1"/>
        <w:tabs>
          <w:tab w:val="clear" w:pos="567"/>
          <w:tab w:val="left" w:pos="709"/>
        </w:tabs>
        <w:ind w:hanging="720"/>
        <w:sectPr w:rsidR="00BB678A" w:rsidSect="00486E02">
          <w:footerReference w:type="first" r:id="rId23"/>
          <w:type w:val="continuous"/>
          <w:pgSz w:w="11906" w:h="16838" w:code="9"/>
          <w:pgMar w:top="1134" w:right="1134" w:bottom="1134" w:left="1134" w:header="0" w:footer="720" w:gutter="0"/>
          <w:cols w:space="720"/>
          <w:titlePg/>
        </w:sectPr>
      </w:pPr>
      <w:bookmarkStart w:id="17" w:name="_Toc144874614"/>
      <w:bookmarkStart w:id="18" w:name="_Toc422836859"/>
    </w:p>
    <w:p w:rsidR="00D8141B" w:rsidRPr="00D8141B" w:rsidRDefault="00D8141B" w:rsidP="00A51088">
      <w:pPr>
        <w:pStyle w:val="Heading1"/>
        <w:tabs>
          <w:tab w:val="clear" w:pos="567"/>
          <w:tab w:val="left" w:pos="709"/>
        </w:tabs>
        <w:ind w:hanging="720"/>
      </w:pPr>
      <w:bookmarkStart w:id="19" w:name="_Toc487809946"/>
      <w:r w:rsidRPr="00D8141B">
        <w:lastRenderedPageBreak/>
        <w:t>Lower extremity</w:t>
      </w:r>
      <w:bookmarkEnd w:id="17"/>
      <w:bookmarkEnd w:id="18"/>
      <w:bookmarkEnd w:id="19"/>
      <w:r w:rsidRPr="00D8141B">
        <w:t xml:space="preserve"> </w:t>
      </w:r>
    </w:p>
    <w:p w:rsidR="00D8141B" w:rsidRPr="00773899" w:rsidRDefault="00D8141B" w:rsidP="00A51088">
      <w:pPr>
        <w:pStyle w:val="BodyText3"/>
        <w:numPr>
          <w:ilvl w:val="0"/>
          <w:numId w:val="0"/>
        </w:numPr>
        <w:tabs>
          <w:tab w:val="clear" w:pos="709"/>
        </w:tabs>
        <w:rPr>
          <w:rFonts w:cs="Times New Roman"/>
          <w:b/>
        </w:rPr>
      </w:pPr>
      <w:bookmarkStart w:id="20" w:name="_Toc144874615"/>
      <w:bookmarkStart w:id="21" w:name="_Toc144875203"/>
      <w:r w:rsidRPr="00773899">
        <w:rPr>
          <w:b/>
        </w:rPr>
        <w:t>Chapter 17, AMA5 (page 523) applies to the assessment of permanent impairment of the lower extremities, subject to the modifications set out below</w:t>
      </w:r>
      <w:r w:rsidRPr="00773899">
        <w:rPr>
          <w:b/>
          <w:sz w:val="24"/>
        </w:rPr>
        <w:t>.</w:t>
      </w:r>
      <w:bookmarkEnd w:id="20"/>
      <w:bookmarkEnd w:id="21"/>
      <w:r w:rsidRPr="00773899">
        <w:rPr>
          <w:b/>
        </w:rPr>
        <w:t xml:space="preserve"> Before undertaking an impai</w:t>
      </w:r>
      <w:r w:rsidR="004A5BE6" w:rsidRPr="00773899">
        <w:rPr>
          <w:b/>
        </w:rPr>
        <w:t>rment assessment, users of the</w:t>
      </w:r>
      <w:r w:rsidRPr="00773899">
        <w:rPr>
          <w:b/>
        </w:rPr>
        <w:t xml:space="preserve"> Guidelines must be familiar with the</w:t>
      </w:r>
      <w:r w:rsidRPr="00773899">
        <w:rPr>
          <w:rFonts w:cs="Times New Roman"/>
          <w:b/>
        </w:rPr>
        <w:t xml:space="preserve"> following:</w:t>
      </w:r>
    </w:p>
    <w:p w:rsidR="00D8141B" w:rsidRPr="003F702E" w:rsidRDefault="004A5BE6" w:rsidP="00A51088">
      <w:pPr>
        <w:pStyle w:val="Bulletpoint"/>
        <w:tabs>
          <w:tab w:val="left" w:pos="1134"/>
        </w:tabs>
        <w:ind w:left="1134"/>
        <w:rPr>
          <w:rFonts w:eastAsia="Calibri"/>
          <w:lang w:val="en-US"/>
        </w:rPr>
      </w:pPr>
      <w:r>
        <w:rPr>
          <w:rFonts w:eastAsia="Calibri"/>
          <w:lang w:val="en-US"/>
        </w:rPr>
        <w:t>The Introduction in the</w:t>
      </w:r>
      <w:r w:rsidR="00D8141B" w:rsidRPr="003F702E">
        <w:rPr>
          <w:rFonts w:eastAsia="Calibri"/>
          <w:lang w:val="en-US"/>
        </w:rPr>
        <w:t xml:space="preserve"> Guidelines</w:t>
      </w:r>
    </w:p>
    <w:p w:rsidR="00D8141B" w:rsidRPr="003F702E" w:rsidRDefault="00D8141B" w:rsidP="00A51088">
      <w:pPr>
        <w:pStyle w:val="Bulletpoint"/>
        <w:tabs>
          <w:tab w:val="left" w:pos="1134"/>
        </w:tabs>
        <w:ind w:left="1134"/>
        <w:rPr>
          <w:rFonts w:eastAsia="Calibri"/>
          <w:lang w:val="en-US"/>
        </w:rPr>
      </w:pPr>
      <w:r w:rsidRPr="003F702E">
        <w:rPr>
          <w:rFonts w:eastAsia="Calibri"/>
          <w:lang w:val="en-US"/>
        </w:rPr>
        <w:t>Chapters 1 and 2 of AMA5</w:t>
      </w:r>
    </w:p>
    <w:p w:rsidR="00D8141B" w:rsidRPr="003F702E" w:rsidRDefault="00D8141B" w:rsidP="00A51088">
      <w:pPr>
        <w:pStyle w:val="Bulletpoint"/>
        <w:tabs>
          <w:tab w:val="left" w:pos="1134"/>
        </w:tabs>
        <w:ind w:left="1134"/>
        <w:rPr>
          <w:rFonts w:eastAsia="Calibri"/>
          <w:lang w:val="en-US"/>
        </w:rPr>
      </w:pPr>
      <w:r w:rsidRPr="003F702E">
        <w:rPr>
          <w:rFonts w:eastAsia="Calibri"/>
          <w:lang w:val="en-US"/>
        </w:rPr>
        <w:t>Th</w:t>
      </w:r>
      <w:r w:rsidR="004A5BE6">
        <w:rPr>
          <w:rFonts w:eastAsia="Calibri"/>
          <w:lang w:val="en-US"/>
        </w:rPr>
        <w:t>e appropriate chapter/s of the</w:t>
      </w:r>
      <w:r w:rsidRPr="003F702E">
        <w:rPr>
          <w:rFonts w:eastAsia="Calibri"/>
          <w:lang w:val="en-US"/>
        </w:rPr>
        <w:t xml:space="preserve"> Guidelines for the body system they are assessing.</w:t>
      </w:r>
    </w:p>
    <w:p w:rsidR="00D8141B" w:rsidRPr="003F702E" w:rsidRDefault="00D8141B" w:rsidP="00A51088">
      <w:pPr>
        <w:pStyle w:val="Bulletpoint"/>
        <w:tabs>
          <w:tab w:val="left" w:pos="1134"/>
        </w:tabs>
        <w:spacing w:after="240"/>
        <w:ind w:left="1134"/>
        <w:rPr>
          <w:rFonts w:eastAsia="Calibri"/>
          <w:lang w:val="en-US"/>
        </w:rPr>
      </w:pPr>
      <w:r w:rsidRPr="003F702E">
        <w:rPr>
          <w:rFonts w:eastAsia="Calibri"/>
          <w:lang w:val="en-US"/>
        </w:rPr>
        <w:t>The appropriate chapter/s of AMA5 for the body system they are assessing.</w:t>
      </w:r>
    </w:p>
    <w:p w:rsidR="00D8141B" w:rsidRPr="003F702E" w:rsidRDefault="004A5BE6" w:rsidP="00A51088">
      <w:pPr>
        <w:pStyle w:val="BodyText3"/>
        <w:numPr>
          <w:ilvl w:val="0"/>
          <w:numId w:val="0"/>
        </w:numPr>
        <w:rPr>
          <w:rFonts w:ascii="Calibri" w:eastAsia="Calibri" w:hAnsi="Calibri" w:cs="Calibri"/>
          <w:sz w:val="20"/>
        </w:rPr>
      </w:pPr>
      <w:r>
        <w:rPr>
          <w:rFonts w:eastAsia="Calibri"/>
        </w:rPr>
        <w:t>The</w:t>
      </w:r>
      <w:r w:rsidR="00D8141B" w:rsidRPr="003F702E">
        <w:rPr>
          <w:rFonts w:eastAsia="Calibri"/>
        </w:rPr>
        <w:t xml:space="preserve"> Guidelines take precedence over AMA5</w:t>
      </w:r>
      <w:r w:rsidR="00D8141B" w:rsidRPr="003F702E">
        <w:rPr>
          <w:rFonts w:ascii="Calibri" w:eastAsia="Calibri" w:hAnsi="Calibri" w:cs="Calibri"/>
          <w:sz w:val="20"/>
        </w:rPr>
        <w:t>.</w:t>
      </w:r>
    </w:p>
    <w:p w:rsidR="00D8141B" w:rsidRPr="00D8141B" w:rsidRDefault="00D8141B" w:rsidP="00A51088">
      <w:pPr>
        <w:pStyle w:val="Heading3"/>
      </w:pPr>
      <w:bookmarkStart w:id="22" w:name="_Toc144874616"/>
      <w:bookmarkStart w:id="23" w:name="_Toc144875204"/>
      <w:r w:rsidRPr="00D8141B">
        <w:t>Introduction</w:t>
      </w:r>
      <w:bookmarkEnd w:id="22"/>
      <w:bookmarkEnd w:id="23"/>
    </w:p>
    <w:p w:rsidR="00D8141B" w:rsidRPr="00D8141B" w:rsidRDefault="00D8141B" w:rsidP="00A51088">
      <w:pPr>
        <w:pStyle w:val="BodyText3"/>
      </w:pPr>
      <w:r w:rsidRPr="00D8141B">
        <w:t xml:space="preserve">The </w:t>
      </w:r>
      <w:r w:rsidRPr="00A51088">
        <w:t>lower</w:t>
      </w:r>
      <w:r w:rsidRPr="00D8141B">
        <w:t xml:space="preserve"> extremities are discussed in AMA5 chapter 17 (pp 523-564). This section is complex and provides a number of alternative methods of assessing permanent impairment involving the lower extremity. An organised approach is essential. </w:t>
      </w:r>
    </w:p>
    <w:p w:rsidR="00D8141B" w:rsidRPr="00D8141B" w:rsidRDefault="00D8141B" w:rsidP="00A51088">
      <w:pPr>
        <w:pStyle w:val="Heading3"/>
      </w:pPr>
      <w:bookmarkStart w:id="24" w:name="_Toc144874617"/>
      <w:bookmarkStart w:id="25" w:name="_Toc144875205"/>
      <w:r w:rsidRPr="00D8141B">
        <w:t>The approach to assessment of the lower extremity</w:t>
      </w:r>
      <w:bookmarkEnd w:id="24"/>
      <w:bookmarkEnd w:id="25"/>
    </w:p>
    <w:p w:rsidR="00D8141B" w:rsidRPr="00D8141B" w:rsidRDefault="00D8141B" w:rsidP="00A51088">
      <w:pPr>
        <w:pStyle w:val="BodyText3"/>
      </w:pPr>
      <w:r w:rsidRPr="00D8141B">
        <w:t xml:space="preserve">Assessment of the lower extremity involves physical evaluation, which can use a variety of methods. In general, the method should be used that most specifically addresses the impairment present. For example, impairment due to a peripheral nerve injury in the lower extremity should be assessed with reference to that nerve rather than by its effect on gait. </w:t>
      </w:r>
    </w:p>
    <w:p w:rsidR="00D8141B" w:rsidRPr="00D8141B" w:rsidRDefault="00D8141B" w:rsidP="00A51088">
      <w:pPr>
        <w:pStyle w:val="BodyText3"/>
        <w:rPr>
          <w:snapToGrid w:val="0"/>
        </w:rPr>
      </w:pPr>
      <w:r w:rsidRPr="00D8141B">
        <w:rPr>
          <w:snapToGrid w:val="0"/>
        </w:rPr>
        <w:tab/>
        <w:t>There are several different forms of evaluation that can be used, as indicated in</w:t>
      </w:r>
      <w:r w:rsidR="00BF1849">
        <w:rPr>
          <w:snapToGrid w:val="0"/>
        </w:rPr>
        <w:t xml:space="preserve"> AMA5 s</w:t>
      </w:r>
      <w:r w:rsidRPr="00D8141B">
        <w:rPr>
          <w:snapToGrid w:val="0"/>
        </w:rPr>
        <w:t xml:space="preserve">ections 17.2b to 17.2n (pp 528–554). </w:t>
      </w:r>
      <w:r w:rsidR="00C50086">
        <w:rPr>
          <w:snapToGrid w:val="0"/>
        </w:rPr>
        <w:t xml:space="preserve">AMA5 </w:t>
      </w:r>
      <w:r w:rsidRPr="00D8141B">
        <w:rPr>
          <w:snapToGrid w:val="0"/>
        </w:rPr>
        <w:t>Table 17</w:t>
      </w:r>
      <w:r w:rsidR="00C50086">
        <w:rPr>
          <w:snapToGrid w:val="0"/>
        </w:rPr>
        <w:t>-</w:t>
      </w:r>
      <w:r w:rsidRPr="00D8141B">
        <w:rPr>
          <w:snapToGrid w:val="0"/>
        </w:rPr>
        <w:t xml:space="preserve">2 (p 526) indicates which evaluation methods can be </w:t>
      </w:r>
      <w:r w:rsidRPr="00C50086">
        <w:rPr>
          <w:b/>
          <w:snapToGrid w:val="0"/>
        </w:rPr>
        <w:t>combined</w:t>
      </w:r>
      <w:r w:rsidRPr="00D8141B">
        <w:rPr>
          <w:snapToGrid w:val="0"/>
        </w:rPr>
        <w:t xml:space="preserve"> and which cannot. It may be possible to perform several different evaluations</w:t>
      </w:r>
      <w:r w:rsidR="00C50086">
        <w:rPr>
          <w:snapToGrid w:val="0"/>
        </w:rPr>
        <w:t>,</w:t>
      </w:r>
      <w:r w:rsidRPr="00D8141B">
        <w:rPr>
          <w:b/>
          <w:snapToGrid w:val="0"/>
        </w:rPr>
        <w:t xml:space="preserve"> </w:t>
      </w:r>
      <w:r w:rsidRPr="00D8141B">
        <w:rPr>
          <w:snapToGrid w:val="0"/>
        </w:rPr>
        <w:t>as long as they are reproducible and meet the conditions specified below and in AMA5. The most specific method of impairment assessment should be used. (Please note that in Table 17-2 the box</w:t>
      </w:r>
      <w:r w:rsidR="00C50086">
        <w:rPr>
          <w:snapToGrid w:val="0"/>
        </w:rPr>
        <w:t>es</w:t>
      </w:r>
      <w:r w:rsidRPr="00D8141B">
        <w:rPr>
          <w:snapToGrid w:val="0"/>
        </w:rPr>
        <w:t xml:space="preserve"> in the fourth row (</w:t>
      </w:r>
      <w:r w:rsidR="00C50086">
        <w:rPr>
          <w:snapToGrid w:val="0"/>
        </w:rPr>
        <w:t xml:space="preserve">on </w:t>
      </w:r>
      <w:r w:rsidRPr="00D8141B">
        <w:rPr>
          <w:snapToGrid w:val="0"/>
        </w:rPr>
        <w:t xml:space="preserve">muscle strength) and </w:t>
      </w:r>
      <w:r w:rsidR="00C50086">
        <w:rPr>
          <w:snapToGrid w:val="0"/>
        </w:rPr>
        <w:t>seventh</w:t>
      </w:r>
      <w:r w:rsidR="00C50086" w:rsidRPr="00D8141B">
        <w:rPr>
          <w:snapToGrid w:val="0"/>
        </w:rPr>
        <w:t xml:space="preserve"> </w:t>
      </w:r>
      <w:r w:rsidRPr="00D8141B">
        <w:rPr>
          <w:snapToGrid w:val="0"/>
        </w:rPr>
        <w:t>column (</w:t>
      </w:r>
      <w:r w:rsidR="00C50086">
        <w:rPr>
          <w:snapToGrid w:val="0"/>
        </w:rPr>
        <w:t xml:space="preserve">on </w:t>
      </w:r>
      <w:r w:rsidRPr="00D8141B">
        <w:rPr>
          <w:snapToGrid w:val="0"/>
        </w:rPr>
        <w:t xml:space="preserve">amputation) should be a closed box </w:t>
      </w:r>
      <w:r w:rsidRPr="00D8141B">
        <w:rPr>
          <w:snapToGrid w:val="0"/>
        </w:rPr>
        <w:sym w:font="Wingdings" w:char="F078"/>
      </w:r>
      <w:r w:rsidRPr="00D8141B">
        <w:rPr>
          <w:snapToGrid w:val="0"/>
        </w:rPr>
        <w:t xml:space="preserve"> rather than an open box </w:t>
      </w:r>
      <w:r w:rsidRPr="00D8141B">
        <w:rPr>
          <w:snapToGrid w:val="0"/>
        </w:rPr>
        <w:sym w:font="Wingdings" w:char="F0A8"/>
      </w:r>
      <w:r w:rsidRPr="00D8141B">
        <w:rPr>
          <w:snapToGrid w:val="0"/>
        </w:rPr>
        <w:t>).</w:t>
      </w:r>
    </w:p>
    <w:p w:rsidR="00D8141B" w:rsidRPr="00D8141B" w:rsidRDefault="00D8141B" w:rsidP="00A51088">
      <w:pPr>
        <w:pStyle w:val="BodyText3"/>
      </w:pPr>
      <w:r w:rsidRPr="00D8141B">
        <w:rPr>
          <w:snapToGrid w:val="0"/>
        </w:rPr>
        <w:tab/>
        <w:t xml:space="preserve">It is possible to use an algorithm to aid in the assessment of lower extremity impairment. Use of a worksheet is essential. </w:t>
      </w:r>
      <w:r w:rsidR="007B23EF">
        <w:rPr>
          <w:snapToGrid w:val="0"/>
          <w:u w:val="single"/>
        </w:rPr>
        <w:t>Table 3.5</w:t>
      </w:r>
      <w:r w:rsidRPr="00D8141B">
        <w:rPr>
          <w:snapToGrid w:val="0"/>
        </w:rPr>
        <w:t xml:space="preserve"> at the end of this chapter of the Guidelines is such a worksheet and may be used in assessment of permanent impairment of the lower extremity.</w:t>
      </w:r>
    </w:p>
    <w:p w:rsidR="00D8141B" w:rsidRPr="00D8141B" w:rsidRDefault="00D8141B" w:rsidP="00A51088">
      <w:pPr>
        <w:pStyle w:val="BodyText3"/>
      </w:pPr>
      <w:r w:rsidRPr="00D8141B">
        <w:tab/>
        <w:t>In the assessment process, the evaluation giving the highest impairment rating is selected. That may be a combined impairment in some cases, in accordance with the Guide to the appropriate combination of evaluation methods table (table 17-2, p 526 AMA5), using the combined values chart (pp 604-606 AMA5).</w:t>
      </w:r>
    </w:p>
    <w:p w:rsidR="00D8141B" w:rsidRPr="00D8141B" w:rsidRDefault="00D8141B" w:rsidP="00A51088">
      <w:pPr>
        <w:pStyle w:val="BodyText3"/>
        <w:rPr>
          <w:snapToGrid w:val="0"/>
        </w:rPr>
      </w:pPr>
      <w:r w:rsidRPr="00D8141B">
        <w:rPr>
          <w:snapToGrid w:val="0"/>
        </w:rPr>
        <w:tab/>
        <w:t>When the combined values chart is used, the assessor must ensure that all values combined are in the same category of impairment rating (ie percentage of WPI, lower extremity impairment percentage, foot impairment percentage, and so on). Regional impairments of the same limb (eg several lower extremity impairments) should be combined before converting to percentage WPI.</w:t>
      </w:r>
    </w:p>
    <w:p w:rsidR="00D8141B" w:rsidRPr="00D8141B" w:rsidRDefault="00D8141B" w:rsidP="00A51088">
      <w:pPr>
        <w:pStyle w:val="BodyText3"/>
        <w:rPr>
          <w:snapToGrid w:val="0"/>
        </w:rPr>
      </w:pPr>
      <w:r w:rsidRPr="00D8141B">
        <w:rPr>
          <w:snapToGrid w:val="0"/>
        </w:rPr>
        <w:tab/>
        <w:t>Table 17-2 (p 526 AMA5) needs to be referred to frequently to determine which impairments can be combined and which cannot. The assessed impairment of a part or region can never exceed the impairment due to amputation of that part or region. For the lower limb, therefore, the maximum evaluation is 40 per cent WPI, the value for proximal above knee amputation.</w:t>
      </w:r>
    </w:p>
    <w:p w:rsidR="00D8141B" w:rsidRPr="00D8141B" w:rsidRDefault="00D8141B" w:rsidP="00A51088">
      <w:pPr>
        <w:pStyle w:val="Heading2"/>
      </w:pPr>
      <w:bookmarkStart w:id="26" w:name="_Toc144874618"/>
      <w:bookmarkStart w:id="27" w:name="_Toc144875206"/>
      <w:r w:rsidRPr="00D8141B">
        <w:lastRenderedPageBreak/>
        <w:t>Specific interpretation of AMA5 — the lower extremity</w:t>
      </w:r>
      <w:bookmarkEnd w:id="26"/>
      <w:bookmarkEnd w:id="27"/>
    </w:p>
    <w:p w:rsidR="00D8141B" w:rsidRPr="00D8141B" w:rsidRDefault="00D8141B" w:rsidP="00A51088">
      <w:pPr>
        <w:pStyle w:val="Heading3"/>
      </w:pPr>
      <w:bookmarkStart w:id="28" w:name="_Toc144874619"/>
      <w:bookmarkStart w:id="29" w:name="_Toc144875207"/>
      <w:r w:rsidRPr="00D8141B">
        <w:t>Leg length discrepancy</w:t>
      </w:r>
      <w:bookmarkEnd w:id="28"/>
      <w:bookmarkEnd w:id="29"/>
      <w:r w:rsidRPr="00D8141B">
        <w:t xml:space="preserve"> </w:t>
      </w:r>
    </w:p>
    <w:p w:rsidR="00D8141B" w:rsidRPr="00D8141B" w:rsidRDefault="00D8141B" w:rsidP="00A51088">
      <w:pPr>
        <w:pStyle w:val="BodyText3"/>
      </w:pPr>
      <w:r w:rsidRPr="00D8141B">
        <w:t>When true leg length discrepancy is determined clinically (AMA5 section 17.2b, p 528), the method used must be indicated (e</w:t>
      </w:r>
      <w:r w:rsidR="0031302D">
        <w:t>.</w:t>
      </w:r>
      <w:r w:rsidRPr="00D8141B">
        <w:t>g</w:t>
      </w:r>
      <w:r w:rsidR="0031302D">
        <w:t>.</w:t>
      </w:r>
      <w:r w:rsidRPr="00D8141B">
        <w:t xml:space="preserve"> tape measure from anterior superior iliac spine to the medial malleolus). Clinical assessment of leg length discrepancy is an acceptable method but if full length computerised tomography films are available they should be used in preference. Such an examination should not be ordered solely for determining leg lengths.</w:t>
      </w:r>
    </w:p>
    <w:p w:rsidR="00D8141B" w:rsidRPr="00D8141B" w:rsidRDefault="00D8141B" w:rsidP="00A51088">
      <w:pPr>
        <w:pStyle w:val="BodyText3"/>
      </w:pPr>
      <w:r w:rsidRPr="00D8141B">
        <w:tab/>
        <w:t xml:space="preserve">When applying table 17–4 (p 528, AMA5), the element of choice should be removed and impairments for leg length discrepancy should be read as the higher figure of the range quoted. </w:t>
      </w:r>
    </w:p>
    <w:p w:rsidR="00D8141B" w:rsidRPr="00A51088" w:rsidRDefault="00D8141B" w:rsidP="00A51088">
      <w:pPr>
        <w:pStyle w:val="BodyText3"/>
        <w:numPr>
          <w:ilvl w:val="0"/>
          <w:numId w:val="0"/>
        </w:numPr>
        <w:ind w:left="709"/>
      </w:pPr>
      <w:r w:rsidRPr="00D8141B">
        <w:t>Note that the figures for lower limb impairment in table 17-4 (p 528, AMA5) are incorrect and the correct figures are shown below.</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5"/>
        <w:gridCol w:w="4045"/>
        <w:gridCol w:w="273"/>
      </w:tblGrid>
      <w:tr w:rsidR="00D8141B" w:rsidRPr="00A51088" w:rsidTr="008148CB">
        <w:trPr>
          <w:gridAfter w:val="1"/>
          <w:wAfter w:w="273" w:type="dxa"/>
          <w:cantSplit/>
        </w:trPr>
        <w:tc>
          <w:tcPr>
            <w:tcW w:w="8090" w:type="dxa"/>
            <w:gridSpan w:val="2"/>
            <w:tcBorders>
              <w:top w:val="nil"/>
              <w:left w:val="nil"/>
              <w:bottom w:val="single" w:sz="4" w:space="0" w:color="auto"/>
              <w:right w:val="nil"/>
            </w:tcBorders>
          </w:tcPr>
          <w:p w:rsidR="00D8141B" w:rsidRPr="00A51088" w:rsidRDefault="00D8141B" w:rsidP="00A51088">
            <w:pPr>
              <w:spacing w:before="120" w:after="120" w:line="240" w:lineRule="auto"/>
              <w:jc w:val="center"/>
              <w:rPr>
                <w:rFonts w:eastAsia="Times New Roman" w:cs="Times New Roman"/>
                <w:b/>
                <w:sz w:val="24"/>
                <w:szCs w:val="24"/>
                <w:lang w:val="en-US"/>
              </w:rPr>
            </w:pPr>
            <w:r w:rsidRPr="00A51088">
              <w:rPr>
                <w:rFonts w:eastAsia="Times New Roman" w:cs="Times New Roman"/>
                <w:b/>
                <w:sz w:val="24"/>
                <w:szCs w:val="24"/>
                <w:lang w:val="en-US"/>
              </w:rPr>
              <w:t>Table 17-4 Impairment Due to Limb Length Discrepancy</w:t>
            </w:r>
          </w:p>
        </w:tc>
      </w:tr>
      <w:tr w:rsidR="00D8141B" w:rsidRPr="00D8141B" w:rsidTr="008148CB">
        <w:tc>
          <w:tcPr>
            <w:tcW w:w="4045" w:type="dxa"/>
            <w:shd w:val="pct10" w:color="auto" w:fill="auto"/>
          </w:tcPr>
          <w:p w:rsidR="00D8141B" w:rsidRPr="00D8141B" w:rsidRDefault="00D8141B" w:rsidP="00A51088">
            <w:pPr>
              <w:spacing w:before="40" w:after="40" w:line="240" w:lineRule="auto"/>
              <w:jc w:val="center"/>
              <w:rPr>
                <w:rFonts w:eastAsia="Times New Roman" w:cs="Times New Roman"/>
                <w:b/>
                <w:lang w:val="en-US"/>
              </w:rPr>
            </w:pPr>
            <w:r w:rsidRPr="00D8141B">
              <w:rPr>
                <w:rFonts w:eastAsia="Times New Roman" w:cs="Times New Roman"/>
                <w:b/>
                <w:lang w:val="en-US"/>
              </w:rPr>
              <w:t>Discrepancy (cm)</w:t>
            </w:r>
          </w:p>
        </w:tc>
        <w:tc>
          <w:tcPr>
            <w:tcW w:w="4318" w:type="dxa"/>
            <w:gridSpan w:val="2"/>
            <w:shd w:val="pct10" w:color="auto" w:fill="auto"/>
          </w:tcPr>
          <w:p w:rsidR="00D8141B" w:rsidRPr="00D8141B" w:rsidRDefault="00D8141B" w:rsidP="00A51088">
            <w:pPr>
              <w:spacing w:before="40" w:after="40" w:line="240" w:lineRule="auto"/>
              <w:jc w:val="center"/>
              <w:rPr>
                <w:rFonts w:eastAsia="Times New Roman" w:cs="Times New Roman"/>
                <w:b/>
                <w:lang w:val="en-US"/>
              </w:rPr>
            </w:pPr>
            <w:r w:rsidRPr="00D8141B">
              <w:rPr>
                <w:rFonts w:eastAsia="Times New Roman" w:cs="Times New Roman"/>
                <w:b/>
                <w:lang w:val="en-US"/>
              </w:rPr>
              <w:t>Whole person (Lower Extremity) impairment (%)</w:t>
            </w:r>
          </w:p>
        </w:tc>
      </w:tr>
      <w:tr w:rsidR="00D8141B" w:rsidRPr="00A51088" w:rsidTr="008148CB">
        <w:tc>
          <w:tcPr>
            <w:tcW w:w="4045" w:type="dxa"/>
          </w:tcPr>
          <w:p w:rsidR="00D8141B" w:rsidRPr="00535AFE" w:rsidRDefault="00D8141B" w:rsidP="008148CB">
            <w:pPr>
              <w:spacing w:before="20" w:after="20" w:line="240" w:lineRule="auto"/>
              <w:jc w:val="center"/>
              <w:rPr>
                <w:rFonts w:eastAsia="Times New Roman" w:cs="Times New Roman"/>
                <w:sz w:val="20"/>
                <w:szCs w:val="20"/>
                <w:lang w:val="en-US"/>
              </w:rPr>
            </w:pPr>
            <w:r w:rsidRPr="00535AFE">
              <w:rPr>
                <w:rFonts w:eastAsia="Times New Roman" w:cs="Times New Roman"/>
                <w:sz w:val="20"/>
                <w:szCs w:val="20"/>
                <w:lang w:val="en-US"/>
              </w:rPr>
              <w:t>0 - 1.9</w:t>
            </w:r>
          </w:p>
        </w:tc>
        <w:tc>
          <w:tcPr>
            <w:tcW w:w="4318" w:type="dxa"/>
            <w:gridSpan w:val="2"/>
          </w:tcPr>
          <w:p w:rsidR="00D8141B" w:rsidRPr="00535AFE" w:rsidRDefault="00D8141B" w:rsidP="008148CB">
            <w:pPr>
              <w:spacing w:before="20" w:after="20" w:line="240" w:lineRule="auto"/>
              <w:jc w:val="center"/>
              <w:rPr>
                <w:rFonts w:eastAsia="Times New Roman" w:cs="Times New Roman"/>
                <w:sz w:val="20"/>
                <w:szCs w:val="20"/>
                <w:lang w:val="en-US"/>
              </w:rPr>
            </w:pPr>
            <w:r w:rsidRPr="00535AFE">
              <w:rPr>
                <w:rFonts w:eastAsia="Times New Roman" w:cs="Times New Roman"/>
                <w:sz w:val="20"/>
                <w:szCs w:val="20"/>
                <w:lang w:val="en-US"/>
              </w:rPr>
              <w:t>0</w:t>
            </w:r>
          </w:p>
        </w:tc>
      </w:tr>
      <w:tr w:rsidR="00D8141B" w:rsidRPr="00A51088" w:rsidTr="008148CB">
        <w:tc>
          <w:tcPr>
            <w:tcW w:w="4045" w:type="dxa"/>
          </w:tcPr>
          <w:p w:rsidR="00D8141B" w:rsidRPr="00535AFE" w:rsidRDefault="00D8141B" w:rsidP="008148CB">
            <w:pPr>
              <w:spacing w:before="20" w:after="20" w:line="240" w:lineRule="auto"/>
              <w:jc w:val="center"/>
              <w:rPr>
                <w:rFonts w:eastAsia="Times New Roman" w:cs="Times New Roman"/>
                <w:sz w:val="20"/>
                <w:szCs w:val="20"/>
                <w:lang w:val="en-US"/>
              </w:rPr>
            </w:pPr>
            <w:r w:rsidRPr="00535AFE">
              <w:rPr>
                <w:rFonts w:eastAsia="Times New Roman" w:cs="Times New Roman"/>
                <w:sz w:val="20"/>
                <w:szCs w:val="20"/>
                <w:lang w:val="en-US"/>
              </w:rPr>
              <w:t>2 - 2.9</w:t>
            </w:r>
          </w:p>
        </w:tc>
        <w:tc>
          <w:tcPr>
            <w:tcW w:w="4318" w:type="dxa"/>
            <w:gridSpan w:val="2"/>
          </w:tcPr>
          <w:p w:rsidR="00D8141B" w:rsidRPr="00535AFE" w:rsidRDefault="00D8141B" w:rsidP="008148CB">
            <w:pPr>
              <w:spacing w:before="20" w:after="20" w:line="240" w:lineRule="auto"/>
              <w:jc w:val="center"/>
              <w:rPr>
                <w:rFonts w:eastAsia="Times New Roman" w:cs="Times New Roman"/>
                <w:sz w:val="20"/>
                <w:szCs w:val="20"/>
                <w:lang w:val="en-US"/>
              </w:rPr>
            </w:pPr>
            <w:r w:rsidRPr="00535AFE">
              <w:rPr>
                <w:rFonts w:eastAsia="Times New Roman" w:cs="Times New Roman"/>
                <w:sz w:val="20"/>
                <w:szCs w:val="20"/>
                <w:lang w:val="en-US"/>
              </w:rPr>
              <w:t>3 (8)</w:t>
            </w:r>
          </w:p>
        </w:tc>
      </w:tr>
      <w:tr w:rsidR="00D8141B" w:rsidRPr="00A51088" w:rsidTr="008148CB">
        <w:tc>
          <w:tcPr>
            <w:tcW w:w="4045" w:type="dxa"/>
          </w:tcPr>
          <w:p w:rsidR="00D8141B" w:rsidRPr="00535AFE" w:rsidRDefault="00D8141B" w:rsidP="008148CB">
            <w:pPr>
              <w:spacing w:before="20" w:after="20" w:line="240" w:lineRule="auto"/>
              <w:jc w:val="center"/>
              <w:rPr>
                <w:rFonts w:eastAsia="Times New Roman" w:cs="Times New Roman"/>
                <w:sz w:val="20"/>
                <w:szCs w:val="20"/>
                <w:lang w:val="en-US"/>
              </w:rPr>
            </w:pPr>
            <w:r w:rsidRPr="00535AFE">
              <w:rPr>
                <w:rFonts w:eastAsia="Times New Roman" w:cs="Times New Roman"/>
                <w:sz w:val="20"/>
                <w:szCs w:val="20"/>
                <w:lang w:val="en-US"/>
              </w:rPr>
              <w:t>3 - 3.9</w:t>
            </w:r>
          </w:p>
        </w:tc>
        <w:tc>
          <w:tcPr>
            <w:tcW w:w="4318" w:type="dxa"/>
            <w:gridSpan w:val="2"/>
          </w:tcPr>
          <w:p w:rsidR="00D8141B" w:rsidRPr="00535AFE" w:rsidRDefault="00D8141B" w:rsidP="008148CB">
            <w:pPr>
              <w:spacing w:before="20" w:after="20" w:line="240" w:lineRule="auto"/>
              <w:jc w:val="center"/>
              <w:rPr>
                <w:rFonts w:eastAsia="Times New Roman" w:cs="Times New Roman"/>
                <w:sz w:val="20"/>
                <w:szCs w:val="20"/>
                <w:lang w:val="en-US"/>
              </w:rPr>
            </w:pPr>
            <w:r w:rsidRPr="00535AFE">
              <w:rPr>
                <w:rFonts w:eastAsia="Times New Roman" w:cs="Times New Roman"/>
                <w:sz w:val="20"/>
                <w:szCs w:val="20"/>
                <w:lang w:val="en-US"/>
              </w:rPr>
              <w:t>5 (13)</w:t>
            </w:r>
          </w:p>
        </w:tc>
      </w:tr>
      <w:tr w:rsidR="00D8141B" w:rsidRPr="00A51088" w:rsidTr="008148CB">
        <w:tc>
          <w:tcPr>
            <w:tcW w:w="4045" w:type="dxa"/>
          </w:tcPr>
          <w:p w:rsidR="00D8141B" w:rsidRPr="00535AFE" w:rsidRDefault="00D8141B" w:rsidP="008148CB">
            <w:pPr>
              <w:spacing w:before="20" w:after="20" w:line="240" w:lineRule="auto"/>
              <w:jc w:val="center"/>
              <w:rPr>
                <w:rFonts w:eastAsia="Times New Roman" w:cs="Times New Roman"/>
                <w:sz w:val="20"/>
                <w:szCs w:val="20"/>
                <w:lang w:val="en-US"/>
              </w:rPr>
            </w:pPr>
            <w:r w:rsidRPr="00535AFE">
              <w:rPr>
                <w:rFonts w:eastAsia="Times New Roman" w:cs="Times New Roman"/>
                <w:sz w:val="20"/>
                <w:szCs w:val="20"/>
                <w:lang w:val="en-US"/>
              </w:rPr>
              <w:t>4 - 4.9</w:t>
            </w:r>
          </w:p>
        </w:tc>
        <w:tc>
          <w:tcPr>
            <w:tcW w:w="4318" w:type="dxa"/>
            <w:gridSpan w:val="2"/>
          </w:tcPr>
          <w:p w:rsidR="00D8141B" w:rsidRPr="00535AFE" w:rsidRDefault="00D8141B" w:rsidP="008148CB">
            <w:pPr>
              <w:spacing w:before="20" w:after="20" w:line="240" w:lineRule="auto"/>
              <w:jc w:val="center"/>
              <w:rPr>
                <w:rFonts w:eastAsia="Times New Roman" w:cs="Times New Roman"/>
                <w:sz w:val="20"/>
                <w:szCs w:val="20"/>
                <w:lang w:val="en-US"/>
              </w:rPr>
            </w:pPr>
            <w:r w:rsidRPr="00535AFE">
              <w:rPr>
                <w:rFonts w:eastAsia="Times New Roman" w:cs="Times New Roman"/>
                <w:sz w:val="20"/>
                <w:szCs w:val="20"/>
                <w:lang w:val="en-US"/>
              </w:rPr>
              <w:t>7 (18)</w:t>
            </w:r>
          </w:p>
        </w:tc>
      </w:tr>
      <w:tr w:rsidR="00D8141B" w:rsidRPr="00A51088" w:rsidTr="008148CB">
        <w:tc>
          <w:tcPr>
            <w:tcW w:w="4045" w:type="dxa"/>
          </w:tcPr>
          <w:p w:rsidR="00D8141B" w:rsidRPr="00535AFE" w:rsidRDefault="00D8141B" w:rsidP="008148CB">
            <w:pPr>
              <w:spacing w:before="20" w:after="20" w:line="240" w:lineRule="auto"/>
              <w:jc w:val="center"/>
              <w:rPr>
                <w:rFonts w:eastAsia="Times New Roman" w:cs="Times New Roman"/>
                <w:sz w:val="20"/>
                <w:szCs w:val="20"/>
                <w:lang w:val="en-US"/>
              </w:rPr>
            </w:pPr>
            <w:r w:rsidRPr="00535AFE">
              <w:rPr>
                <w:rFonts w:eastAsia="Times New Roman" w:cs="Times New Roman"/>
                <w:sz w:val="20"/>
                <w:szCs w:val="20"/>
                <w:lang w:val="en-US"/>
              </w:rPr>
              <w:t>5+</w:t>
            </w:r>
          </w:p>
        </w:tc>
        <w:tc>
          <w:tcPr>
            <w:tcW w:w="4318" w:type="dxa"/>
            <w:gridSpan w:val="2"/>
          </w:tcPr>
          <w:p w:rsidR="00D8141B" w:rsidRPr="00535AFE" w:rsidRDefault="00D8141B" w:rsidP="008148CB">
            <w:pPr>
              <w:spacing w:before="20" w:after="20" w:line="240" w:lineRule="auto"/>
              <w:jc w:val="center"/>
              <w:rPr>
                <w:rFonts w:eastAsia="Times New Roman" w:cs="Times New Roman"/>
                <w:sz w:val="20"/>
                <w:szCs w:val="20"/>
                <w:lang w:val="en-US"/>
              </w:rPr>
            </w:pPr>
            <w:r w:rsidRPr="00535AFE">
              <w:rPr>
                <w:rFonts w:eastAsia="Times New Roman" w:cs="Times New Roman"/>
                <w:sz w:val="20"/>
                <w:szCs w:val="20"/>
                <w:lang w:val="en-US"/>
              </w:rPr>
              <w:t>8 (19)</w:t>
            </w:r>
          </w:p>
        </w:tc>
      </w:tr>
    </w:tbl>
    <w:p w:rsidR="00D8141B" w:rsidRPr="00D8141B" w:rsidRDefault="00D8141B" w:rsidP="00A51088">
      <w:pPr>
        <w:pStyle w:val="Heading3"/>
        <w:spacing w:before="360"/>
        <w:rPr>
          <w:snapToGrid w:val="0"/>
        </w:rPr>
      </w:pPr>
      <w:bookmarkStart w:id="30" w:name="_Toc144874620"/>
      <w:bookmarkStart w:id="31" w:name="_Toc144875208"/>
      <w:r w:rsidRPr="00D8141B">
        <w:rPr>
          <w:snapToGrid w:val="0"/>
        </w:rPr>
        <w:t>Gait derangement</w:t>
      </w:r>
      <w:bookmarkEnd w:id="30"/>
      <w:bookmarkEnd w:id="31"/>
      <w:r w:rsidRPr="00D8141B">
        <w:rPr>
          <w:snapToGrid w:val="0"/>
        </w:rPr>
        <w:t xml:space="preserve"> </w:t>
      </w:r>
    </w:p>
    <w:p w:rsidR="00D8141B" w:rsidRPr="00D8141B" w:rsidRDefault="00D8141B" w:rsidP="00A51088">
      <w:pPr>
        <w:pStyle w:val="BodyText3"/>
      </w:pPr>
      <w:r w:rsidRPr="00D8141B">
        <w:t>Assessment of gait derangement is only to be used as a method of last resort. Methods of impairment assessment most fitting the nature of the disorder should always be used in preference. If gait derangement (AMA5 section 17.2c, p 529) is used, it cannot be combined with any other evaluation in the lower extremity section of AMA5.</w:t>
      </w:r>
    </w:p>
    <w:p w:rsidR="00D8141B" w:rsidRPr="00D8141B" w:rsidRDefault="00D8141B" w:rsidP="006B656F">
      <w:pPr>
        <w:pStyle w:val="BodyText3"/>
      </w:pPr>
      <w:r w:rsidRPr="00D8141B">
        <w:t>Any walking aid used by the subject must be a permanent requirement and not temporary.</w:t>
      </w:r>
    </w:p>
    <w:p w:rsidR="00D8141B" w:rsidRPr="00D8141B" w:rsidRDefault="00D8141B" w:rsidP="006B656F">
      <w:pPr>
        <w:pStyle w:val="BodyText3"/>
      </w:pPr>
      <w:r w:rsidRPr="00D8141B">
        <w:t>In the application of table 17-5 (p 529 AMA5), delete item b, as the Trendelenburg sign is not sufficiently reliable.</w:t>
      </w:r>
    </w:p>
    <w:p w:rsidR="00D8141B" w:rsidRPr="00D8141B" w:rsidRDefault="00D8141B" w:rsidP="006B656F">
      <w:pPr>
        <w:pStyle w:val="Heading3"/>
        <w:keepNext w:val="0"/>
        <w:rPr>
          <w:snapToGrid w:val="0"/>
        </w:rPr>
      </w:pPr>
      <w:bookmarkStart w:id="32" w:name="_Toc144874621"/>
      <w:bookmarkStart w:id="33" w:name="_Toc144875209"/>
      <w:r w:rsidRPr="00D8141B">
        <w:rPr>
          <w:snapToGrid w:val="0"/>
        </w:rPr>
        <w:t>Muscle atrophy (unilateral)</w:t>
      </w:r>
      <w:bookmarkEnd w:id="32"/>
      <w:bookmarkEnd w:id="33"/>
      <w:r w:rsidRPr="00D8141B">
        <w:rPr>
          <w:snapToGrid w:val="0"/>
        </w:rPr>
        <w:t xml:space="preserve"> </w:t>
      </w:r>
    </w:p>
    <w:p w:rsidR="00D8141B" w:rsidRPr="00D8141B" w:rsidRDefault="00D8141B" w:rsidP="006B656F">
      <w:pPr>
        <w:pStyle w:val="BodyText3"/>
      </w:pPr>
      <w:r w:rsidRPr="00D8141B">
        <w:t>This section (AMA5 section 17.2d, p 530) is not applicable if the limb other than that being assessed is abnormal (eg if varicose veins cause swelling, or if there is another injury or condition which has contributed to the disparity in size).</w:t>
      </w:r>
    </w:p>
    <w:p w:rsidR="00D8141B" w:rsidRPr="00D8141B" w:rsidRDefault="00D8141B" w:rsidP="006B656F">
      <w:pPr>
        <w:pStyle w:val="BodyText3"/>
      </w:pPr>
      <w:r w:rsidRPr="00D8141B">
        <w:t xml:space="preserve">In the use of table 17-6 (p 530 AMA5) the element of choice has been removed in the impairment rating and only the higher figure used. </w:t>
      </w:r>
    </w:p>
    <w:p w:rsidR="00D8141B" w:rsidRPr="00D8141B" w:rsidRDefault="00D8141B" w:rsidP="006B656F">
      <w:pPr>
        <w:pStyle w:val="BodyText3"/>
        <w:numPr>
          <w:ilvl w:val="0"/>
          <w:numId w:val="0"/>
        </w:numPr>
        <w:ind w:left="709"/>
      </w:pPr>
      <w:r w:rsidRPr="00D8141B">
        <w:t>Note that the figures for lower limb impairment in table 17-6 (p 530 AMA5) are incorrect and the correct figures are shown below.</w:t>
      </w:r>
    </w:p>
    <w:tbl>
      <w:tblPr>
        <w:tblW w:w="895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2410"/>
        <w:gridCol w:w="3827"/>
      </w:tblGrid>
      <w:tr w:rsidR="00D8141B" w:rsidRPr="006B656F" w:rsidTr="00286F9C">
        <w:trPr>
          <w:cantSplit/>
        </w:trPr>
        <w:tc>
          <w:tcPr>
            <w:tcW w:w="8953" w:type="dxa"/>
            <w:gridSpan w:val="3"/>
            <w:tcBorders>
              <w:top w:val="nil"/>
              <w:left w:val="nil"/>
              <w:bottom w:val="single" w:sz="4" w:space="0" w:color="auto"/>
              <w:right w:val="nil"/>
            </w:tcBorders>
          </w:tcPr>
          <w:p w:rsidR="00D8141B" w:rsidRPr="006B656F" w:rsidRDefault="00D8141B" w:rsidP="006B656F">
            <w:pPr>
              <w:keepNext/>
              <w:keepLines/>
              <w:spacing w:before="120" w:after="120" w:line="240" w:lineRule="auto"/>
              <w:jc w:val="center"/>
              <w:rPr>
                <w:rFonts w:eastAsia="Times New Roman" w:cs="Times New Roman"/>
                <w:b/>
                <w:sz w:val="24"/>
                <w:szCs w:val="24"/>
                <w:lang w:val="en-US"/>
              </w:rPr>
            </w:pPr>
            <w:r w:rsidRPr="006B656F">
              <w:rPr>
                <w:rFonts w:eastAsia="Times New Roman" w:cs="Times New Roman"/>
                <w:b/>
                <w:sz w:val="24"/>
                <w:szCs w:val="24"/>
                <w:lang w:val="en-US"/>
              </w:rPr>
              <w:lastRenderedPageBreak/>
              <w:t>Table 17-6 Impairment Due to Unilateral Leg Muscle Atrophy</w:t>
            </w:r>
          </w:p>
        </w:tc>
      </w:tr>
      <w:tr w:rsidR="00D8141B" w:rsidRPr="006B656F" w:rsidTr="00286F9C">
        <w:tc>
          <w:tcPr>
            <w:tcW w:w="2716" w:type="dxa"/>
            <w:shd w:val="pct10" w:color="auto" w:fill="auto"/>
          </w:tcPr>
          <w:p w:rsidR="00D8141B" w:rsidRPr="006B656F" w:rsidRDefault="00D8141B" w:rsidP="006B656F">
            <w:pPr>
              <w:keepNext/>
              <w:keepLines/>
              <w:spacing w:before="40" w:after="40" w:line="240" w:lineRule="auto"/>
              <w:jc w:val="center"/>
              <w:rPr>
                <w:rFonts w:eastAsia="Times New Roman" w:cs="Times New Roman"/>
                <w:b/>
                <w:lang w:val="en-US"/>
              </w:rPr>
            </w:pPr>
            <w:r w:rsidRPr="006B656F">
              <w:rPr>
                <w:rFonts w:eastAsia="Times New Roman" w:cs="Times New Roman"/>
                <w:b/>
                <w:lang w:val="en-US"/>
              </w:rPr>
              <w:t>Difference in circumference (cm)</w:t>
            </w:r>
          </w:p>
        </w:tc>
        <w:tc>
          <w:tcPr>
            <w:tcW w:w="2410" w:type="dxa"/>
            <w:shd w:val="pct10" w:color="auto" w:fill="auto"/>
          </w:tcPr>
          <w:p w:rsidR="00D8141B" w:rsidRPr="006B656F" w:rsidRDefault="00D8141B" w:rsidP="006B656F">
            <w:pPr>
              <w:keepNext/>
              <w:keepLines/>
              <w:spacing w:before="40" w:after="40" w:line="240" w:lineRule="auto"/>
              <w:jc w:val="center"/>
              <w:rPr>
                <w:rFonts w:eastAsia="Times New Roman" w:cs="Times New Roman"/>
                <w:b/>
                <w:lang w:val="en-US"/>
              </w:rPr>
            </w:pPr>
            <w:r w:rsidRPr="006B656F">
              <w:rPr>
                <w:rFonts w:eastAsia="Times New Roman" w:cs="Times New Roman"/>
                <w:b/>
                <w:lang w:val="en-US"/>
              </w:rPr>
              <w:t>Impairment degree</w:t>
            </w:r>
          </w:p>
        </w:tc>
        <w:tc>
          <w:tcPr>
            <w:tcW w:w="3827" w:type="dxa"/>
            <w:shd w:val="pct10" w:color="auto" w:fill="auto"/>
          </w:tcPr>
          <w:p w:rsidR="00D8141B" w:rsidRPr="006B656F" w:rsidRDefault="00D8141B" w:rsidP="006B656F">
            <w:pPr>
              <w:keepNext/>
              <w:keepLines/>
              <w:spacing w:before="40" w:after="40" w:line="240" w:lineRule="auto"/>
              <w:jc w:val="center"/>
              <w:rPr>
                <w:rFonts w:eastAsia="Times New Roman" w:cs="Times New Roman"/>
                <w:b/>
                <w:lang w:val="en-US"/>
              </w:rPr>
            </w:pPr>
            <w:r w:rsidRPr="006B656F">
              <w:rPr>
                <w:rFonts w:eastAsia="Times New Roman" w:cs="Times New Roman"/>
                <w:b/>
                <w:lang w:val="en-US"/>
              </w:rPr>
              <w:t xml:space="preserve">Whole person </w:t>
            </w:r>
          </w:p>
          <w:p w:rsidR="00D8141B" w:rsidRPr="006B656F" w:rsidRDefault="00D8141B" w:rsidP="006B656F">
            <w:pPr>
              <w:keepNext/>
              <w:keepLines/>
              <w:spacing w:before="40" w:after="40" w:line="240" w:lineRule="auto"/>
              <w:jc w:val="center"/>
              <w:rPr>
                <w:rFonts w:eastAsia="Times New Roman" w:cs="Times New Roman"/>
                <w:b/>
                <w:lang w:val="en-US"/>
              </w:rPr>
            </w:pPr>
            <w:r w:rsidRPr="006B656F">
              <w:rPr>
                <w:rFonts w:eastAsia="Times New Roman" w:cs="Times New Roman"/>
                <w:b/>
                <w:lang w:val="en-US"/>
              </w:rPr>
              <w:t>(Lower Extremity) impairment (%)</w:t>
            </w:r>
          </w:p>
        </w:tc>
      </w:tr>
      <w:tr w:rsidR="00D8141B" w:rsidRPr="006B656F" w:rsidTr="00286F9C">
        <w:tc>
          <w:tcPr>
            <w:tcW w:w="8953" w:type="dxa"/>
            <w:gridSpan w:val="3"/>
          </w:tcPr>
          <w:p w:rsidR="00D8141B" w:rsidRPr="00535AFE" w:rsidRDefault="00D8141B" w:rsidP="006B656F">
            <w:pPr>
              <w:keepNext/>
              <w:keepLines/>
              <w:spacing w:before="40" w:after="40" w:line="240" w:lineRule="auto"/>
              <w:jc w:val="both"/>
              <w:rPr>
                <w:rFonts w:eastAsia="Times New Roman" w:cs="Times New Roman"/>
                <w:sz w:val="20"/>
                <w:szCs w:val="20"/>
                <w:lang w:val="en-US"/>
              </w:rPr>
            </w:pPr>
            <w:r w:rsidRPr="00535AFE">
              <w:rPr>
                <w:rFonts w:eastAsia="Times New Roman" w:cs="Times New Roman"/>
                <w:b/>
                <w:sz w:val="20"/>
                <w:szCs w:val="20"/>
                <w:lang w:val="en-US"/>
              </w:rPr>
              <w:t xml:space="preserve">a. Thigh:  </w:t>
            </w:r>
            <w:r w:rsidRPr="00535AFE">
              <w:rPr>
                <w:rFonts w:eastAsia="Times New Roman" w:cs="Times New Roman"/>
                <w:sz w:val="20"/>
                <w:szCs w:val="20"/>
                <w:lang w:val="en-US"/>
              </w:rPr>
              <w:t>The circumference is measured 10cm above the patella with the knee fully extended and the muscles relaxed.</w:t>
            </w:r>
          </w:p>
        </w:tc>
      </w:tr>
      <w:tr w:rsidR="00D8141B" w:rsidRPr="006B656F" w:rsidTr="00286F9C">
        <w:tc>
          <w:tcPr>
            <w:tcW w:w="2716"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0 – 0.9</w:t>
            </w:r>
          </w:p>
        </w:tc>
        <w:tc>
          <w:tcPr>
            <w:tcW w:w="2410"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None</w:t>
            </w:r>
          </w:p>
        </w:tc>
        <w:tc>
          <w:tcPr>
            <w:tcW w:w="3827"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0  (0)</w:t>
            </w:r>
          </w:p>
        </w:tc>
      </w:tr>
      <w:tr w:rsidR="00D8141B" w:rsidRPr="006B656F" w:rsidTr="00286F9C">
        <w:tc>
          <w:tcPr>
            <w:tcW w:w="2716"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1 – 1.9</w:t>
            </w:r>
          </w:p>
        </w:tc>
        <w:tc>
          <w:tcPr>
            <w:tcW w:w="2410"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Mild</w:t>
            </w:r>
          </w:p>
        </w:tc>
        <w:tc>
          <w:tcPr>
            <w:tcW w:w="3827"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2  (6)</w:t>
            </w:r>
          </w:p>
        </w:tc>
      </w:tr>
      <w:tr w:rsidR="00D8141B" w:rsidRPr="006B656F" w:rsidTr="00286F9C">
        <w:tc>
          <w:tcPr>
            <w:tcW w:w="2716"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2 – 2.9</w:t>
            </w:r>
          </w:p>
        </w:tc>
        <w:tc>
          <w:tcPr>
            <w:tcW w:w="2410"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Moderate</w:t>
            </w:r>
          </w:p>
        </w:tc>
        <w:tc>
          <w:tcPr>
            <w:tcW w:w="3827"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4  (11)</w:t>
            </w:r>
          </w:p>
        </w:tc>
      </w:tr>
      <w:tr w:rsidR="00D8141B" w:rsidRPr="006B656F" w:rsidTr="00286F9C">
        <w:tc>
          <w:tcPr>
            <w:tcW w:w="2716"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3+</w:t>
            </w:r>
          </w:p>
        </w:tc>
        <w:tc>
          <w:tcPr>
            <w:tcW w:w="2410"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Severe</w:t>
            </w:r>
          </w:p>
        </w:tc>
        <w:tc>
          <w:tcPr>
            <w:tcW w:w="3827"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5  (12)</w:t>
            </w:r>
          </w:p>
        </w:tc>
      </w:tr>
    </w:tbl>
    <w:p w:rsidR="00D8141B" w:rsidRPr="00D8141B" w:rsidRDefault="00D8141B" w:rsidP="00286F9C">
      <w:pPr>
        <w:spacing w:after="0" w:line="240" w:lineRule="auto"/>
        <w:ind w:left="720"/>
        <w:jc w:val="both"/>
        <w:rPr>
          <w:rFonts w:eastAsia="Times New Roman" w:cs="Times New Roman"/>
          <w:sz w:val="24"/>
          <w:szCs w:val="20"/>
          <w:lang w:val="en-US"/>
        </w:rPr>
      </w:pPr>
    </w:p>
    <w:tbl>
      <w:tblPr>
        <w:tblW w:w="894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2410"/>
        <w:gridCol w:w="3827"/>
      </w:tblGrid>
      <w:tr w:rsidR="00D8141B" w:rsidRPr="00D8141B" w:rsidTr="00286F9C">
        <w:tc>
          <w:tcPr>
            <w:tcW w:w="2711" w:type="dxa"/>
            <w:shd w:val="pct10" w:color="auto" w:fill="auto"/>
          </w:tcPr>
          <w:p w:rsidR="00D8141B" w:rsidRPr="006B656F" w:rsidRDefault="00D8141B" w:rsidP="006B656F">
            <w:pPr>
              <w:spacing w:before="40" w:after="40" w:line="240" w:lineRule="auto"/>
              <w:jc w:val="center"/>
              <w:rPr>
                <w:rFonts w:eastAsia="Times New Roman" w:cs="Times New Roman"/>
                <w:b/>
                <w:lang w:val="en-US"/>
              </w:rPr>
            </w:pPr>
            <w:r w:rsidRPr="006B656F">
              <w:rPr>
                <w:rFonts w:eastAsia="Times New Roman" w:cs="Times New Roman"/>
                <w:b/>
                <w:lang w:val="en-US"/>
              </w:rPr>
              <w:t>Difference in circumference (cm)</w:t>
            </w:r>
          </w:p>
        </w:tc>
        <w:tc>
          <w:tcPr>
            <w:tcW w:w="2410" w:type="dxa"/>
            <w:shd w:val="pct10" w:color="auto" w:fill="auto"/>
          </w:tcPr>
          <w:p w:rsidR="00D8141B" w:rsidRPr="006B656F" w:rsidRDefault="00D8141B" w:rsidP="006B656F">
            <w:pPr>
              <w:spacing w:before="40" w:after="40" w:line="240" w:lineRule="auto"/>
              <w:jc w:val="center"/>
              <w:rPr>
                <w:rFonts w:eastAsia="Times New Roman" w:cs="Times New Roman"/>
                <w:b/>
                <w:lang w:val="en-US"/>
              </w:rPr>
            </w:pPr>
            <w:r w:rsidRPr="006B656F">
              <w:rPr>
                <w:rFonts w:eastAsia="Times New Roman" w:cs="Times New Roman"/>
                <w:b/>
                <w:lang w:val="en-US"/>
              </w:rPr>
              <w:t>Impairment degree</w:t>
            </w:r>
          </w:p>
        </w:tc>
        <w:tc>
          <w:tcPr>
            <w:tcW w:w="3827" w:type="dxa"/>
            <w:shd w:val="pct10" w:color="auto" w:fill="auto"/>
          </w:tcPr>
          <w:p w:rsidR="00D8141B" w:rsidRPr="006B656F" w:rsidRDefault="00D8141B" w:rsidP="006B656F">
            <w:pPr>
              <w:spacing w:before="40" w:after="40" w:line="240" w:lineRule="auto"/>
              <w:jc w:val="center"/>
              <w:rPr>
                <w:rFonts w:eastAsia="Times New Roman" w:cs="Times New Roman"/>
                <w:b/>
                <w:lang w:val="en-US"/>
              </w:rPr>
            </w:pPr>
            <w:r w:rsidRPr="006B656F">
              <w:rPr>
                <w:rFonts w:eastAsia="Times New Roman" w:cs="Times New Roman"/>
                <w:b/>
                <w:lang w:val="en-US"/>
              </w:rPr>
              <w:t xml:space="preserve">Whole person </w:t>
            </w:r>
          </w:p>
          <w:p w:rsidR="00D8141B" w:rsidRPr="006B656F" w:rsidRDefault="00D8141B" w:rsidP="006B656F">
            <w:pPr>
              <w:spacing w:before="40" w:after="40" w:line="240" w:lineRule="auto"/>
              <w:jc w:val="center"/>
              <w:rPr>
                <w:rFonts w:eastAsia="Times New Roman" w:cs="Times New Roman"/>
                <w:b/>
                <w:lang w:val="en-US"/>
              </w:rPr>
            </w:pPr>
            <w:r w:rsidRPr="006B656F">
              <w:rPr>
                <w:rFonts w:eastAsia="Times New Roman" w:cs="Times New Roman"/>
                <w:b/>
                <w:lang w:val="en-US"/>
              </w:rPr>
              <w:t>(Lower Extremity) impairment (%)</w:t>
            </w:r>
          </w:p>
        </w:tc>
      </w:tr>
      <w:tr w:rsidR="00D8141B" w:rsidRPr="00D8141B" w:rsidTr="00286F9C">
        <w:tc>
          <w:tcPr>
            <w:tcW w:w="8948" w:type="dxa"/>
            <w:gridSpan w:val="3"/>
          </w:tcPr>
          <w:p w:rsidR="00D8141B" w:rsidRPr="00535AFE" w:rsidRDefault="00D8141B" w:rsidP="006B656F">
            <w:pPr>
              <w:spacing w:before="40" w:after="40" w:line="240" w:lineRule="auto"/>
              <w:jc w:val="both"/>
              <w:rPr>
                <w:rFonts w:eastAsia="Times New Roman" w:cs="Times New Roman"/>
                <w:sz w:val="20"/>
                <w:szCs w:val="20"/>
                <w:lang w:val="en-US"/>
              </w:rPr>
            </w:pPr>
            <w:r w:rsidRPr="00535AFE">
              <w:rPr>
                <w:rFonts w:eastAsia="Times New Roman" w:cs="Times New Roman"/>
                <w:b/>
                <w:sz w:val="20"/>
                <w:szCs w:val="20"/>
                <w:lang w:val="en-US"/>
              </w:rPr>
              <w:t xml:space="preserve">b.  Calf:  </w:t>
            </w:r>
            <w:r w:rsidRPr="00535AFE">
              <w:rPr>
                <w:rFonts w:eastAsia="Times New Roman" w:cs="Times New Roman"/>
                <w:sz w:val="20"/>
                <w:szCs w:val="20"/>
                <w:lang w:val="en-US"/>
              </w:rPr>
              <w:t>The maximum circumference on the normal side is compared with the circumference at the same level on the affected side.</w:t>
            </w:r>
          </w:p>
        </w:tc>
      </w:tr>
      <w:tr w:rsidR="00D8141B" w:rsidRPr="00D8141B" w:rsidTr="00286F9C">
        <w:tc>
          <w:tcPr>
            <w:tcW w:w="2711"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0 – 0.9</w:t>
            </w:r>
          </w:p>
        </w:tc>
        <w:tc>
          <w:tcPr>
            <w:tcW w:w="2410"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None</w:t>
            </w:r>
          </w:p>
        </w:tc>
        <w:tc>
          <w:tcPr>
            <w:tcW w:w="3827"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0  (0)</w:t>
            </w:r>
          </w:p>
        </w:tc>
      </w:tr>
      <w:tr w:rsidR="00D8141B" w:rsidRPr="00D8141B" w:rsidTr="00286F9C">
        <w:tc>
          <w:tcPr>
            <w:tcW w:w="2711"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1 – 1.9</w:t>
            </w:r>
          </w:p>
        </w:tc>
        <w:tc>
          <w:tcPr>
            <w:tcW w:w="2410"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Mild</w:t>
            </w:r>
          </w:p>
        </w:tc>
        <w:tc>
          <w:tcPr>
            <w:tcW w:w="3827"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2  (6)</w:t>
            </w:r>
          </w:p>
        </w:tc>
      </w:tr>
      <w:tr w:rsidR="00D8141B" w:rsidRPr="00D8141B" w:rsidTr="00286F9C">
        <w:tc>
          <w:tcPr>
            <w:tcW w:w="2711"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2 – 2.9</w:t>
            </w:r>
          </w:p>
        </w:tc>
        <w:tc>
          <w:tcPr>
            <w:tcW w:w="2410"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Moderate</w:t>
            </w:r>
          </w:p>
        </w:tc>
        <w:tc>
          <w:tcPr>
            <w:tcW w:w="3827"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4  (11)</w:t>
            </w:r>
          </w:p>
        </w:tc>
      </w:tr>
      <w:tr w:rsidR="00D8141B" w:rsidRPr="00D8141B" w:rsidTr="00286F9C">
        <w:tc>
          <w:tcPr>
            <w:tcW w:w="2711"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3+</w:t>
            </w:r>
          </w:p>
        </w:tc>
        <w:tc>
          <w:tcPr>
            <w:tcW w:w="2410"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Severe</w:t>
            </w:r>
          </w:p>
        </w:tc>
        <w:tc>
          <w:tcPr>
            <w:tcW w:w="3827" w:type="dxa"/>
          </w:tcPr>
          <w:p w:rsidR="00D8141B" w:rsidRPr="00535AFE" w:rsidRDefault="00D8141B" w:rsidP="006B656F">
            <w:pPr>
              <w:spacing w:before="40" w:after="40" w:line="240" w:lineRule="auto"/>
              <w:jc w:val="center"/>
              <w:rPr>
                <w:rFonts w:eastAsia="Times New Roman" w:cs="Times New Roman"/>
                <w:sz w:val="20"/>
                <w:szCs w:val="20"/>
                <w:lang w:val="en-US"/>
              </w:rPr>
            </w:pPr>
            <w:r w:rsidRPr="00535AFE">
              <w:rPr>
                <w:rFonts w:eastAsia="Times New Roman" w:cs="Times New Roman"/>
                <w:sz w:val="20"/>
                <w:szCs w:val="20"/>
                <w:lang w:val="en-US"/>
              </w:rPr>
              <w:t>5  (12)</w:t>
            </w:r>
          </w:p>
        </w:tc>
      </w:tr>
    </w:tbl>
    <w:p w:rsidR="00D8141B" w:rsidRPr="00D8141B" w:rsidRDefault="00D8141B" w:rsidP="006B656F">
      <w:pPr>
        <w:pStyle w:val="Heading3"/>
        <w:spacing w:before="360"/>
        <w:rPr>
          <w:snapToGrid w:val="0"/>
        </w:rPr>
      </w:pPr>
      <w:bookmarkStart w:id="34" w:name="_Toc144874622"/>
      <w:bookmarkStart w:id="35" w:name="_Toc144875210"/>
      <w:r w:rsidRPr="00D8141B">
        <w:rPr>
          <w:snapToGrid w:val="0"/>
        </w:rPr>
        <w:t>Manual muscle strength testing</w:t>
      </w:r>
      <w:bookmarkEnd w:id="34"/>
      <w:bookmarkEnd w:id="35"/>
    </w:p>
    <w:p w:rsidR="00D8141B" w:rsidRPr="00D8141B" w:rsidRDefault="00D8141B" w:rsidP="006B656F">
      <w:pPr>
        <w:pStyle w:val="BodyText3"/>
        <w:rPr>
          <w:snapToGrid w:val="0"/>
        </w:rPr>
      </w:pPr>
      <w:r w:rsidRPr="00D8141B">
        <w:rPr>
          <w:snapToGrid w:val="0"/>
        </w:rPr>
        <w:t>The Medical Research Council (MRC) gradings for muscle strength are universally accepted. They are not linear in their application, but ordinal. Only the six grades (0-5) should be used, as they are reproducible among experienced assessors. The descriptions in table 17-7 (p 531 AMA5) are correct. The results of electro­ diagnostic methods and tests are not to be considered in the evaluation of muscle testing which can be performed manually. Table 17-8 (p 532 AMA5) is to be used for this method of evaluation.</w:t>
      </w:r>
    </w:p>
    <w:p w:rsidR="00D8141B" w:rsidRPr="00D8141B" w:rsidRDefault="00D8141B" w:rsidP="006B656F">
      <w:pPr>
        <w:pStyle w:val="Heading3"/>
        <w:rPr>
          <w:snapToGrid w:val="0"/>
        </w:rPr>
      </w:pPr>
      <w:bookmarkStart w:id="36" w:name="_Toc144874623"/>
      <w:bookmarkStart w:id="37" w:name="_Toc144875211"/>
      <w:r w:rsidRPr="00D8141B">
        <w:rPr>
          <w:snapToGrid w:val="0"/>
        </w:rPr>
        <w:t>Range of motion</w:t>
      </w:r>
      <w:bookmarkEnd w:id="36"/>
      <w:bookmarkEnd w:id="37"/>
      <w:r w:rsidRPr="00D8141B">
        <w:rPr>
          <w:snapToGrid w:val="0"/>
        </w:rPr>
        <w:t xml:space="preserve"> </w:t>
      </w:r>
    </w:p>
    <w:p w:rsidR="00D8141B" w:rsidRPr="000E209C" w:rsidRDefault="00D8141B" w:rsidP="006B656F">
      <w:pPr>
        <w:pStyle w:val="BodyText3"/>
        <w:rPr>
          <w:snapToGrid w:val="0"/>
        </w:rPr>
      </w:pPr>
      <w:r w:rsidRPr="000E209C">
        <w:rPr>
          <w:snapToGrid w:val="0"/>
        </w:rPr>
        <w:t>Although range of motion (ROM) (AMA5 section 17.2f, pp 533-538) appears to be a suitable method for evaluating impairment, it may be subject to variation because of pain during motion at different times of examination, possible lack of cooperation by the person being assessed and inconsistency. If there is such inconsistency then ROM cannot be used as a valid parameter of impairment evaluation.</w:t>
      </w:r>
      <w:r w:rsidR="000E209C">
        <w:rPr>
          <w:snapToGrid w:val="0"/>
        </w:rPr>
        <w:t xml:space="preserve"> </w:t>
      </w:r>
      <w:r w:rsidRPr="000E209C">
        <w:rPr>
          <w:snapToGrid w:val="0"/>
        </w:rPr>
        <w:t>In table 17-10 (knee impairment) (p537 AMA5) the sentence should read ‘Deformity measured by femoral-tibial angle; 3° to 9° valgus is considered normal.</w:t>
      </w:r>
    </w:p>
    <w:p w:rsidR="00D8141B" w:rsidRPr="00D8141B" w:rsidRDefault="00D8141B" w:rsidP="006B656F">
      <w:pPr>
        <w:pStyle w:val="BodyText3"/>
        <w:numPr>
          <w:ilvl w:val="0"/>
          <w:numId w:val="0"/>
        </w:numPr>
        <w:ind w:left="709"/>
        <w:rPr>
          <w:snapToGrid w:val="0"/>
        </w:rPr>
      </w:pPr>
      <w:r w:rsidRPr="00D8141B">
        <w:rPr>
          <w:snapToGrid w:val="0"/>
        </w:rPr>
        <w:t>Table 17-10 (p 537 AMA5) is misleading as it has valgus and varus deformity in the same table as restriction of movement, possibly suggesting that these impairments may be combined. This is not the case. Any valgus/ varus deformity present which is due to the underlying lateral or medial compartment arthritis, cannot be combined with loss of range of movement. Therefore, when faced with an assessment in which there is a rateable loss of range of movement as well as a rateable deformity, calculate both impairments and use the greater. Valgus and varus knee angulation are to be measured in a weight-bearing position using a goniometer. It is important to bear in mind that valgus and/or varus alignments of the knee may be constitutional. It is also important to always compare with the opposite knee.</w:t>
      </w:r>
    </w:p>
    <w:p w:rsidR="006B656F" w:rsidRDefault="00D8141B" w:rsidP="006B656F">
      <w:pPr>
        <w:pStyle w:val="BodyText3"/>
        <w:rPr>
          <w:snapToGrid w:val="0"/>
        </w:rPr>
      </w:pPr>
      <w:r w:rsidRPr="006B656F">
        <w:rPr>
          <w:snapToGrid w:val="0"/>
        </w:rPr>
        <w:t xml:space="preserve">If range of motion is used as an assessment measure, then tables 17-9 to 17-14 (p 537 AMA5) are selected for the joint or joints being tested. If a joint has more than one plane of motion, the impairment assessments for the different planes should be added. For example, </w:t>
      </w:r>
      <w:r w:rsidRPr="006B656F">
        <w:rPr>
          <w:snapToGrid w:val="0"/>
        </w:rPr>
        <w:lastRenderedPageBreak/>
        <w:t xml:space="preserve">any impairments of the six principal directions of motion of the hip joint are added </w:t>
      </w:r>
      <w:r w:rsidR="00286F9C">
        <w:rPr>
          <w:snapToGrid w:val="0"/>
        </w:rPr>
        <w:br/>
      </w:r>
      <w:r w:rsidRPr="006B656F">
        <w:rPr>
          <w:snapToGrid w:val="0"/>
        </w:rPr>
        <w:t>(p 533 AMA5).</w:t>
      </w:r>
    </w:p>
    <w:p w:rsidR="00D8141B" w:rsidRPr="006B656F" w:rsidRDefault="00D8141B" w:rsidP="006B656F">
      <w:pPr>
        <w:pStyle w:val="BodyText3"/>
        <w:numPr>
          <w:ilvl w:val="0"/>
          <w:numId w:val="0"/>
        </w:numPr>
        <w:ind w:left="709"/>
        <w:rPr>
          <w:snapToGrid w:val="0"/>
        </w:rPr>
      </w:pPr>
      <w:r w:rsidRPr="006B656F">
        <w:rPr>
          <w:snapToGrid w:val="0"/>
        </w:rPr>
        <w:t xml:space="preserve">Please note that in </w:t>
      </w:r>
      <w:r w:rsidRPr="006B656F">
        <w:rPr>
          <w:snapToGrid w:val="0"/>
          <w:u w:val="single"/>
        </w:rPr>
        <w:t>table 17-11</w:t>
      </w:r>
      <w:r w:rsidRPr="006B656F">
        <w:rPr>
          <w:snapToGrid w:val="0"/>
        </w:rPr>
        <w:t xml:space="preserve"> (ankle motion) (p 537 AMA5)  the range for mild flexion contracture should be one to 10 degrees, for moderate flexion contracture should be 11 to 19 degrees, and the figure for severe flexion contracture should be 20 degrees plus</w:t>
      </w:r>
      <w:r w:rsidRPr="006B656F">
        <w:rPr>
          <w:snapToGrid w:val="0"/>
          <w:lang w:bidi="he-IL"/>
        </w:rPr>
        <w:t>.</w:t>
      </w:r>
    </w:p>
    <w:p w:rsidR="00D8141B" w:rsidRPr="00D8141B" w:rsidRDefault="00D8141B" w:rsidP="006B656F">
      <w:pPr>
        <w:pStyle w:val="BodyText3"/>
        <w:numPr>
          <w:ilvl w:val="0"/>
          <w:numId w:val="0"/>
        </w:numPr>
        <w:ind w:left="709"/>
        <w:rPr>
          <w:snapToGrid w:val="0"/>
        </w:rPr>
      </w:pPr>
      <w:r w:rsidRPr="00D8141B">
        <w:rPr>
          <w:snapToGrid w:val="0"/>
        </w:rPr>
        <w:t>The revised table 17-11 is as follows:</w:t>
      </w:r>
    </w:p>
    <w:p w:rsidR="00D8141B" w:rsidRPr="006B656F" w:rsidRDefault="00D8141B" w:rsidP="008148CB">
      <w:pPr>
        <w:pStyle w:val="BodyText3"/>
        <w:numPr>
          <w:ilvl w:val="0"/>
          <w:numId w:val="0"/>
        </w:numPr>
        <w:spacing w:before="240" w:after="120"/>
        <w:ind w:left="709" w:right="1134"/>
        <w:jc w:val="center"/>
        <w:rPr>
          <w:b/>
          <w:snapToGrid w:val="0"/>
          <w:sz w:val="24"/>
          <w:szCs w:val="24"/>
        </w:rPr>
      </w:pPr>
      <w:r w:rsidRPr="006B656F">
        <w:rPr>
          <w:b/>
          <w:snapToGrid w:val="0"/>
          <w:sz w:val="24"/>
          <w:szCs w:val="24"/>
        </w:rPr>
        <w:t>Table 17-11: Ankle motion impairment estimates</w:t>
      </w:r>
    </w:p>
    <w:tbl>
      <w:tblPr>
        <w:tblW w:w="878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6"/>
        <w:gridCol w:w="2127"/>
        <w:gridCol w:w="2126"/>
        <w:gridCol w:w="1984"/>
      </w:tblGrid>
      <w:tr w:rsidR="00D8141B" w:rsidRPr="00D8141B" w:rsidTr="00286F9C">
        <w:tc>
          <w:tcPr>
            <w:tcW w:w="2546" w:type="dxa"/>
            <w:shd w:val="pct10" w:color="auto" w:fill="auto"/>
          </w:tcPr>
          <w:p w:rsidR="00D8141B" w:rsidRPr="00D8141B" w:rsidRDefault="00D8141B" w:rsidP="008148CB">
            <w:pPr>
              <w:spacing w:before="20" w:after="20" w:line="240" w:lineRule="auto"/>
              <w:rPr>
                <w:rFonts w:eastAsia="Times New Roman" w:cs="Arial"/>
                <w:snapToGrid w:val="0"/>
                <w:szCs w:val="20"/>
                <w:lang w:val="en-US"/>
              </w:rPr>
            </w:pPr>
          </w:p>
        </w:tc>
        <w:tc>
          <w:tcPr>
            <w:tcW w:w="6237" w:type="dxa"/>
            <w:gridSpan w:val="3"/>
            <w:shd w:val="pct10" w:color="auto" w:fill="auto"/>
          </w:tcPr>
          <w:p w:rsidR="00D8141B" w:rsidRPr="00D8141B" w:rsidRDefault="00D8141B" w:rsidP="008148CB">
            <w:pPr>
              <w:spacing w:before="20" w:after="20" w:line="240" w:lineRule="auto"/>
              <w:rPr>
                <w:rFonts w:eastAsia="Times New Roman" w:cs="Arial"/>
                <w:b/>
                <w:snapToGrid w:val="0"/>
                <w:szCs w:val="20"/>
                <w:lang w:val="en-US"/>
              </w:rPr>
            </w:pPr>
            <w:r w:rsidRPr="00D8141B">
              <w:rPr>
                <w:rFonts w:eastAsia="Times New Roman" w:cs="Arial"/>
                <w:b/>
                <w:snapToGrid w:val="0"/>
                <w:szCs w:val="20"/>
                <w:lang w:val="en-US"/>
              </w:rPr>
              <w:t>Whole person (lower extremity) [foot impairment]</w:t>
            </w:r>
          </w:p>
        </w:tc>
      </w:tr>
      <w:tr w:rsidR="00D8141B" w:rsidRPr="00D8141B" w:rsidTr="00286F9C">
        <w:tc>
          <w:tcPr>
            <w:tcW w:w="2546" w:type="dxa"/>
            <w:shd w:val="pct10" w:color="auto" w:fill="auto"/>
          </w:tcPr>
          <w:p w:rsidR="00D8141B" w:rsidRPr="00D8141B" w:rsidRDefault="00D8141B" w:rsidP="008148CB">
            <w:pPr>
              <w:spacing w:before="20" w:after="20" w:line="240" w:lineRule="auto"/>
              <w:rPr>
                <w:rFonts w:eastAsia="Times New Roman" w:cs="Arial"/>
                <w:b/>
                <w:snapToGrid w:val="0"/>
                <w:szCs w:val="20"/>
                <w:lang w:val="en-US"/>
              </w:rPr>
            </w:pPr>
            <w:r w:rsidRPr="00D8141B">
              <w:rPr>
                <w:rFonts w:eastAsia="Times New Roman" w:cs="Arial"/>
                <w:b/>
                <w:snapToGrid w:val="0"/>
                <w:szCs w:val="20"/>
                <w:lang w:val="en-US"/>
              </w:rPr>
              <w:t>Motion</w:t>
            </w:r>
          </w:p>
        </w:tc>
        <w:tc>
          <w:tcPr>
            <w:tcW w:w="2127" w:type="dxa"/>
            <w:shd w:val="pct10" w:color="auto" w:fill="auto"/>
          </w:tcPr>
          <w:p w:rsidR="00D8141B" w:rsidRPr="00D8141B" w:rsidRDefault="00D8141B" w:rsidP="008148CB">
            <w:pPr>
              <w:spacing w:before="20" w:after="20" w:line="240" w:lineRule="auto"/>
              <w:jc w:val="center"/>
              <w:rPr>
                <w:rFonts w:eastAsia="Times New Roman" w:cs="Arial"/>
                <w:b/>
                <w:snapToGrid w:val="0"/>
                <w:szCs w:val="20"/>
                <w:lang w:val="en-US"/>
              </w:rPr>
            </w:pPr>
            <w:r w:rsidRPr="00D8141B">
              <w:rPr>
                <w:rFonts w:eastAsia="Times New Roman" w:cs="Arial"/>
                <w:b/>
                <w:snapToGrid w:val="0"/>
                <w:szCs w:val="20"/>
                <w:lang w:val="en-US"/>
              </w:rPr>
              <w:t>Mild</w:t>
            </w:r>
          </w:p>
          <w:p w:rsidR="00D8141B" w:rsidRPr="00D8141B" w:rsidRDefault="00D8141B" w:rsidP="008148CB">
            <w:pPr>
              <w:spacing w:before="20" w:after="20" w:line="240" w:lineRule="auto"/>
              <w:jc w:val="center"/>
              <w:rPr>
                <w:rFonts w:eastAsia="Times New Roman" w:cs="Arial"/>
                <w:snapToGrid w:val="0"/>
                <w:szCs w:val="20"/>
                <w:lang w:val="en-US"/>
              </w:rPr>
            </w:pPr>
            <w:r w:rsidRPr="00D8141B">
              <w:rPr>
                <w:rFonts w:eastAsia="Times New Roman" w:cs="Arial"/>
                <w:snapToGrid w:val="0"/>
                <w:szCs w:val="20"/>
                <w:lang w:val="en-US"/>
              </w:rPr>
              <w:t>3% (7%) [10%]</w:t>
            </w:r>
          </w:p>
        </w:tc>
        <w:tc>
          <w:tcPr>
            <w:tcW w:w="2126" w:type="dxa"/>
            <w:shd w:val="pct10" w:color="auto" w:fill="auto"/>
          </w:tcPr>
          <w:p w:rsidR="00D8141B" w:rsidRPr="00D8141B" w:rsidRDefault="00D8141B" w:rsidP="008148CB">
            <w:pPr>
              <w:spacing w:before="20" w:after="20" w:line="240" w:lineRule="auto"/>
              <w:jc w:val="center"/>
              <w:rPr>
                <w:rFonts w:eastAsia="Times New Roman" w:cs="Arial"/>
                <w:b/>
                <w:snapToGrid w:val="0"/>
                <w:szCs w:val="20"/>
                <w:lang w:val="en-US"/>
              </w:rPr>
            </w:pPr>
            <w:r w:rsidRPr="00D8141B">
              <w:rPr>
                <w:rFonts w:eastAsia="Times New Roman" w:cs="Arial"/>
                <w:b/>
                <w:snapToGrid w:val="0"/>
                <w:szCs w:val="20"/>
                <w:lang w:val="en-US"/>
              </w:rPr>
              <w:t>Moderate</w:t>
            </w:r>
          </w:p>
          <w:p w:rsidR="00D8141B" w:rsidRPr="00D8141B" w:rsidRDefault="00D8141B" w:rsidP="008148CB">
            <w:pPr>
              <w:spacing w:before="20" w:after="20" w:line="240" w:lineRule="auto"/>
              <w:jc w:val="center"/>
              <w:rPr>
                <w:rFonts w:eastAsia="Times New Roman" w:cs="Arial"/>
                <w:snapToGrid w:val="0"/>
                <w:szCs w:val="20"/>
                <w:lang w:val="en-US"/>
              </w:rPr>
            </w:pPr>
            <w:r w:rsidRPr="00D8141B">
              <w:rPr>
                <w:rFonts w:eastAsia="Times New Roman" w:cs="Arial"/>
                <w:snapToGrid w:val="0"/>
                <w:szCs w:val="20"/>
                <w:lang w:val="en-US"/>
              </w:rPr>
              <w:t>6% (15%) [21%]</w:t>
            </w:r>
          </w:p>
        </w:tc>
        <w:tc>
          <w:tcPr>
            <w:tcW w:w="1984" w:type="dxa"/>
            <w:shd w:val="pct10" w:color="auto" w:fill="auto"/>
          </w:tcPr>
          <w:p w:rsidR="00D8141B" w:rsidRPr="00D8141B" w:rsidRDefault="00D8141B" w:rsidP="008148CB">
            <w:pPr>
              <w:spacing w:before="20" w:after="20" w:line="240" w:lineRule="auto"/>
              <w:jc w:val="center"/>
              <w:rPr>
                <w:rFonts w:eastAsia="Times New Roman" w:cs="Arial"/>
                <w:b/>
                <w:snapToGrid w:val="0"/>
                <w:szCs w:val="20"/>
                <w:lang w:val="en-US"/>
              </w:rPr>
            </w:pPr>
            <w:r w:rsidRPr="00D8141B">
              <w:rPr>
                <w:rFonts w:eastAsia="Times New Roman" w:cs="Arial"/>
                <w:b/>
                <w:snapToGrid w:val="0"/>
                <w:szCs w:val="20"/>
                <w:lang w:val="en-US"/>
              </w:rPr>
              <w:t>Severe</w:t>
            </w:r>
          </w:p>
          <w:p w:rsidR="00D8141B" w:rsidRPr="00D8141B" w:rsidRDefault="00D8141B" w:rsidP="008148CB">
            <w:pPr>
              <w:spacing w:before="20" w:after="20" w:line="240" w:lineRule="auto"/>
              <w:jc w:val="center"/>
              <w:rPr>
                <w:rFonts w:eastAsia="Times New Roman" w:cs="Arial"/>
                <w:snapToGrid w:val="0"/>
                <w:szCs w:val="20"/>
                <w:lang w:val="en-US"/>
              </w:rPr>
            </w:pPr>
            <w:r w:rsidRPr="00D8141B">
              <w:rPr>
                <w:rFonts w:eastAsia="Times New Roman" w:cs="Arial"/>
                <w:snapToGrid w:val="0"/>
                <w:szCs w:val="20"/>
                <w:lang w:val="en-US"/>
              </w:rPr>
              <w:t>12% (30%) [43%]</w:t>
            </w:r>
          </w:p>
        </w:tc>
      </w:tr>
      <w:tr w:rsidR="00D8141B" w:rsidRPr="00D8141B" w:rsidTr="00286F9C">
        <w:tc>
          <w:tcPr>
            <w:tcW w:w="2546" w:type="dxa"/>
            <w:shd w:val="clear" w:color="auto" w:fill="auto"/>
          </w:tcPr>
          <w:p w:rsidR="00D8141B" w:rsidRPr="00535AFE" w:rsidRDefault="00D8141B" w:rsidP="008148CB">
            <w:pPr>
              <w:spacing w:before="20" w:after="20" w:line="240" w:lineRule="auto"/>
              <w:rPr>
                <w:rFonts w:eastAsia="Times New Roman" w:cs="Arial"/>
                <w:snapToGrid w:val="0"/>
                <w:sz w:val="20"/>
                <w:szCs w:val="20"/>
                <w:lang w:val="en-US"/>
              </w:rPr>
            </w:pPr>
            <w:r w:rsidRPr="00535AFE">
              <w:rPr>
                <w:rFonts w:eastAsia="Times New Roman" w:cs="Arial"/>
                <w:snapToGrid w:val="0"/>
                <w:sz w:val="20"/>
                <w:szCs w:val="20"/>
                <w:lang w:val="en-US"/>
              </w:rPr>
              <w:t>Plantar flexion capability</w:t>
            </w:r>
          </w:p>
        </w:tc>
        <w:tc>
          <w:tcPr>
            <w:tcW w:w="2127" w:type="dxa"/>
            <w:shd w:val="clear" w:color="auto" w:fill="auto"/>
          </w:tcPr>
          <w:p w:rsidR="00D8141B" w:rsidRPr="00535AFE" w:rsidRDefault="00D8141B" w:rsidP="008148CB">
            <w:pPr>
              <w:spacing w:before="20" w:after="20" w:line="240" w:lineRule="auto"/>
              <w:jc w:val="center"/>
              <w:rPr>
                <w:rFonts w:eastAsia="Times New Roman" w:cs="Arial"/>
                <w:snapToGrid w:val="0"/>
                <w:sz w:val="20"/>
                <w:szCs w:val="20"/>
                <w:lang w:val="en-US"/>
              </w:rPr>
            </w:pPr>
            <w:r w:rsidRPr="00535AFE">
              <w:rPr>
                <w:rFonts w:eastAsia="Times New Roman" w:cs="Arial"/>
                <w:snapToGrid w:val="0"/>
                <w:sz w:val="20"/>
                <w:szCs w:val="20"/>
                <w:lang w:val="en-US"/>
              </w:rPr>
              <w:t>11° – 20°</w:t>
            </w:r>
          </w:p>
        </w:tc>
        <w:tc>
          <w:tcPr>
            <w:tcW w:w="2126" w:type="dxa"/>
            <w:shd w:val="clear" w:color="auto" w:fill="auto"/>
          </w:tcPr>
          <w:p w:rsidR="00D8141B" w:rsidRPr="00535AFE" w:rsidRDefault="00D8141B" w:rsidP="008148CB">
            <w:pPr>
              <w:spacing w:before="20" w:after="20" w:line="240" w:lineRule="auto"/>
              <w:jc w:val="center"/>
              <w:rPr>
                <w:rFonts w:eastAsia="Times New Roman" w:cs="Arial"/>
                <w:snapToGrid w:val="0"/>
                <w:sz w:val="20"/>
                <w:szCs w:val="20"/>
                <w:lang w:val="en-US"/>
              </w:rPr>
            </w:pPr>
            <w:r w:rsidRPr="00535AFE">
              <w:rPr>
                <w:rFonts w:eastAsia="Times New Roman" w:cs="Arial"/>
                <w:snapToGrid w:val="0"/>
                <w:sz w:val="20"/>
                <w:szCs w:val="20"/>
                <w:lang w:val="en-US"/>
              </w:rPr>
              <w:t>1° - 10°</w:t>
            </w:r>
          </w:p>
        </w:tc>
        <w:tc>
          <w:tcPr>
            <w:tcW w:w="1984" w:type="dxa"/>
            <w:shd w:val="clear" w:color="auto" w:fill="auto"/>
          </w:tcPr>
          <w:p w:rsidR="00D8141B" w:rsidRPr="00535AFE" w:rsidRDefault="00D8141B" w:rsidP="008148CB">
            <w:pPr>
              <w:spacing w:before="20" w:after="20" w:line="240" w:lineRule="auto"/>
              <w:jc w:val="center"/>
              <w:rPr>
                <w:rFonts w:eastAsia="Times New Roman" w:cs="Arial"/>
                <w:snapToGrid w:val="0"/>
                <w:sz w:val="20"/>
                <w:szCs w:val="20"/>
                <w:lang w:val="en-US"/>
              </w:rPr>
            </w:pPr>
            <w:r w:rsidRPr="00535AFE">
              <w:rPr>
                <w:rFonts w:eastAsia="Times New Roman" w:cs="Arial"/>
                <w:snapToGrid w:val="0"/>
                <w:sz w:val="20"/>
                <w:szCs w:val="20"/>
                <w:lang w:val="en-US"/>
              </w:rPr>
              <w:t>None</w:t>
            </w:r>
          </w:p>
        </w:tc>
      </w:tr>
      <w:tr w:rsidR="00D8141B" w:rsidRPr="00D8141B" w:rsidTr="00286F9C">
        <w:tc>
          <w:tcPr>
            <w:tcW w:w="2546" w:type="dxa"/>
            <w:shd w:val="clear" w:color="auto" w:fill="auto"/>
          </w:tcPr>
          <w:p w:rsidR="00D8141B" w:rsidRPr="00535AFE" w:rsidRDefault="00D8141B" w:rsidP="008148CB">
            <w:pPr>
              <w:spacing w:before="20" w:after="20" w:line="240" w:lineRule="auto"/>
              <w:rPr>
                <w:rFonts w:eastAsia="Times New Roman" w:cs="Arial"/>
                <w:snapToGrid w:val="0"/>
                <w:sz w:val="20"/>
                <w:szCs w:val="20"/>
                <w:lang w:val="en-US"/>
              </w:rPr>
            </w:pPr>
            <w:r w:rsidRPr="00535AFE">
              <w:rPr>
                <w:rFonts w:eastAsia="Times New Roman" w:cs="Arial"/>
                <w:snapToGrid w:val="0"/>
                <w:sz w:val="20"/>
                <w:szCs w:val="20"/>
                <w:lang w:val="en-US"/>
              </w:rPr>
              <w:t>Flexion contracture</w:t>
            </w:r>
          </w:p>
        </w:tc>
        <w:tc>
          <w:tcPr>
            <w:tcW w:w="2127" w:type="dxa"/>
            <w:shd w:val="clear" w:color="auto" w:fill="auto"/>
          </w:tcPr>
          <w:p w:rsidR="00D8141B" w:rsidRPr="00535AFE" w:rsidRDefault="00D8141B" w:rsidP="008148CB">
            <w:pPr>
              <w:spacing w:before="20" w:after="20" w:line="240" w:lineRule="auto"/>
              <w:jc w:val="center"/>
              <w:rPr>
                <w:rFonts w:eastAsia="Times New Roman" w:cs="Arial"/>
                <w:snapToGrid w:val="0"/>
                <w:sz w:val="20"/>
                <w:szCs w:val="20"/>
                <w:lang w:val="en-US"/>
              </w:rPr>
            </w:pPr>
            <w:r w:rsidRPr="00535AFE">
              <w:rPr>
                <w:rFonts w:eastAsia="Times New Roman" w:cs="Arial"/>
                <w:snapToGrid w:val="0"/>
                <w:sz w:val="20"/>
                <w:szCs w:val="20"/>
                <w:lang w:val="en-US"/>
              </w:rPr>
              <w:t>1° - 10°</w:t>
            </w:r>
          </w:p>
        </w:tc>
        <w:tc>
          <w:tcPr>
            <w:tcW w:w="2126" w:type="dxa"/>
            <w:shd w:val="clear" w:color="auto" w:fill="auto"/>
          </w:tcPr>
          <w:p w:rsidR="00D8141B" w:rsidRPr="00535AFE" w:rsidRDefault="00D8141B" w:rsidP="008148CB">
            <w:pPr>
              <w:spacing w:before="20" w:after="20" w:line="240" w:lineRule="auto"/>
              <w:jc w:val="center"/>
              <w:rPr>
                <w:rFonts w:eastAsia="Times New Roman" w:cs="Arial"/>
                <w:snapToGrid w:val="0"/>
                <w:sz w:val="20"/>
                <w:szCs w:val="20"/>
                <w:lang w:val="en-US"/>
              </w:rPr>
            </w:pPr>
            <w:r w:rsidRPr="00535AFE">
              <w:rPr>
                <w:rFonts w:eastAsia="Times New Roman" w:cs="Arial"/>
                <w:snapToGrid w:val="0"/>
                <w:sz w:val="20"/>
                <w:szCs w:val="20"/>
                <w:lang w:val="en-US"/>
              </w:rPr>
              <w:t>11° - 19°</w:t>
            </w:r>
          </w:p>
        </w:tc>
        <w:tc>
          <w:tcPr>
            <w:tcW w:w="1984" w:type="dxa"/>
            <w:shd w:val="clear" w:color="auto" w:fill="auto"/>
          </w:tcPr>
          <w:p w:rsidR="00D8141B" w:rsidRPr="00535AFE" w:rsidRDefault="00D8141B" w:rsidP="008148CB">
            <w:pPr>
              <w:spacing w:before="20" w:after="20" w:line="240" w:lineRule="auto"/>
              <w:jc w:val="center"/>
              <w:rPr>
                <w:rFonts w:eastAsia="Times New Roman" w:cs="Arial"/>
                <w:snapToGrid w:val="0"/>
                <w:sz w:val="20"/>
                <w:szCs w:val="20"/>
                <w:lang w:val="en-US"/>
              </w:rPr>
            </w:pPr>
            <w:r w:rsidRPr="00535AFE">
              <w:rPr>
                <w:rFonts w:eastAsia="Times New Roman" w:cs="Arial"/>
                <w:snapToGrid w:val="0"/>
                <w:sz w:val="20"/>
                <w:szCs w:val="20"/>
                <w:lang w:val="en-US"/>
              </w:rPr>
              <w:t>20°+</w:t>
            </w:r>
          </w:p>
        </w:tc>
      </w:tr>
      <w:tr w:rsidR="00D8141B" w:rsidRPr="00D8141B" w:rsidTr="00286F9C">
        <w:tc>
          <w:tcPr>
            <w:tcW w:w="2546" w:type="dxa"/>
            <w:shd w:val="clear" w:color="auto" w:fill="auto"/>
          </w:tcPr>
          <w:p w:rsidR="00D8141B" w:rsidRPr="00535AFE" w:rsidRDefault="00D8141B" w:rsidP="008148CB">
            <w:pPr>
              <w:spacing w:before="20" w:after="20" w:line="240" w:lineRule="auto"/>
              <w:rPr>
                <w:rFonts w:eastAsia="Times New Roman" w:cs="Arial"/>
                <w:snapToGrid w:val="0"/>
                <w:sz w:val="20"/>
                <w:szCs w:val="20"/>
                <w:lang w:val="en-US"/>
              </w:rPr>
            </w:pPr>
            <w:r w:rsidRPr="00535AFE">
              <w:rPr>
                <w:rFonts w:eastAsia="Times New Roman" w:cs="Arial"/>
                <w:snapToGrid w:val="0"/>
                <w:sz w:val="20"/>
                <w:szCs w:val="20"/>
                <w:lang w:val="en-US"/>
              </w:rPr>
              <w:t>Extension</w:t>
            </w:r>
          </w:p>
        </w:tc>
        <w:tc>
          <w:tcPr>
            <w:tcW w:w="2127" w:type="dxa"/>
            <w:shd w:val="clear" w:color="auto" w:fill="auto"/>
          </w:tcPr>
          <w:p w:rsidR="00D8141B" w:rsidRPr="00535AFE" w:rsidRDefault="00D8141B" w:rsidP="008148CB">
            <w:pPr>
              <w:spacing w:before="20" w:after="20" w:line="240" w:lineRule="auto"/>
              <w:jc w:val="center"/>
              <w:rPr>
                <w:rFonts w:eastAsia="Times New Roman" w:cs="Arial"/>
                <w:snapToGrid w:val="0"/>
                <w:sz w:val="20"/>
                <w:szCs w:val="20"/>
                <w:lang w:val="en-US"/>
              </w:rPr>
            </w:pPr>
            <w:r w:rsidRPr="00535AFE">
              <w:rPr>
                <w:rFonts w:eastAsia="Times New Roman" w:cs="Arial"/>
                <w:snapToGrid w:val="0"/>
                <w:sz w:val="20"/>
                <w:szCs w:val="20"/>
                <w:lang w:val="en-US"/>
              </w:rPr>
              <w:t>10°- 0°</w:t>
            </w:r>
          </w:p>
          <w:p w:rsidR="00D8141B" w:rsidRPr="00535AFE" w:rsidRDefault="00D8141B" w:rsidP="008148CB">
            <w:pPr>
              <w:spacing w:before="20" w:after="20" w:line="240" w:lineRule="auto"/>
              <w:jc w:val="center"/>
              <w:rPr>
                <w:rFonts w:eastAsia="Times New Roman" w:cs="Arial"/>
                <w:snapToGrid w:val="0"/>
                <w:sz w:val="20"/>
                <w:szCs w:val="20"/>
                <w:lang w:val="en-US"/>
              </w:rPr>
            </w:pPr>
            <w:r w:rsidRPr="00535AFE">
              <w:rPr>
                <w:rFonts w:eastAsia="Times New Roman" w:cs="Arial"/>
                <w:snapToGrid w:val="0"/>
                <w:sz w:val="20"/>
                <w:szCs w:val="20"/>
                <w:lang w:val="en-US"/>
              </w:rPr>
              <w:t>(neutral)</w:t>
            </w:r>
          </w:p>
        </w:tc>
        <w:tc>
          <w:tcPr>
            <w:tcW w:w="2126" w:type="dxa"/>
            <w:shd w:val="clear" w:color="auto" w:fill="auto"/>
          </w:tcPr>
          <w:p w:rsidR="00D8141B" w:rsidRPr="00535AFE" w:rsidRDefault="00D8141B" w:rsidP="008148CB">
            <w:pPr>
              <w:spacing w:before="20" w:after="20" w:line="240" w:lineRule="auto"/>
              <w:jc w:val="center"/>
              <w:rPr>
                <w:rFonts w:eastAsia="Times New Roman" w:cs="Arial"/>
                <w:snapToGrid w:val="0"/>
                <w:sz w:val="20"/>
                <w:szCs w:val="20"/>
                <w:lang w:val="en-US"/>
              </w:rPr>
            </w:pPr>
            <w:r w:rsidRPr="00535AFE">
              <w:rPr>
                <w:rFonts w:eastAsia="Times New Roman" w:cs="Arial"/>
                <w:snapToGrid w:val="0"/>
                <w:sz w:val="20"/>
                <w:szCs w:val="20"/>
                <w:lang w:val="en-US"/>
              </w:rPr>
              <w:t>-</w:t>
            </w:r>
          </w:p>
        </w:tc>
        <w:tc>
          <w:tcPr>
            <w:tcW w:w="1984" w:type="dxa"/>
            <w:shd w:val="clear" w:color="auto" w:fill="auto"/>
          </w:tcPr>
          <w:p w:rsidR="00D8141B" w:rsidRPr="00535AFE" w:rsidRDefault="00D8141B" w:rsidP="008148CB">
            <w:pPr>
              <w:spacing w:before="20" w:after="20" w:line="240" w:lineRule="auto"/>
              <w:jc w:val="center"/>
              <w:rPr>
                <w:rFonts w:eastAsia="Times New Roman" w:cs="Arial"/>
                <w:snapToGrid w:val="0"/>
                <w:sz w:val="20"/>
                <w:szCs w:val="20"/>
                <w:lang w:val="en-US"/>
              </w:rPr>
            </w:pPr>
            <w:r w:rsidRPr="00535AFE">
              <w:rPr>
                <w:rFonts w:eastAsia="Times New Roman" w:cs="Arial"/>
                <w:snapToGrid w:val="0"/>
                <w:sz w:val="20"/>
                <w:szCs w:val="20"/>
                <w:lang w:val="en-US"/>
              </w:rPr>
              <w:t>-</w:t>
            </w:r>
          </w:p>
        </w:tc>
      </w:tr>
    </w:tbl>
    <w:p w:rsidR="00D8141B" w:rsidRPr="00D8141B" w:rsidRDefault="00D8141B" w:rsidP="006B656F">
      <w:pPr>
        <w:pStyle w:val="BodyText3"/>
        <w:numPr>
          <w:ilvl w:val="0"/>
          <w:numId w:val="0"/>
        </w:numPr>
        <w:spacing w:before="240"/>
        <w:ind w:left="709"/>
        <w:rPr>
          <w:snapToGrid w:val="0"/>
        </w:rPr>
      </w:pPr>
      <w:r w:rsidRPr="00D8141B">
        <w:rPr>
          <w:snapToGrid w:val="0"/>
        </w:rPr>
        <w:t xml:space="preserve">When calculating impairment for loss of range of movement, it is most important to always compare measurements of the relevant joint(s) in both extremities. If a contralateral 'normal/uninjured' joint has less than average mobility, the impairment value(s) corresponding to the uninvolved joint serves as a baseline and is subtracted from the calculated impairment for the involved joint. The rationale for this decision should be explained in the report (AMA5, p </w:t>
      </w:r>
      <w:r w:rsidR="00BF1849">
        <w:rPr>
          <w:snapToGrid w:val="0"/>
        </w:rPr>
        <w:t>454</w:t>
      </w:r>
      <w:r w:rsidRPr="00D8141B">
        <w:rPr>
          <w:snapToGrid w:val="0"/>
        </w:rPr>
        <w:t>, 16.4c)</w:t>
      </w:r>
      <w:r w:rsidR="00A434CA">
        <w:rPr>
          <w:snapToGrid w:val="0"/>
        </w:rPr>
        <w:t>.</w:t>
      </w:r>
    </w:p>
    <w:p w:rsidR="00D8141B" w:rsidRPr="00D8141B" w:rsidRDefault="00D8141B" w:rsidP="006B656F">
      <w:pPr>
        <w:pStyle w:val="Heading3"/>
        <w:rPr>
          <w:snapToGrid w:val="0"/>
        </w:rPr>
      </w:pPr>
      <w:bookmarkStart w:id="38" w:name="_Toc144874624"/>
      <w:bookmarkStart w:id="39" w:name="_Toc144875212"/>
      <w:r w:rsidRPr="00D8141B">
        <w:rPr>
          <w:snapToGrid w:val="0"/>
        </w:rPr>
        <w:t>Ankylosis</w:t>
      </w:r>
      <w:bookmarkEnd w:id="38"/>
      <w:bookmarkEnd w:id="39"/>
      <w:r w:rsidRPr="00D8141B">
        <w:rPr>
          <w:snapToGrid w:val="0"/>
        </w:rPr>
        <w:t xml:space="preserve"> </w:t>
      </w:r>
    </w:p>
    <w:p w:rsidR="00D8141B" w:rsidRPr="00D8141B" w:rsidRDefault="00D8141B" w:rsidP="006B656F">
      <w:pPr>
        <w:pStyle w:val="BodyText3"/>
        <w:rPr>
          <w:snapToGrid w:val="0"/>
        </w:rPr>
      </w:pPr>
      <w:r w:rsidRPr="00D8141B">
        <w:rPr>
          <w:snapToGrid w:val="0"/>
        </w:rPr>
        <w:t>Ankylosis is to be regarded as the equivalent to arthrodesis in impairment terms only. For the assessment of impairment, when a joint is ankylosed (AMA5 section 17.2g, pp 538-543), the calculation to be applied is to select the impairment if the joint is ankylosed in optimum position (see table 3.1 below), and then if not ankylosed in the optimum position by adding (not combining) the values of percentage of WPI using tables 17-15 to 17-30 (pp</w:t>
      </w:r>
      <w:r w:rsidR="008148CB">
        <w:rPr>
          <w:snapToGrid w:val="0"/>
        </w:rPr>
        <w:t> </w:t>
      </w:r>
      <w:r w:rsidRPr="00D8141B">
        <w:rPr>
          <w:snapToGrid w:val="0"/>
        </w:rPr>
        <w:t>538-543 AMA5).</w:t>
      </w:r>
    </w:p>
    <w:p w:rsidR="00D8141B" w:rsidRPr="006B656F" w:rsidRDefault="00D8141B" w:rsidP="008148CB">
      <w:pPr>
        <w:keepNext/>
        <w:spacing w:before="240" w:after="120" w:line="240" w:lineRule="auto"/>
        <w:ind w:left="709" w:right="1559"/>
        <w:jc w:val="center"/>
        <w:outlineLvl w:val="3"/>
        <w:rPr>
          <w:rFonts w:eastAsia="Times New Roman" w:cs="Arial"/>
          <w:b/>
          <w:bCs/>
          <w:snapToGrid w:val="0"/>
          <w:sz w:val="24"/>
          <w:szCs w:val="24"/>
          <w:lang w:val="en-GB"/>
        </w:rPr>
      </w:pPr>
      <w:bookmarkStart w:id="40" w:name="_Toc144874625"/>
      <w:bookmarkStart w:id="41" w:name="_Toc144875213"/>
      <w:r w:rsidRPr="006B656F">
        <w:rPr>
          <w:rFonts w:eastAsia="Times New Roman" w:cs="Arial"/>
          <w:b/>
          <w:bCs/>
          <w:snapToGrid w:val="0"/>
          <w:sz w:val="24"/>
          <w:szCs w:val="24"/>
          <w:lang w:val="en-GB"/>
        </w:rPr>
        <w:t>Table 3.1 Impairment for ankylosis in the optimum position</w:t>
      </w:r>
      <w:bookmarkEnd w:id="40"/>
      <w:bookmarkEnd w:id="41"/>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984"/>
        <w:gridCol w:w="2092"/>
        <w:gridCol w:w="1840"/>
      </w:tblGrid>
      <w:tr w:rsidR="00D8141B" w:rsidRPr="006B656F" w:rsidTr="006B656F">
        <w:tc>
          <w:tcPr>
            <w:tcW w:w="1418" w:type="dxa"/>
            <w:shd w:val="pct10" w:color="auto" w:fill="auto"/>
          </w:tcPr>
          <w:p w:rsidR="00D8141B" w:rsidRPr="006B656F" w:rsidRDefault="00D8141B" w:rsidP="006B656F">
            <w:pPr>
              <w:keepNext/>
              <w:keepLines/>
              <w:widowControl w:val="0"/>
              <w:spacing w:before="40" w:after="40" w:line="240" w:lineRule="auto"/>
              <w:ind w:left="851" w:hanging="851"/>
              <w:rPr>
                <w:rFonts w:eastAsia="Times New Roman" w:cs="Arial"/>
                <w:b/>
                <w:bCs/>
                <w:snapToGrid w:val="0"/>
                <w:lang w:val="en-GB"/>
              </w:rPr>
            </w:pPr>
            <w:r w:rsidRPr="006B656F">
              <w:rPr>
                <w:rFonts w:eastAsia="Times New Roman" w:cs="Arial"/>
                <w:b/>
                <w:bCs/>
                <w:snapToGrid w:val="0"/>
                <w:lang w:val="en-GB"/>
              </w:rPr>
              <w:t>Joint</w:t>
            </w:r>
          </w:p>
        </w:tc>
        <w:tc>
          <w:tcPr>
            <w:tcW w:w="1984" w:type="dxa"/>
            <w:shd w:val="pct10" w:color="auto" w:fill="auto"/>
          </w:tcPr>
          <w:p w:rsidR="00D8141B" w:rsidRPr="006B656F" w:rsidRDefault="00D8141B" w:rsidP="006B656F">
            <w:pPr>
              <w:keepNext/>
              <w:keepLines/>
              <w:widowControl w:val="0"/>
              <w:spacing w:before="40" w:after="40" w:line="240" w:lineRule="auto"/>
              <w:ind w:left="851" w:hanging="851"/>
              <w:jc w:val="center"/>
              <w:rPr>
                <w:rFonts w:eastAsia="Times New Roman" w:cs="Arial"/>
                <w:b/>
                <w:bCs/>
                <w:snapToGrid w:val="0"/>
                <w:lang w:val="en-GB"/>
              </w:rPr>
            </w:pPr>
            <w:r w:rsidRPr="006B656F">
              <w:rPr>
                <w:rFonts w:eastAsia="Times New Roman" w:cs="Arial"/>
                <w:b/>
                <w:bCs/>
                <w:snapToGrid w:val="0"/>
                <w:lang w:val="en-GB"/>
              </w:rPr>
              <w:t>Whole person</w:t>
            </w:r>
          </w:p>
        </w:tc>
        <w:tc>
          <w:tcPr>
            <w:tcW w:w="2092" w:type="dxa"/>
            <w:shd w:val="pct10" w:color="auto" w:fill="auto"/>
          </w:tcPr>
          <w:p w:rsidR="00D8141B" w:rsidRPr="006B656F" w:rsidRDefault="00D8141B" w:rsidP="006B656F">
            <w:pPr>
              <w:keepNext/>
              <w:keepLines/>
              <w:widowControl w:val="0"/>
              <w:spacing w:before="40" w:after="40" w:line="240" w:lineRule="auto"/>
              <w:jc w:val="center"/>
              <w:rPr>
                <w:rFonts w:eastAsia="Times New Roman" w:cs="Arial"/>
                <w:b/>
                <w:bCs/>
                <w:snapToGrid w:val="0"/>
                <w:lang w:val="en-GB"/>
              </w:rPr>
            </w:pPr>
            <w:r w:rsidRPr="006B656F">
              <w:rPr>
                <w:rFonts w:eastAsia="Times New Roman" w:cs="Arial"/>
                <w:b/>
                <w:bCs/>
                <w:snapToGrid w:val="0"/>
                <w:lang w:val="en-GB"/>
              </w:rPr>
              <w:t>Lower extremity</w:t>
            </w:r>
          </w:p>
        </w:tc>
        <w:tc>
          <w:tcPr>
            <w:tcW w:w="1840" w:type="dxa"/>
            <w:shd w:val="pct10" w:color="auto" w:fill="auto"/>
          </w:tcPr>
          <w:p w:rsidR="00D8141B" w:rsidRPr="006B656F" w:rsidRDefault="00D8141B" w:rsidP="006B656F">
            <w:pPr>
              <w:keepNext/>
              <w:keepLines/>
              <w:widowControl w:val="0"/>
              <w:spacing w:before="40" w:after="40" w:line="240" w:lineRule="auto"/>
              <w:ind w:left="851" w:hanging="851"/>
              <w:jc w:val="center"/>
              <w:rPr>
                <w:rFonts w:eastAsia="Times New Roman" w:cs="Arial"/>
                <w:b/>
                <w:bCs/>
                <w:snapToGrid w:val="0"/>
                <w:lang w:val="en-GB"/>
              </w:rPr>
            </w:pPr>
            <w:r w:rsidRPr="006B656F">
              <w:rPr>
                <w:rFonts w:eastAsia="Times New Roman" w:cs="Arial"/>
                <w:b/>
                <w:bCs/>
                <w:snapToGrid w:val="0"/>
                <w:lang w:val="en-GB"/>
              </w:rPr>
              <w:t>Ankle or foot</w:t>
            </w:r>
          </w:p>
        </w:tc>
      </w:tr>
      <w:tr w:rsidR="00D8141B" w:rsidRPr="006B656F" w:rsidTr="006B656F">
        <w:tc>
          <w:tcPr>
            <w:tcW w:w="1418" w:type="dxa"/>
          </w:tcPr>
          <w:p w:rsidR="00D8141B" w:rsidRPr="00535AFE" w:rsidRDefault="00D8141B" w:rsidP="008148CB">
            <w:pPr>
              <w:keepLines/>
              <w:widowControl w:val="0"/>
              <w:spacing w:before="20" w:after="20" w:line="240" w:lineRule="auto"/>
              <w:rPr>
                <w:rFonts w:eastAsia="Times New Roman" w:cs="Arial"/>
                <w:snapToGrid w:val="0"/>
                <w:sz w:val="20"/>
                <w:szCs w:val="20"/>
                <w:lang w:val="en-GB"/>
              </w:rPr>
            </w:pPr>
            <w:r w:rsidRPr="00535AFE">
              <w:rPr>
                <w:rFonts w:eastAsia="Times New Roman" w:cs="Arial"/>
                <w:snapToGrid w:val="0"/>
                <w:sz w:val="20"/>
                <w:szCs w:val="20"/>
                <w:lang w:val="en-GB"/>
              </w:rPr>
              <w:t>Hip</w:t>
            </w:r>
          </w:p>
        </w:tc>
        <w:tc>
          <w:tcPr>
            <w:tcW w:w="1984"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20%</w:t>
            </w:r>
          </w:p>
        </w:tc>
        <w:tc>
          <w:tcPr>
            <w:tcW w:w="2092"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50%</w:t>
            </w:r>
          </w:p>
        </w:tc>
        <w:tc>
          <w:tcPr>
            <w:tcW w:w="1840"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w:t>
            </w:r>
          </w:p>
        </w:tc>
      </w:tr>
      <w:tr w:rsidR="00D8141B" w:rsidRPr="006B656F" w:rsidTr="006B656F">
        <w:tc>
          <w:tcPr>
            <w:tcW w:w="1418" w:type="dxa"/>
          </w:tcPr>
          <w:p w:rsidR="00D8141B" w:rsidRPr="00535AFE" w:rsidRDefault="00D8141B" w:rsidP="008148CB">
            <w:pPr>
              <w:keepLines/>
              <w:widowControl w:val="0"/>
              <w:spacing w:before="20" w:after="20" w:line="240" w:lineRule="auto"/>
              <w:rPr>
                <w:rFonts w:eastAsia="Times New Roman" w:cs="Arial"/>
                <w:snapToGrid w:val="0"/>
                <w:sz w:val="20"/>
                <w:szCs w:val="20"/>
                <w:lang w:val="en-GB"/>
              </w:rPr>
            </w:pPr>
            <w:r w:rsidRPr="00535AFE">
              <w:rPr>
                <w:rFonts w:eastAsia="Times New Roman" w:cs="Arial"/>
                <w:snapToGrid w:val="0"/>
                <w:sz w:val="20"/>
                <w:szCs w:val="20"/>
                <w:lang w:val="en-GB"/>
              </w:rPr>
              <w:t>Knee</w:t>
            </w:r>
          </w:p>
        </w:tc>
        <w:tc>
          <w:tcPr>
            <w:tcW w:w="1984"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27%</w:t>
            </w:r>
          </w:p>
        </w:tc>
        <w:tc>
          <w:tcPr>
            <w:tcW w:w="2092"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67%</w:t>
            </w:r>
          </w:p>
        </w:tc>
        <w:tc>
          <w:tcPr>
            <w:tcW w:w="1840"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w:t>
            </w:r>
          </w:p>
        </w:tc>
      </w:tr>
      <w:tr w:rsidR="00D8141B" w:rsidRPr="006B656F" w:rsidTr="006B656F">
        <w:tc>
          <w:tcPr>
            <w:tcW w:w="1418" w:type="dxa"/>
          </w:tcPr>
          <w:p w:rsidR="00D8141B" w:rsidRPr="00535AFE" w:rsidRDefault="00D8141B" w:rsidP="008148CB">
            <w:pPr>
              <w:keepLines/>
              <w:widowControl w:val="0"/>
              <w:spacing w:before="20" w:after="20" w:line="240" w:lineRule="auto"/>
              <w:rPr>
                <w:rFonts w:eastAsia="Times New Roman" w:cs="Arial"/>
                <w:snapToGrid w:val="0"/>
                <w:sz w:val="20"/>
                <w:szCs w:val="20"/>
                <w:lang w:val="en-GB"/>
              </w:rPr>
            </w:pPr>
            <w:r w:rsidRPr="00535AFE">
              <w:rPr>
                <w:rFonts w:eastAsia="Times New Roman" w:cs="Arial"/>
                <w:snapToGrid w:val="0"/>
                <w:sz w:val="20"/>
                <w:szCs w:val="20"/>
                <w:lang w:val="en-GB"/>
              </w:rPr>
              <w:t>Pantalar</w:t>
            </w:r>
          </w:p>
        </w:tc>
        <w:tc>
          <w:tcPr>
            <w:tcW w:w="1984"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19%</w:t>
            </w:r>
          </w:p>
        </w:tc>
        <w:tc>
          <w:tcPr>
            <w:tcW w:w="2092"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47%</w:t>
            </w:r>
          </w:p>
        </w:tc>
        <w:tc>
          <w:tcPr>
            <w:tcW w:w="1840"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67%</w:t>
            </w:r>
          </w:p>
        </w:tc>
      </w:tr>
      <w:tr w:rsidR="00D8141B" w:rsidRPr="006B656F" w:rsidTr="006B656F">
        <w:tc>
          <w:tcPr>
            <w:tcW w:w="1418" w:type="dxa"/>
          </w:tcPr>
          <w:p w:rsidR="00D8141B" w:rsidRPr="00535AFE" w:rsidRDefault="00D8141B" w:rsidP="008148CB">
            <w:pPr>
              <w:keepLines/>
              <w:widowControl w:val="0"/>
              <w:spacing w:before="20" w:after="20" w:line="240" w:lineRule="auto"/>
              <w:rPr>
                <w:rFonts w:eastAsia="Times New Roman" w:cs="Arial"/>
                <w:snapToGrid w:val="0"/>
                <w:sz w:val="20"/>
                <w:szCs w:val="20"/>
                <w:lang w:val="en-GB"/>
              </w:rPr>
            </w:pPr>
            <w:r w:rsidRPr="00535AFE">
              <w:rPr>
                <w:rFonts w:eastAsia="Times New Roman" w:cs="Arial"/>
                <w:snapToGrid w:val="0"/>
                <w:sz w:val="20"/>
                <w:szCs w:val="20"/>
                <w:lang w:val="en-GB"/>
              </w:rPr>
              <w:t>Ankle</w:t>
            </w:r>
          </w:p>
        </w:tc>
        <w:tc>
          <w:tcPr>
            <w:tcW w:w="1984"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15%</w:t>
            </w:r>
          </w:p>
        </w:tc>
        <w:tc>
          <w:tcPr>
            <w:tcW w:w="2092"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37%</w:t>
            </w:r>
          </w:p>
        </w:tc>
        <w:tc>
          <w:tcPr>
            <w:tcW w:w="1840"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53%</w:t>
            </w:r>
          </w:p>
        </w:tc>
      </w:tr>
      <w:tr w:rsidR="00D8141B" w:rsidRPr="006B656F" w:rsidTr="006B656F">
        <w:tc>
          <w:tcPr>
            <w:tcW w:w="1418" w:type="dxa"/>
          </w:tcPr>
          <w:p w:rsidR="00D8141B" w:rsidRPr="00535AFE" w:rsidRDefault="00D8141B" w:rsidP="008148CB">
            <w:pPr>
              <w:keepLines/>
              <w:widowControl w:val="0"/>
              <w:spacing w:before="20" w:after="20" w:line="240" w:lineRule="auto"/>
              <w:rPr>
                <w:rFonts w:eastAsia="Times New Roman" w:cs="Arial"/>
                <w:snapToGrid w:val="0"/>
                <w:sz w:val="20"/>
                <w:szCs w:val="20"/>
                <w:lang w:val="en-GB"/>
              </w:rPr>
            </w:pPr>
            <w:r w:rsidRPr="00535AFE">
              <w:rPr>
                <w:rFonts w:eastAsia="Times New Roman" w:cs="Arial"/>
                <w:snapToGrid w:val="0"/>
                <w:sz w:val="20"/>
                <w:szCs w:val="20"/>
                <w:lang w:val="en-GB"/>
              </w:rPr>
              <w:t>Triple</w:t>
            </w:r>
          </w:p>
        </w:tc>
        <w:tc>
          <w:tcPr>
            <w:tcW w:w="1984"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6%</w:t>
            </w:r>
          </w:p>
        </w:tc>
        <w:tc>
          <w:tcPr>
            <w:tcW w:w="2092"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15%</w:t>
            </w:r>
          </w:p>
        </w:tc>
        <w:tc>
          <w:tcPr>
            <w:tcW w:w="1840"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21%</w:t>
            </w:r>
          </w:p>
        </w:tc>
      </w:tr>
      <w:tr w:rsidR="00D8141B" w:rsidRPr="006B656F" w:rsidTr="006B656F">
        <w:tc>
          <w:tcPr>
            <w:tcW w:w="1418" w:type="dxa"/>
          </w:tcPr>
          <w:p w:rsidR="00D8141B" w:rsidRPr="00535AFE" w:rsidRDefault="00D8141B" w:rsidP="008148CB">
            <w:pPr>
              <w:keepLines/>
              <w:widowControl w:val="0"/>
              <w:spacing w:before="20" w:after="20" w:line="240" w:lineRule="auto"/>
              <w:rPr>
                <w:rFonts w:eastAsia="Times New Roman" w:cs="Arial"/>
                <w:snapToGrid w:val="0"/>
                <w:sz w:val="20"/>
                <w:szCs w:val="20"/>
                <w:lang w:val="en-GB"/>
              </w:rPr>
            </w:pPr>
            <w:r w:rsidRPr="00535AFE">
              <w:rPr>
                <w:rFonts w:eastAsia="Times New Roman" w:cs="Arial"/>
                <w:snapToGrid w:val="0"/>
                <w:sz w:val="20"/>
                <w:szCs w:val="20"/>
                <w:lang w:val="en-GB"/>
              </w:rPr>
              <w:t>Subtalar</w:t>
            </w:r>
          </w:p>
        </w:tc>
        <w:tc>
          <w:tcPr>
            <w:tcW w:w="1984"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4%</w:t>
            </w:r>
          </w:p>
        </w:tc>
        <w:tc>
          <w:tcPr>
            <w:tcW w:w="2092"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10%</w:t>
            </w:r>
          </w:p>
        </w:tc>
        <w:tc>
          <w:tcPr>
            <w:tcW w:w="1840" w:type="dxa"/>
          </w:tcPr>
          <w:p w:rsidR="00D8141B" w:rsidRPr="00535AFE" w:rsidRDefault="00D8141B" w:rsidP="008148CB">
            <w:pPr>
              <w:keepLines/>
              <w:widowControl w:val="0"/>
              <w:spacing w:before="20" w:after="20" w:line="240" w:lineRule="auto"/>
              <w:jc w:val="center"/>
              <w:rPr>
                <w:rFonts w:eastAsia="Times New Roman" w:cs="Arial"/>
                <w:snapToGrid w:val="0"/>
                <w:sz w:val="20"/>
                <w:szCs w:val="20"/>
                <w:lang w:val="en-GB"/>
              </w:rPr>
            </w:pPr>
            <w:r w:rsidRPr="00535AFE">
              <w:rPr>
                <w:rFonts w:eastAsia="Times New Roman" w:cs="Arial"/>
                <w:snapToGrid w:val="0"/>
                <w:sz w:val="20"/>
                <w:szCs w:val="20"/>
                <w:lang w:val="en-GB"/>
              </w:rPr>
              <w:t>14%</w:t>
            </w:r>
          </w:p>
        </w:tc>
      </w:tr>
    </w:tbl>
    <w:p w:rsidR="00D8141B" w:rsidRPr="00D8141B" w:rsidRDefault="00D8141B" w:rsidP="00535AFE">
      <w:pPr>
        <w:pStyle w:val="BodyText3"/>
        <w:numPr>
          <w:ilvl w:val="0"/>
          <w:numId w:val="0"/>
        </w:numPr>
        <w:spacing w:before="120"/>
        <w:ind w:left="709"/>
        <w:rPr>
          <w:snapToGrid w:val="0"/>
          <w:lang w:val="en-GB"/>
        </w:rPr>
      </w:pPr>
      <w:r w:rsidRPr="00D8141B">
        <w:rPr>
          <w:snapToGrid w:val="0"/>
        </w:rPr>
        <w:t>Note that the figures in table 3.1 suggested for ankle impairment are greater than those suggested in the AMA5</w:t>
      </w:r>
      <w:r w:rsidRPr="00D8141B">
        <w:rPr>
          <w:snapToGrid w:val="0"/>
          <w:lang w:val="en-GB"/>
        </w:rPr>
        <w:t>.</w:t>
      </w:r>
    </w:p>
    <w:p w:rsidR="00D8141B" w:rsidRPr="00D8141B" w:rsidRDefault="00D8141B" w:rsidP="008148CB">
      <w:pPr>
        <w:pStyle w:val="BodyText3"/>
        <w:numPr>
          <w:ilvl w:val="0"/>
          <w:numId w:val="0"/>
        </w:numPr>
        <w:ind w:left="709"/>
      </w:pPr>
      <w:r w:rsidRPr="00D8141B">
        <w:t>Ankylosis of the ankle in the neutral/optimal position equates with 15 (37) [53] per cent impairment as per table 3.1.Table 3.1(a) is provided below as guidance to evaluate additional impairment owing to variation from the neutral position. The additional amounts at the top of each column are added to the figure for impairment in the neutral position. In keeping with AMA5, p 541, the maximum impairment for ankylosis of the ankle remains at 25 (62) [88] per cent impairment.</w:t>
      </w:r>
    </w:p>
    <w:p w:rsidR="00286F9C" w:rsidRDefault="00286F9C">
      <w:pPr>
        <w:rPr>
          <w:rFonts w:eastAsia="Times New Roman" w:cs="Arial"/>
          <w:b/>
          <w:sz w:val="24"/>
          <w:szCs w:val="24"/>
          <w:lang w:val="en-US"/>
        </w:rPr>
      </w:pPr>
      <w:r>
        <w:rPr>
          <w:rFonts w:eastAsia="Times New Roman" w:cs="Arial"/>
          <w:b/>
          <w:sz w:val="24"/>
          <w:szCs w:val="24"/>
          <w:lang w:val="en-US"/>
        </w:rPr>
        <w:br w:type="page"/>
      </w:r>
    </w:p>
    <w:p w:rsidR="00D8141B" w:rsidRPr="009571ED" w:rsidRDefault="00D8141B" w:rsidP="009571ED">
      <w:pPr>
        <w:spacing w:before="360" w:after="120" w:line="240" w:lineRule="auto"/>
        <w:ind w:left="426"/>
        <w:jc w:val="center"/>
        <w:rPr>
          <w:rFonts w:eastAsia="Times New Roman" w:cs="Arial"/>
          <w:b/>
          <w:sz w:val="24"/>
          <w:szCs w:val="24"/>
          <w:lang w:val="en-US"/>
        </w:rPr>
      </w:pPr>
      <w:r w:rsidRPr="009571ED">
        <w:rPr>
          <w:rFonts w:eastAsia="Times New Roman" w:cs="Arial"/>
          <w:b/>
          <w:sz w:val="24"/>
          <w:szCs w:val="24"/>
          <w:lang w:val="en-US"/>
        </w:rPr>
        <w:lastRenderedPageBreak/>
        <w:t>Table 3.1(a) Impairment for ankylosis in variation from the optimum position</w:t>
      </w:r>
    </w:p>
    <w:tbl>
      <w:tblPr>
        <w:tblW w:w="903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701"/>
        <w:gridCol w:w="1985"/>
        <w:gridCol w:w="1559"/>
        <w:gridCol w:w="1519"/>
      </w:tblGrid>
      <w:tr w:rsidR="00D8141B" w:rsidRPr="00D8141B" w:rsidTr="00773899">
        <w:tc>
          <w:tcPr>
            <w:tcW w:w="2268" w:type="dxa"/>
            <w:tcBorders>
              <w:top w:val="nil"/>
              <w:left w:val="nil"/>
              <w:bottom w:val="single" w:sz="4" w:space="0" w:color="auto"/>
            </w:tcBorders>
          </w:tcPr>
          <w:p w:rsidR="00D8141B" w:rsidRPr="00D8141B" w:rsidRDefault="00D8141B" w:rsidP="009571ED">
            <w:pPr>
              <w:spacing w:before="120" w:after="120" w:line="240" w:lineRule="auto"/>
              <w:jc w:val="both"/>
              <w:rPr>
                <w:rFonts w:eastAsia="Times New Roman" w:cs="Arial"/>
                <w:szCs w:val="20"/>
                <w:lang w:val="en-US"/>
              </w:rPr>
            </w:pPr>
          </w:p>
        </w:tc>
        <w:tc>
          <w:tcPr>
            <w:tcW w:w="6764" w:type="dxa"/>
            <w:gridSpan w:val="4"/>
            <w:tcBorders>
              <w:bottom w:val="single" w:sz="4" w:space="0" w:color="auto"/>
            </w:tcBorders>
            <w:shd w:val="pct10" w:color="auto" w:fill="auto"/>
          </w:tcPr>
          <w:p w:rsidR="00D8141B" w:rsidRPr="00D8141B" w:rsidRDefault="00D8141B" w:rsidP="009571ED">
            <w:pPr>
              <w:spacing w:before="120" w:after="120" w:line="240" w:lineRule="auto"/>
              <w:jc w:val="center"/>
              <w:rPr>
                <w:rFonts w:eastAsia="Times New Roman" w:cs="Arial"/>
                <w:b/>
                <w:szCs w:val="20"/>
                <w:lang w:val="en-US"/>
              </w:rPr>
            </w:pPr>
            <w:r w:rsidRPr="00D8141B">
              <w:rPr>
                <w:rFonts w:eastAsia="Times New Roman" w:cs="Arial"/>
                <w:b/>
                <w:szCs w:val="20"/>
                <w:lang w:val="en-US"/>
              </w:rPr>
              <w:t>Whole person (lower e</w:t>
            </w:r>
            <w:r w:rsidR="009571ED">
              <w:rPr>
                <w:rFonts w:eastAsia="Times New Roman" w:cs="Arial"/>
                <w:b/>
                <w:szCs w:val="20"/>
                <w:lang w:val="en-US"/>
              </w:rPr>
              <w:t>xtremity) [foot] impairment (%)</w:t>
            </w:r>
          </w:p>
        </w:tc>
      </w:tr>
      <w:tr w:rsidR="00D8141B" w:rsidRPr="00D8141B" w:rsidTr="00773899">
        <w:tc>
          <w:tcPr>
            <w:tcW w:w="2268" w:type="dxa"/>
            <w:shd w:val="pct10" w:color="auto" w:fill="auto"/>
          </w:tcPr>
          <w:p w:rsidR="00D8141B" w:rsidRPr="00D8141B" w:rsidRDefault="00D8141B" w:rsidP="009571ED">
            <w:pPr>
              <w:spacing w:before="40" w:after="40" w:line="240" w:lineRule="auto"/>
              <w:jc w:val="center"/>
              <w:rPr>
                <w:rFonts w:eastAsia="Times New Roman" w:cs="Arial"/>
                <w:b/>
                <w:szCs w:val="20"/>
                <w:lang w:val="en-US"/>
              </w:rPr>
            </w:pPr>
            <w:r w:rsidRPr="00D8141B">
              <w:rPr>
                <w:rFonts w:eastAsia="Times New Roman" w:cs="Arial"/>
                <w:b/>
                <w:szCs w:val="20"/>
                <w:lang w:val="en-US"/>
              </w:rPr>
              <w:t>Position</w:t>
            </w:r>
          </w:p>
        </w:tc>
        <w:tc>
          <w:tcPr>
            <w:tcW w:w="1701" w:type="dxa"/>
            <w:shd w:val="pct10" w:color="auto" w:fill="auto"/>
          </w:tcPr>
          <w:p w:rsidR="00D8141B" w:rsidRPr="00D8141B" w:rsidRDefault="00D8141B" w:rsidP="009571ED">
            <w:pPr>
              <w:spacing w:before="40" w:after="40" w:line="240" w:lineRule="auto"/>
              <w:jc w:val="center"/>
              <w:rPr>
                <w:rFonts w:eastAsia="Times New Roman" w:cs="Arial"/>
                <w:b/>
                <w:szCs w:val="20"/>
                <w:lang w:val="en-US"/>
              </w:rPr>
            </w:pPr>
            <w:r w:rsidRPr="00D8141B">
              <w:rPr>
                <w:rFonts w:eastAsia="Times New Roman" w:cs="Arial"/>
                <w:b/>
                <w:szCs w:val="20"/>
                <w:lang w:val="en-US"/>
              </w:rPr>
              <w:t>2 (5) [7]</w:t>
            </w:r>
          </w:p>
        </w:tc>
        <w:tc>
          <w:tcPr>
            <w:tcW w:w="1985" w:type="dxa"/>
            <w:shd w:val="pct10" w:color="auto" w:fill="auto"/>
          </w:tcPr>
          <w:p w:rsidR="00D8141B" w:rsidRPr="00D8141B" w:rsidRDefault="00D8141B" w:rsidP="009571ED">
            <w:pPr>
              <w:spacing w:before="40" w:after="40" w:line="240" w:lineRule="auto"/>
              <w:jc w:val="center"/>
              <w:rPr>
                <w:rFonts w:eastAsia="Times New Roman" w:cs="Arial"/>
                <w:b/>
                <w:szCs w:val="20"/>
                <w:lang w:val="en-US"/>
              </w:rPr>
            </w:pPr>
            <w:r w:rsidRPr="00D8141B">
              <w:rPr>
                <w:rFonts w:eastAsia="Times New Roman" w:cs="Arial"/>
                <w:b/>
                <w:szCs w:val="20"/>
                <w:lang w:val="en-US"/>
              </w:rPr>
              <w:t>4 (10) [14]</w:t>
            </w:r>
          </w:p>
        </w:tc>
        <w:tc>
          <w:tcPr>
            <w:tcW w:w="1559" w:type="dxa"/>
            <w:shd w:val="pct10" w:color="auto" w:fill="auto"/>
          </w:tcPr>
          <w:p w:rsidR="00D8141B" w:rsidRPr="00D8141B" w:rsidRDefault="00D8141B" w:rsidP="009571ED">
            <w:pPr>
              <w:spacing w:before="40" w:after="40" w:line="240" w:lineRule="auto"/>
              <w:jc w:val="center"/>
              <w:rPr>
                <w:rFonts w:eastAsia="Times New Roman" w:cs="Arial"/>
                <w:b/>
                <w:szCs w:val="20"/>
                <w:lang w:val="en-US"/>
              </w:rPr>
            </w:pPr>
            <w:r w:rsidRPr="00D8141B">
              <w:rPr>
                <w:rFonts w:eastAsia="Times New Roman" w:cs="Arial"/>
                <w:b/>
                <w:szCs w:val="20"/>
                <w:lang w:val="en-US"/>
              </w:rPr>
              <w:t>7 (17) [24]</w:t>
            </w:r>
          </w:p>
        </w:tc>
        <w:tc>
          <w:tcPr>
            <w:tcW w:w="1519" w:type="dxa"/>
            <w:shd w:val="pct10" w:color="auto" w:fill="auto"/>
          </w:tcPr>
          <w:p w:rsidR="00D8141B" w:rsidRPr="00D8141B" w:rsidRDefault="00D8141B" w:rsidP="009571ED">
            <w:pPr>
              <w:spacing w:before="40" w:after="40" w:line="240" w:lineRule="auto"/>
              <w:jc w:val="center"/>
              <w:rPr>
                <w:rFonts w:eastAsia="Times New Roman" w:cs="Arial"/>
                <w:b/>
                <w:szCs w:val="20"/>
                <w:lang w:val="en-US"/>
              </w:rPr>
            </w:pPr>
            <w:r w:rsidRPr="00D8141B">
              <w:rPr>
                <w:rFonts w:eastAsia="Times New Roman" w:cs="Arial"/>
                <w:b/>
                <w:szCs w:val="20"/>
                <w:lang w:val="en-US"/>
              </w:rPr>
              <w:t>10 (25) [35]</w:t>
            </w:r>
          </w:p>
        </w:tc>
      </w:tr>
      <w:tr w:rsidR="00D8141B" w:rsidRPr="00D8141B" w:rsidTr="00773899">
        <w:trPr>
          <w:trHeight w:val="299"/>
        </w:trPr>
        <w:tc>
          <w:tcPr>
            <w:tcW w:w="2268" w:type="dxa"/>
          </w:tcPr>
          <w:p w:rsidR="00D8141B" w:rsidRPr="00535AFE" w:rsidRDefault="00D8141B" w:rsidP="009571ED">
            <w:pPr>
              <w:spacing w:before="40" w:after="40" w:line="240" w:lineRule="auto"/>
              <w:jc w:val="both"/>
              <w:rPr>
                <w:rFonts w:eastAsia="Times New Roman" w:cs="Arial"/>
                <w:sz w:val="20"/>
                <w:szCs w:val="20"/>
                <w:lang w:val="en-US"/>
              </w:rPr>
            </w:pPr>
            <w:r w:rsidRPr="00535AFE">
              <w:rPr>
                <w:rFonts w:eastAsia="Times New Roman" w:cs="Arial"/>
                <w:sz w:val="20"/>
                <w:szCs w:val="20"/>
                <w:lang w:val="en-US"/>
              </w:rPr>
              <w:t>1. Dorsiflexion</w:t>
            </w:r>
          </w:p>
        </w:tc>
        <w:tc>
          <w:tcPr>
            <w:tcW w:w="1701" w:type="dxa"/>
          </w:tcPr>
          <w:p w:rsidR="00D8141B" w:rsidRPr="00535AFE" w:rsidRDefault="00D8141B" w:rsidP="009571ED">
            <w:pPr>
              <w:spacing w:before="40" w:after="40" w:line="240" w:lineRule="auto"/>
              <w:ind w:left="360"/>
              <w:rPr>
                <w:rFonts w:eastAsia="Times New Roman" w:cs="Arial"/>
                <w:sz w:val="20"/>
                <w:szCs w:val="20"/>
                <w:lang w:val="en-US"/>
              </w:rPr>
            </w:pPr>
            <w:r w:rsidRPr="00535AFE">
              <w:rPr>
                <w:rFonts w:eastAsia="Times New Roman" w:cs="Arial"/>
                <w:snapToGrid w:val="0"/>
                <w:sz w:val="20"/>
                <w:szCs w:val="20"/>
                <w:lang w:val="en-US"/>
              </w:rPr>
              <w:t xml:space="preserve">    5 - 9 °</w:t>
            </w:r>
          </w:p>
        </w:tc>
        <w:tc>
          <w:tcPr>
            <w:tcW w:w="1985"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10 - 19 °</w:t>
            </w:r>
          </w:p>
        </w:tc>
        <w:tc>
          <w:tcPr>
            <w:tcW w:w="155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20 - 29 °</w:t>
            </w:r>
          </w:p>
        </w:tc>
        <w:tc>
          <w:tcPr>
            <w:tcW w:w="151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30 °</w:t>
            </w:r>
            <w:r w:rsidRPr="00535AFE">
              <w:rPr>
                <w:rFonts w:eastAsia="Times New Roman" w:cs="Arial"/>
                <w:sz w:val="20"/>
                <w:szCs w:val="20"/>
                <w:lang w:val="en-US"/>
              </w:rPr>
              <w:t>+</w:t>
            </w:r>
          </w:p>
        </w:tc>
      </w:tr>
      <w:tr w:rsidR="00D8141B" w:rsidRPr="00D8141B" w:rsidTr="00773899">
        <w:tc>
          <w:tcPr>
            <w:tcW w:w="2268" w:type="dxa"/>
          </w:tcPr>
          <w:p w:rsidR="00D8141B" w:rsidRPr="00535AFE" w:rsidRDefault="00D8141B" w:rsidP="009571ED">
            <w:pPr>
              <w:spacing w:before="40" w:after="40" w:line="240" w:lineRule="auto"/>
              <w:jc w:val="both"/>
              <w:rPr>
                <w:rFonts w:eastAsia="Times New Roman" w:cs="Arial"/>
                <w:sz w:val="20"/>
                <w:szCs w:val="20"/>
                <w:lang w:val="en-US"/>
              </w:rPr>
            </w:pPr>
            <w:r w:rsidRPr="00535AFE">
              <w:rPr>
                <w:rFonts w:eastAsia="Times New Roman" w:cs="Arial"/>
                <w:sz w:val="20"/>
                <w:szCs w:val="20"/>
                <w:lang w:val="en-US"/>
              </w:rPr>
              <w:t>2. Plantar flexion</w:t>
            </w:r>
          </w:p>
        </w:tc>
        <w:tc>
          <w:tcPr>
            <w:tcW w:w="1701"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z w:val="20"/>
                <w:szCs w:val="20"/>
                <w:lang w:val="en-US"/>
              </w:rPr>
              <w:t>-</w:t>
            </w:r>
          </w:p>
        </w:tc>
        <w:tc>
          <w:tcPr>
            <w:tcW w:w="1985"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10 - 19 °</w:t>
            </w:r>
          </w:p>
        </w:tc>
        <w:tc>
          <w:tcPr>
            <w:tcW w:w="155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20 - 29 °</w:t>
            </w:r>
          </w:p>
        </w:tc>
        <w:tc>
          <w:tcPr>
            <w:tcW w:w="151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30 °</w:t>
            </w:r>
            <w:r w:rsidRPr="00535AFE">
              <w:rPr>
                <w:rFonts w:eastAsia="Times New Roman" w:cs="Arial"/>
                <w:sz w:val="20"/>
                <w:szCs w:val="20"/>
                <w:lang w:val="en-US"/>
              </w:rPr>
              <w:t>+</w:t>
            </w:r>
          </w:p>
        </w:tc>
      </w:tr>
      <w:tr w:rsidR="00D8141B" w:rsidRPr="00D8141B" w:rsidTr="00773899">
        <w:tc>
          <w:tcPr>
            <w:tcW w:w="2268" w:type="dxa"/>
          </w:tcPr>
          <w:p w:rsidR="00D8141B" w:rsidRPr="00535AFE" w:rsidRDefault="00D8141B" w:rsidP="009571ED">
            <w:pPr>
              <w:spacing w:before="40" w:after="40" w:line="240" w:lineRule="auto"/>
              <w:jc w:val="both"/>
              <w:rPr>
                <w:rFonts w:eastAsia="Times New Roman" w:cs="Arial"/>
                <w:sz w:val="20"/>
                <w:szCs w:val="20"/>
                <w:lang w:val="en-US"/>
              </w:rPr>
            </w:pPr>
            <w:r w:rsidRPr="00535AFE">
              <w:rPr>
                <w:rFonts w:eastAsia="Times New Roman" w:cs="Arial"/>
                <w:sz w:val="20"/>
                <w:szCs w:val="20"/>
                <w:lang w:val="en-US"/>
              </w:rPr>
              <w:t>3. Varus</w:t>
            </w:r>
          </w:p>
        </w:tc>
        <w:tc>
          <w:tcPr>
            <w:tcW w:w="1701"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 xml:space="preserve"> 5 - 9 °</w:t>
            </w:r>
          </w:p>
        </w:tc>
        <w:tc>
          <w:tcPr>
            <w:tcW w:w="1985"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10 - 19 °</w:t>
            </w:r>
          </w:p>
        </w:tc>
        <w:tc>
          <w:tcPr>
            <w:tcW w:w="155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20 - 29 °</w:t>
            </w:r>
          </w:p>
        </w:tc>
        <w:tc>
          <w:tcPr>
            <w:tcW w:w="151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30 °</w:t>
            </w:r>
            <w:r w:rsidRPr="00535AFE">
              <w:rPr>
                <w:rFonts w:eastAsia="Times New Roman" w:cs="Arial"/>
                <w:sz w:val="20"/>
                <w:szCs w:val="20"/>
                <w:lang w:val="en-US"/>
              </w:rPr>
              <w:t>+</w:t>
            </w:r>
          </w:p>
        </w:tc>
      </w:tr>
      <w:tr w:rsidR="00D8141B" w:rsidRPr="00D8141B" w:rsidTr="00773899">
        <w:tc>
          <w:tcPr>
            <w:tcW w:w="2268" w:type="dxa"/>
          </w:tcPr>
          <w:p w:rsidR="00D8141B" w:rsidRPr="00535AFE" w:rsidRDefault="00D8141B" w:rsidP="009571ED">
            <w:pPr>
              <w:spacing w:before="40" w:after="40" w:line="240" w:lineRule="auto"/>
              <w:jc w:val="both"/>
              <w:rPr>
                <w:rFonts w:eastAsia="Times New Roman" w:cs="Arial"/>
                <w:sz w:val="20"/>
                <w:szCs w:val="20"/>
                <w:lang w:val="en-US"/>
              </w:rPr>
            </w:pPr>
            <w:r w:rsidRPr="00535AFE">
              <w:rPr>
                <w:rFonts w:eastAsia="Times New Roman" w:cs="Arial"/>
                <w:sz w:val="20"/>
                <w:szCs w:val="20"/>
                <w:lang w:val="en-US"/>
              </w:rPr>
              <w:t>4. Valgus</w:t>
            </w:r>
          </w:p>
        </w:tc>
        <w:tc>
          <w:tcPr>
            <w:tcW w:w="1701"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z w:val="20"/>
                <w:szCs w:val="20"/>
                <w:lang w:val="en-US"/>
              </w:rPr>
              <w:t>-</w:t>
            </w:r>
          </w:p>
        </w:tc>
        <w:tc>
          <w:tcPr>
            <w:tcW w:w="1985"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10 - 19 °</w:t>
            </w:r>
          </w:p>
        </w:tc>
        <w:tc>
          <w:tcPr>
            <w:tcW w:w="155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20 - 29 °</w:t>
            </w:r>
          </w:p>
        </w:tc>
        <w:tc>
          <w:tcPr>
            <w:tcW w:w="151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30 °</w:t>
            </w:r>
            <w:r w:rsidRPr="00535AFE">
              <w:rPr>
                <w:rFonts w:eastAsia="Times New Roman" w:cs="Arial"/>
                <w:sz w:val="20"/>
                <w:szCs w:val="20"/>
                <w:lang w:val="en-US"/>
              </w:rPr>
              <w:t>+</w:t>
            </w:r>
          </w:p>
        </w:tc>
      </w:tr>
      <w:tr w:rsidR="00D8141B" w:rsidRPr="00D8141B" w:rsidTr="00773899">
        <w:tc>
          <w:tcPr>
            <w:tcW w:w="2268" w:type="dxa"/>
          </w:tcPr>
          <w:p w:rsidR="00D8141B" w:rsidRPr="00535AFE" w:rsidRDefault="00D8141B" w:rsidP="009571ED">
            <w:pPr>
              <w:spacing w:before="40" w:after="40" w:line="240" w:lineRule="auto"/>
              <w:jc w:val="both"/>
              <w:rPr>
                <w:rFonts w:eastAsia="Times New Roman" w:cs="Arial"/>
                <w:sz w:val="20"/>
                <w:szCs w:val="20"/>
                <w:lang w:val="en-US"/>
              </w:rPr>
            </w:pPr>
            <w:r w:rsidRPr="00535AFE">
              <w:rPr>
                <w:rFonts w:eastAsia="Times New Roman" w:cs="Arial"/>
                <w:sz w:val="20"/>
                <w:szCs w:val="20"/>
                <w:lang w:val="en-US"/>
              </w:rPr>
              <w:t>5. Internal rotation</w:t>
            </w:r>
          </w:p>
        </w:tc>
        <w:tc>
          <w:tcPr>
            <w:tcW w:w="1701"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0 - 9 °</w:t>
            </w:r>
          </w:p>
        </w:tc>
        <w:tc>
          <w:tcPr>
            <w:tcW w:w="1985"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10 - 19 °</w:t>
            </w:r>
          </w:p>
        </w:tc>
        <w:tc>
          <w:tcPr>
            <w:tcW w:w="155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20 - 29 °</w:t>
            </w:r>
          </w:p>
        </w:tc>
        <w:tc>
          <w:tcPr>
            <w:tcW w:w="151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30 °</w:t>
            </w:r>
            <w:r w:rsidRPr="00535AFE">
              <w:rPr>
                <w:rFonts w:eastAsia="Times New Roman" w:cs="Arial"/>
                <w:sz w:val="20"/>
                <w:szCs w:val="20"/>
                <w:lang w:val="en-US"/>
              </w:rPr>
              <w:t>+</w:t>
            </w:r>
          </w:p>
        </w:tc>
      </w:tr>
      <w:tr w:rsidR="00D8141B" w:rsidRPr="00D8141B" w:rsidTr="00773899">
        <w:tc>
          <w:tcPr>
            <w:tcW w:w="2268" w:type="dxa"/>
          </w:tcPr>
          <w:p w:rsidR="00D8141B" w:rsidRPr="00535AFE" w:rsidRDefault="00D8141B" w:rsidP="009571ED">
            <w:pPr>
              <w:spacing w:before="40" w:after="40" w:line="240" w:lineRule="auto"/>
              <w:rPr>
                <w:rFonts w:eastAsia="Times New Roman" w:cs="Arial"/>
                <w:sz w:val="20"/>
                <w:szCs w:val="20"/>
                <w:lang w:val="en-US"/>
              </w:rPr>
            </w:pPr>
            <w:r w:rsidRPr="00535AFE">
              <w:rPr>
                <w:rFonts w:eastAsia="Times New Roman" w:cs="Arial"/>
                <w:sz w:val="20"/>
                <w:szCs w:val="20"/>
                <w:lang w:val="en-US"/>
              </w:rPr>
              <w:t>6. External rotation</w:t>
            </w:r>
          </w:p>
        </w:tc>
        <w:tc>
          <w:tcPr>
            <w:tcW w:w="1701"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15 - 19 °</w:t>
            </w:r>
          </w:p>
        </w:tc>
        <w:tc>
          <w:tcPr>
            <w:tcW w:w="1985"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20 - 29 °</w:t>
            </w:r>
          </w:p>
        </w:tc>
        <w:tc>
          <w:tcPr>
            <w:tcW w:w="155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30 - 39 °</w:t>
            </w:r>
          </w:p>
        </w:tc>
        <w:tc>
          <w:tcPr>
            <w:tcW w:w="1519" w:type="dxa"/>
          </w:tcPr>
          <w:p w:rsidR="00D8141B" w:rsidRPr="00535AFE" w:rsidRDefault="00D8141B" w:rsidP="009571ED">
            <w:pPr>
              <w:spacing w:before="40" w:after="40" w:line="240" w:lineRule="auto"/>
              <w:jc w:val="center"/>
              <w:rPr>
                <w:rFonts w:eastAsia="Times New Roman" w:cs="Arial"/>
                <w:sz w:val="20"/>
                <w:szCs w:val="20"/>
                <w:lang w:val="en-US"/>
              </w:rPr>
            </w:pPr>
            <w:r w:rsidRPr="00535AFE">
              <w:rPr>
                <w:rFonts w:eastAsia="Times New Roman" w:cs="Arial"/>
                <w:snapToGrid w:val="0"/>
                <w:sz w:val="20"/>
                <w:szCs w:val="20"/>
                <w:lang w:val="en-US"/>
              </w:rPr>
              <w:t>40 °</w:t>
            </w:r>
            <w:r w:rsidRPr="00535AFE">
              <w:rPr>
                <w:rFonts w:eastAsia="Times New Roman" w:cs="Arial"/>
                <w:sz w:val="20"/>
                <w:szCs w:val="20"/>
                <w:lang w:val="en-US"/>
              </w:rPr>
              <w:t>+</w:t>
            </w:r>
          </w:p>
        </w:tc>
      </w:tr>
    </w:tbl>
    <w:p w:rsidR="00D8141B" w:rsidRPr="00D8141B" w:rsidRDefault="00D8141B" w:rsidP="009571ED">
      <w:pPr>
        <w:pStyle w:val="Heading3"/>
        <w:spacing w:before="360"/>
        <w:rPr>
          <w:snapToGrid w:val="0"/>
        </w:rPr>
      </w:pPr>
      <w:bookmarkStart w:id="42" w:name="_Toc144874626"/>
      <w:bookmarkStart w:id="43" w:name="_Toc144875214"/>
      <w:r w:rsidRPr="00D8141B">
        <w:rPr>
          <w:snapToGrid w:val="0"/>
        </w:rPr>
        <w:t>Arthritis</w:t>
      </w:r>
      <w:bookmarkEnd w:id="42"/>
      <w:bookmarkEnd w:id="43"/>
    </w:p>
    <w:p w:rsidR="00D8141B" w:rsidRPr="00D8141B" w:rsidRDefault="00D8141B" w:rsidP="009571ED">
      <w:pPr>
        <w:pStyle w:val="BodyText3"/>
      </w:pPr>
      <w:r w:rsidRPr="00D8141B">
        <w:rPr>
          <w:snapToGrid w:val="0"/>
        </w:rPr>
        <w:t>Impairment due to arthritis (AMA5 section 17.2n, pp 544-545) following a work-related injury is uncommon, but may occur in isolated cases. The presence of arthritis may indicate a pre-existing condition and this should be assessed and an appropriate deduction made (see chapter 1).</w:t>
      </w:r>
    </w:p>
    <w:p w:rsidR="00D8141B" w:rsidRPr="00D8141B" w:rsidRDefault="00D8141B" w:rsidP="009571ED">
      <w:pPr>
        <w:pStyle w:val="BodyText3"/>
      </w:pPr>
      <w:r w:rsidRPr="00D8141B">
        <w:t>The presence of osteoarthritis is defined as cartilage loss. Cartilage loss can be measured by properly aligned plain x-ray, or by direct vision (arthroscopy) but impairment can only be assessed by the radiologically determined cartilage loss intervals in AMA5,  table 17-31 (p 544). When assessing impairment of the knee joint which has three compartments, only the compartment with the major impairment is used in the assessment. That is, measured impairments in the different compartments cannot be added or combined.</w:t>
      </w:r>
    </w:p>
    <w:p w:rsidR="00D8141B" w:rsidRPr="00D8141B" w:rsidRDefault="00D8141B" w:rsidP="009571ED">
      <w:pPr>
        <w:pStyle w:val="BodyText3"/>
      </w:pPr>
      <w:r w:rsidRPr="00D8141B">
        <w:t>Detecting the subtle changes of cartilage loss on plain radiography requires comparison with the normal side. All joints should be imaged directly through the joint space, with no overlapping of bones. If comparison views are not available, AMA5 table 17-31 (p 544) is used as a guide to assess joint space narrowing.</w:t>
      </w:r>
    </w:p>
    <w:p w:rsidR="00D8141B" w:rsidRPr="00D8141B" w:rsidRDefault="00D8141B" w:rsidP="009571ED">
      <w:pPr>
        <w:pStyle w:val="BodyText3"/>
      </w:pPr>
      <w:r w:rsidRPr="00D8141B">
        <w:t>One should be cautious in making a diagnosis of cartilage loss on plain radiography if secondary features of osteoarthritis, such as osteophytes, subarticular cysts or subchondral sclerosis are lacking, unless the other side is available for comparison. The presence of an intra-articular fracture with a step in the articular margin in the weight bearing area implies cartilage loss.</w:t>
      </w:r>
    </w:p>
    <w:p w:rsidR="00D8141B" w:rsidRPr="00D8141B" w:rsidRDefault="00D8141B" w:rsidP="009571ED">
      <w:pPr>
        <w:pStyle w:val="BodyText3"/>
      </w:pPr>
      <w:r w:rsidRPr="00D8141B">
        <w:t>The accurate radiographic assessment of joints always requires at least two views. In some cases, further supplementary views will optimise the detection of joint space narrowing or the secondary signs of osteoarthritis.</w:t>
      </w:r>
    </w:p>
    <w:p w:rsidR="00D8141B" w:rsidRPr="00D8141B" w:rsidRDefault="00D8141B" w:rsidP="009571ED">
      <w:pPr>
        <w:pStyle w:val="BodyText3"/>
        <w:numPr>
          <w:ilvl w:val="0"/>
          <w:numId w:val="0"/>
        </w:numPr>
        <w:ind w:left="709"/>
        <w:rPr>
          <w:snapToGrid w:val="0"/>
          <w:lang w:val="en-GB"/>
        </w:rPr>
      </w:pPr>
      <w:r w:rsidRPr="00D8141B">
        <w:rPr>
          <w:b/>
          <w:snapToGrid w:val="0"/>
        </w:rPr>
        <w:t>Sacro-iliac joints:</w:t>
      </w:r>
      <w:r w:rsidRPr="00D8141B">
        <w:rPr>
          <w:snapToGrid w:val="0"/>
        </w:rPr>
        <w:t xml:space="preserve"> Being a complex joint, modest alterations are not detected on radiographs, and cross­ sectional imaging may be required. Radiographic manifestations accompany pathological alterations. The joint space measures between 2mm and 5mm. Osteophyte formation is a prominent characteristic of osteoarthritis of the sacro-iliac joint</w:t>
      </w:r>
      <w:r w:rsidRPr="00D8141B">
        <w:rPr>
          <w:snapToGrid w:val="0"/>
          <w:lang w:val="en-GB"/>
        </w:rPr>
        <w:t>.</w:t>
      </w:r>
    </w:p>
    <w:p w:rsidR="00501C6C" w:rsidRDefault="00D8141B" w:rsidP="009571ED">
      <w:pPr>
        <w:pStyle w:val="BodyText3"/>
        <w:numPr>
          <w:ilvl w:val="0"/>
          <w:numId w:val="0"/>
        </w:numPr>
        <w:ind w:left="709"/>
        <w:rPr>
          <w:snapToGrid w:val="0"/>
          <w:lang w:val="en-GB"/>
        </w:rPr>
      </w:pPr>
      <w:r w:rsidRPr="00D8141B">
        <w:rPr>
          <w:b/>
          <w:snapToGrid w:val="0"/>
          <w:lang w:val="en-GB"/>
        </w:rPr>
        <w:t xml:space="preserve">Hip: </w:t>
      </w:r>
      <w:r w:rsidRPr="00D8141B">
        <w:rPr>
          <w:snapToGrid w:val="0"/>
        </w:rPr>
        <w:t>An anteroposterior view of the pelvis and a lateral view of the affected hip are ideal. If the affected hip joint space is narrower than the asymptomatic side, cartilage loss is regarded as being present. If the anteroposterior view of pelvis has been obtained with the patient supine, it is important to compare the medial joint space of each hip as well as superior joint space, as this may be the only site of apparent change. If both sides are symmetrical, then other features, such as osteophytes, subarticular cyst formation, and calcar thickening should be taken into account to make a diagnosis of osteoarthritis</w:t>
      </w:r>
      <w:r w:rsidRPr="00D8141B">
        <w:rPr>
          <w:snapToGrid w:val="0"/>
          <w:lang w:val="en-GB"/>
        </w:rPr>
        <w:t>.</w:t>
      </w:r>
    </w:p>
    <w:p w:rsidR="00D8141B" w:rsidRPr="00535AFE" w:rsidRDefault="00D8141B" w:rsidP="009571ED">
      <w:pPr>
        <w:pStyle w:val="BodyText3"/>
        <w:numPr>
          <w:ilvl w:val="0"/>
          <w:numId w:val="0"/>
        </w:numPr>
        <w:ind w:left="709"/>
        <w:rPr>
          <w:lang w:val="en-GB"/>
        </w:rPr>
      </w:pPr>
      <w:r w:rsidRPr="00535AFE">
        <w:rPr>
          <w:b/>
          <w:snapToGrid w:val="0"/>
          <w:lang w:val="en-GB"/>
        </w:rPr>
        <w:t>Knee - Tibio-femoral joint:</w:t>
      </w:r>
      <w:r w:rsidRPr="00535AFE">
        <w:rPr>
          <w:snapToGrid w:val="0"/>
          <w:lang w:val="en-GB"/>
        </w:rPr>
        <w:t xml:space="preserve"> </w:t>
      </w:r>
      <w:r w:rsidRPr="00535AFE">
        <w:rPr>
          <w:snapToGrid w:val="0"/>
        </w:rPr>
        <w:t xml:space="preserve">The best view for assessment of cartilage loss in the knee is usually the erect intercondylar projection, as this profiles and stresses the major weight bearing area of the joint which lies posterior to the centre of the long axis. The ideal x-ray is </w:t>
      </w:r>
      <w:r w:rsidRPr="00535AFE">
        <w:rPr>
          <w:snapToGrid w:val="0"/>
        </w:rPr>
        <w:lastRenderedPageBreak/>
        <w:t xml:space="preserve">a posteroanterior view with the patient standing, knees slightly flexed, and the x-ray beam angled parallel to the tibial plateau (Rosenberg view). Both knees can readily be assessed with the one exposure. In the knee it should be recognised that joint space narrowing does not necessarily equate with articular cartilage loss, as deficiency or </w:t>
      </w:r>
      <w:r w:rsidRPr="00535AFE">
        <w:t>displacement of the menisci can also have this effect. Secondary features</w:t>
      </w:r>
      <w:r w:rsidRPr="00535AFE">
        <w:rPr>
          <w:snapToGrid w:val="0"/>
        </w:rPr>
        <w:t>, such as subchondral bone change and past surgical history, must also be taken into account.</w:t>
      </w:r>
    </w:p>
    <w:p w:rsidR="00D8141B" w:rsidRPr="00D8141B" w:rsidRDefault="00D8141B" w:rsidP="009571ED">
      <w:pPr>
        <w:pStyle w:val="BodyText3"/>
        <w:numPr>
          <w:ilvl w:val="0"/>
          <w:numId w:val="0"/>
        </w:numPr>
        <w:ind w:left="709"/>
        <w:rPr>
          <w:sz w:val="24"/>
          <w:lang w:val="en-GB"/>
        </w:rPr>
      </w:pPr>
      <w:r w:rsidRPr="00D8141B">
        <w:rPr>
          <w:b/>
          <w:lang w:val="en-GB"/>
        </w:rPr>
        <w:t>Knee -</w:t>
      </w:r>
      <w:r w:rsidRPr="00D8141B">
        <w:rPr>
          <w:lang w:val="en-GB"/>
        </w:rPr>
        <w:t xml:space="preserve"> </w:t>
      </w:r>
      <w:r w:rsidRPr="00D8141B">
        <w:rPr>
          <w:b/>
          <w:lang w:val="en-GB"/>
        </w:rPr>
        <w:t>Patello-femoral joint:</w:t>
      </w:r>
      <w:r w:rsidRPr="00D8141B">
        <w:rPr>
          <w:lang w:val="en-GB"/>
        </w:rPr>
        <w:t xml:space="preserve"> Should be assessed in the “skyline” view, again preferably with the other side for comparison. The x-ray should be taken with 30 degrees of knee flexion to ensure that the patella is load-bearing and has engaged the articular surface femoral groove.  </w:t>
      </w:r>
    </w:p>
    <w:p w:rsidR="00D8141B" w:rsidRPr="00D8141B" w:rsidRDefault="00D8141B" w:rsidP="009571ED">
      <w:pPr>
        <w:pStyle w:val="BodyText3"/>
        <w:numPr>
          <w:ilvl w:val="0"/>
          <w:numId w:val="0"/>
        </w:numPr>
        <w:ind w:left="709"/>
        <w:rPr>
          <w:lang w:val="en-GB"/>
        </w:rPr>
      </w:pPr>
      <w:r w:rsidRPr="00D8141B">
        <w:rPr>
          <w:lang w:val="en-GB"/>
        </w:rPr>
        <w:t>Footnote to Table 17-31 (p544 AMA5) regarding patello-femoral pain and crepitation:</w:t>
      </w:r>
    </w:p>
    <w:p w:rsidR="00D8141B" w:rsidRPr="00D8141B" w:rsidRDefault="00D8141B" w:rsidP="009571ED">
      <w:pPr>
        <w:pStyle w:val="BodyText3"/>
        <w:numPr>
          <w:ilvl w:val="0"/>
          <w:numId w:val="0"/>
        </w:numPr>
        <w:ind w:left="709"/>
        <w:rPr>
          <w:iCs/>
          <w:lang w:val="en-GB"/>
        </w:rPr>
      </w:pPr>
      <w:r w:rsidRPr="00D8141B">
        <w:rPr>
          <w:iCs/>
        </w:rPr>
        <w:t>This item is only to be used if there is a history of direct injury to the front of the knee, or in cases of patellar translocation/dislocation without there being direct anterior trauma. This item cannot be used as an additional impairment when assessing arthritis of the knee joint itself, of which it forms a component. If patell</w:t>
      </w:r>
      <w:r w:rsidR="00BF1849">
        <w:rPr>
          <w:iCs/>
        </w:rPr>
        <w:t>o</w:t>
      </w:r>
      <w:r w:rsidRPr="00D8141B">
        <w:rPr>
          <w:iCs/>
        </w:rPr>
        <w:t>-femoral crepitus occurs in isolation (ie no other signs of arthritis) following either of the above, then it can be combined with other diagnosis based estimates (table 17-33, AMA5, p 546). Signs of crepitus need to be present at least one year post injury</w:t>
      </w:r>
      <w:r w:rsidRPr="00D8141B">
        <w:rPr>
          <w:iCs/>
          <w:lang w:val="en-GB"/>
        </w:rPr>
        <w:t>.</w:t>
      </w:r>
    </w:p>
    <w:p w:rsidR="00D8141B" w:rsidRDefault="00D8141B" w:rsidP="009571ED">
      <w:pPr>
        <w:pStyle w:val="BodyText3"/>
        <w:numPr>
          <w:ilvl w:val="0"/>
          <w:numId w:val="0"/>
        </w:numPr>
        <w:ind w:left="709"/>
        <w:rPr>
          <w:iCs/>
          <w:lang w:val="en-GB"/>
        </w:rPr>
      </w:pPr>
      <w:r w:rsidRPr="00D8141B">
        <w:rPr>
          <w:iCs/>
        </w:rPr>
        <w:t>Note: Osteoarthritis of the patell</w:t>
      </w:r>
      <w:r w:rsidR="00BF1849">
        <w:rPr>
          <w:iCs/>
        </w:rPr>
        <w:t>o</w:t>
      </w:r>
      <w:r w:rsidRPr="00D8141B">
        <w:rPr>
          <w:iCs/>
        </w:rPr>
        <w:t>-femoral joint cannot be used as an additional impairment when assessing arthritis of the knee joint itself, of which it forms a component</w:t>
      </w:r>
      <w:r w:rsidRPr="00D8141B">
        <w:rPr>
          <w:iCs/>
          <w:lang w:val="en-GB"/>
        </w:rPr>
        <w:t>.</w:t>
      </w:r>
    </w:p>
    <w:p w:rsidR="00501C6C" w:rsidRDefault="00D8141B" w:rsidP="009571ED">
      <w:pPr>
        <w:pStyle w:val="BodyText3"/>
        <w:numPr>
          <w:ilvl w:val="0"/>
          <w:numId w:val="0"/>
        </w:numPr>
        <w:ind w:left="709"/>
      </w:pPr>
      <w:r w:rsidRPr="00D8141B">
        <w:rPr>
          <w:b/>
          <w:snapToGrid w:val="0"/>
          <w:lang w:val="en-GB"/>
        </w:rPr>
        <w:t>Ankle:</w:t>
      </w:r>
      <w:r w:rsidRPr="00D8141B">
        <w:rPr>
          <w:snapToGrid w:val="0"/>
          <w:lang w:val="en-GB"/>
        </w:rPr>
        <w:t xml:space="preserve"> </w:t>
      </w:r>
      <w:r w:rsidRPr="00501C6C">
        <w:t>The ankle should be assessed in the mortice view (preferably weight-bearing), with comparison views of the other side, although this is not as necessary as with the hip and knee.</w:t>
      </w:r>
    </w:p>
    <w:p w:rsidR="00D8141B" w:rsidRPr="00D8141B" w:rsidRDefault="00D8141B" w:rsidP="009571ED">
      <w:pPr>
        <w:pStyle w:val="BodyText3"/>
        <w:numPr>
          <w:ilvl w:val="0"/>
          <w:numId w:val="0"/>
        </w:numPr>
        <w:ind w:left="709"/>
        <w:rPr>
          <w:snapToGrid w:val="0"/>
          <w:lang w:val="en-GB"/>
        </w:rPr>
      </w:pPr>
      <w:r w:rsidRPr="00D8141B">
        <w:rPr>
          <w:b/>
          <w:snapToGrid w:val="0"/>
          <w:lang w:val="en-GB"/>
        </w:rPr>
        <w:t>Subtalar:</w:t>
      </w:r>
      <w:r w:rsidRPr="00D8141B">
        <w:rPr>
          <w:snapToGrid w:val="0"/>
          <w:lang w:val="en-GB"/>
        </w:rPr>
        <w:t xml:space="preserve"> </w:t>
      </w:r>
      <w:r w:rsidRPr="00D8141B">
        <w:rPr>
          <w:snapToGrid w:val="0"/>
        </w:rPr>
        <w:t>This joint is better assessed by CT (in the coronal plane) than by plain radiography. The complex nature of the joint does not lend itself to accurate and easy plain x-ray assessment of osteoarthritis</w:t>
      </w:r>
      <w:r w:rsidRPr="00D8141B">
        <w:rPr>
          <w:snapToGrid w:val="0"/>
          <w:lang w:val="en-GB"/>
        </w:rPr>
        <w:t>.</w:t>
      </w:r>
    </w:p>
    <w:p w:rsidR="00D8141B" w:rsidRPr="00D8141B" w:rsidRDefault="00D8141B" w:rsidP="009571ED">
      <w:pPr>
        <w:pStyle w:val="BodyText3"/>
        <w:numPr>
          <w:ilvl w:val="0"/>
          <w:numId w:val="0"/>
        </w:numPr>
        <w:ind w:left="709"/>
        <w:rPr>
          <w:snapToGrid w:val="0"/>
          <w:lang w:val="en-GB"/>
        </w:rPr>
      </w:pPr>
      <w:r w:rsidRPr="00D8141B">
        <w:rPr>
          <w:b/>
          <w:snapToGrid w:val="0"/>
          <w:lang w:val="en-GB"/>
        </w:rPr>
        <w:t>Talonavicular and calcaneocuboid:</w:t>
      </w:r>
      <w:r w:rsidRPr="00D8141B">
        <w:rPr>
          <w:snapToGrid w:val="0"/>
          <w:lang w:val="en-GB"/>
        </w:rPr>
        <w:t xml:space="preserve"> </w:t>
      </w:r>
      <w:r w:rsidRPr="00D8141B">
        <w:rPr>
          <w:snapToGrid w:val="0"/>
        </w:rPr>
        <w:t>Anteroposterior and lateral views are necessary. Osteophytes may assist in making the diagnosis</w:t>
      </w:r>
      <w:r w:rsidRPr="00D8141B">
        <w:rPr>
          <w:snapToGrid w:val="0"/>
          <w:lang w:val="en-GB"/>
        </w:rPr>
        <w:t>.</w:t>
      </w:r>
    </w:p>
    <w:p w:rsidR="00D8141B" w:rsidRPr="00D8141B" w:rsidRDefault="00D8141B" w:rsidP="009571ED">
      <w:pPr>
        <w:pStyle w:val="BodyText3"/>
        <w:numPr>
          <w:ilvl w:val="0"/>
          <w:numId w:val="0"/>
        </w:numPr>
        <w:ind w:left="709"/>
        <w:rPr>
          <w:snapToGrid w:val="0"/>
          <w:lang w:val="en-GB"/>
        </w:rPr>
      </w:pPr>
      <w:r w:rsidRPr="00D8141B">
        <w:rPr>
          <w:b/>
          <w:snapToGrid w:val="0"/>
          <w:lang w:val="en-GB"/>
        </w:rPr>
        <w:t>Intercuneiform and other intertarsal joints:</w:t>
      </w:r>
      <w:r w:rsidRPr="00D8141B">
        <w:rPr>
          <w:snapToGrid w:val="0"/>
          <w:lang w:val="en-GB"/>
        </w:rPr>
        <w:t xml:space="preserve"> </w:t>
      </w:r>
      <w:r w:rsidRPr="00D8141B">
        <w:rPr>
          <w:snapToGrid w:val="0"/>
        </w:rPr>
        <w:t>Joint space narrowing may be difficult to assess on plain radiography. CT (in the axial plane) may be required. Associated osteophytes and subarticular cysts are useful adjuncts to making the diagnosis of osteoarthritis in these small joints</w:t>
      </w:r>
      <w:r w:rsidRPr="00D8141B">
        <w:rPr>
          <w:snapToGrid w:val="0"/>
          <w:lang w:val="en-GB"/>
        </w:rPr>
        <w:t>.</w:t>
      </w:r>
    </w:p>
    <w:p w:rsidR="00D8141B" w:rsidRPr="00D8141B" w:rsidRDefault="00D8141B" w:rsidP="009571ED">
      <w:pPr>
        <w:pStyle w:val="BodyText3"/>
        <w:numPr>
          <w:ilvl w:val="0"/>
          <w:numId w:val="0"/>
        </w:numPr>
        <w:ind w:left="709"/>
        <w:rPr>
          <w:snapToGrid w:val="0"/>
          <w:lang w:val="en-GB"/>
        </w:rPr>
      </w:pPr>
      <w:r w:rsidRPr="00D8141B">
        <w:rPr>
          <w:b/>
          <w:snapToGrid w:val="0"/>
          <w:lang w:val="en-GB"/>
        </w:rPr>
        <w:t>Great toe metatarsophalangeal:</w:t>
      </w:r>
      <w:r w:rsidRPr="00D8141B">
        <w:rPr>
          <w:snapToGrid w:val="0"/>
          <w:lang w:val="en-GB"/>
        </w:rPr>
        <w:t xml:space="preserve"> </w:t>
      </w:r>
      <w:r w:rsidRPr="00D8141B">
        <w:rPr>
          <w:snapToGrid w:val="0"/>
        </w:rPr>
        <w:t>Anteroposterior and lateral views are required. Comparison with the other side may be necessary. Secondary signs may be useful</w:t>
      </w:r>
      <w:r w:rsidRPr="00D8141B">
        <w:rPr>
          <w:snapToGrid w:val="0"/>
          <w:lang w:val="en-GB"/>
        </w:rPr>
        <w:t>.</w:t>
      </w:r>
    </w:p>
    <w:p w:rsidR="00D8141B" w:rsidRPr="00D8141B" w:rsidRDefault="00D8141B" w:rsidP="009571ED">
      <w:pPr>
        <w:pStyle w:val="BodyText3"/>
        <w:numPr>
          <w:ilvl w:val="0"/>
          <w:numId w:val="0"/>
        </w:numPr>
        <w:ind w:left="709"/>
        <w:rPr>
          <w:snapToGrid w:val="0"/>
          <w:lang w:val="en-GB"/>
        </w:rPr>
      </w:pPr>
      <w:r w:rsidRPr="00D8141B">
        <w:rPr>
          <w:b/>
          <w:snapToGrid w:val="0"/>
          <w:lang w:val="en-GB"/>
        </w:rPr>
        <w:t>Interphalangeal</w:t>
      </w:r>
      <w:r w:rsidRPr="00B537BF">
        <w:rPr>
          <w:b/>
          <w:snapToGrid w:val="0"/>
          <w:lang w:val="en-GB"/>
        </w:rPr>
        <w:t xml:space="preserve">: </w:t>
      </w:r>
      <w:r w:rsidRPr="00B537BF">
        <w:rPr>
          <w:snapToGrid w:val="0"/>
        </w:rPr>
        <w:t>It is difficult to assess small joints without taking secondary signs into account. The plantar­dorsal view may be required to get through the joints, in a foot with flexed toes</w:t>
      </w:r>
      <w:r w:rsidRPr="00B537BF">
        <w:rPr>
          <w:snapToGrid w:val="0"/>
          <w:lang w:val="en-GB"/>
        </w:rPr>
        <w:t>.</w:t>
      </w:r>
    </w:p>
    <w:p w:rsidR="00D8141B" w:rsidRPr="00D8141B" w:rsidRDefault="00D8141B" w:rsidP="009571ED">
      <w:pPr>
        <w:pStyle w:val="BodyText3"/>
      </w:pPr>
      <w:r w:rsidRPr="00D8141B">
        <w:t>If arthritis is used as the basis for assessing impairment, then the rating cannot be combined with gait disturbance, muscle atrophy, muscle strength or range of movement assessments. It can be combined with a diagnosis-based estimate (table 17-2, AMA5, p</w:t>
      </w:r>
      <w:r w:rsidR="00535AFE">
        <w:t> </w:t>
      </w:r>
      <w:r w:rsidRPr="00D8141B">
        <w:t>526).</w:t>
      </w:r>
    </w:p>
    <w:p w:rsidR="00D8141B" w:rsidRPr="00D8141B" w:rsidRDefault="00D8141B" w:rsidP="009571ED">
      <w:pPr>
        <w:pStyle w:val="Heading3"/>
        <w:rPr>
          <w:snapToGrid w:val="0"/>
        </w:rPr>
      </w:pPr>
      <w:bookmarkStart w:id="44" w:name="_Toc144874627"/>
      <w:bookmarkStart w:id="45" w:name="_Toc144875215"/>
      <w:r w:rsidRPr="00D8141B">
        <w:rPr>
          <w:snapToGrid w:val="0"/>
        </w:rPr>
        <w:t>Amputation</w:t>
      </w:r>
      <w:bookmarkEnd w:id="44"/>
      <w:bookmarkEnd w:id="45"/>
    </w:p>
    <w:p w:rsidR="00D8141B" w:rsidRPr="00D8141B" w:rsidRDefault="00D8141B" w:rsidP="009571ED">
      <w:pPr>
        <w:pStyle w:val="BodyText3"/>
        <w:rPr>
          <w:snapToGrid w:val="0"/>
        </w:rPr>
      </w:pPr>
      <w:r w:rsidRPr="00D8141B">
        <w:rPr>
          <w:snapToGrid w:val="0"/>
        </w:rPr>
        <w:t>Where there has been amputation of part of a lower extremity, table 17-32 (p 545 AMA5) applies. In that table the references to three inches for below-the-knee amputation should be converted to 7.5cm.</w:t>
      </w:r>
    </w:p>
    <w:p w:rsidR="00D8141B" w:rsidRPr="00D8141B" w:rsidRDefault="00D8141B" w:rsidP="009571ED">
      <w:pPr>
        <w:pStyle w:val="Heading3"/>
        <w:rPr>
          <w:snapToGrid w:val="0"/>
        </w:rPr>
      </w:pPr>
      <w:bookmarkStart w:id="46" w:name="_Toc144874628"/>
      <w:bookmarkStart w:id="47" w:name="_Toc144875216"/>
      <w:r w:rsidRPr="00D8141B">
        <w:rPr>
          <w:snapToGrid w:val="0"/>
        </w:rPr>
        <w:lastRenderedPageBreak/>
        <w:t>Diagnosis-based estimates (lower extremity)</w:t>
      </w:r>
      <w:bookmarkEnd w:id="46"/>
      <w:bookmarkEnd w:id="47"/>
    </w:p>
    <w:p w:rsidR="00D8141B" w:rsidRPr="00D8141B" w:rsidRDefault="00D8141B" w:rsidP="009571ED">
      <w:pPr>
        <w:pStyle w:val="BodyText3"/>
        <w:rPr>
          <w:snapToGrid w:val="0"/>
        </w:rPr>
      </w:pPr>
      <w:r w:rsidRPr="00D8141B">
        <w:rPr>
          <w:snapToGrid w:val="0"/>
        </w:rPr>
        <w:t>Section 17.2j (pp 545-549 AMA5) lists a number of conditions that fit a category of diagnosis-based estimates. They are listed in tables 17-33, 17-34 and 17-35 (pp 546-549 AMA5). When using this table it is essential to read the footnotes carefully. The category of mild cruciate and collateral ligament laxity has inadvertently been omitted in table 17-33 of AMA5. The appropriate rating is 5 (12) percent whole person (lower extremity) impairment.</w:t>
      </w:r>
    </w:p>
    <w:p w:rsidR="00D8141B" w:rsidRPr="00D8141B" w:rsidRDefault="00D8141B" w:rsidP="009571ED">
      <w:pPr>
        <w:pStyle w:val="BodyText3"/>
        <w:rPr>
          <w:snapToGrid w:val="0"/>
        </w:rPr>
      </w:pPr>
      <w:r w:rsidRPr="00D8141B">
        <w:rPr>
          <w:snapToGrid w:val="0"/>
        </w:rPr>
        <w:t>It is possible to combine impairments from tables 17-33, 17-34 and 17-35 for diagnosis-related estimates with other components (eg nerve injury) using the combined values chart (pp 604-606 AMA5) after first referring to the Guidelines to the appropriate combination of evaluation methods (see table 3.5).</w:t>
      </w:r>
    </w:p>
    <w:p w:rsidR="00D8141B" w:rsidRPr="00D8141B" w:rsidRDefault="00D8141B" w:rsidP="009571ED">
      <w:pPr>
        <w:pStyle w:val="BodyText3"/>
        <w:rPr>
          <w:snapToGrid w:val="0"/>
        </w:rPr>
      </w:pPr>
      <w:r w:rsidRPr="00D8141B">
        <w:rPr>
          <w:b/>
          <w:bCs/>
          <w:snapToGrid w:val="0"/>
        </w:rPr>
        <w:t xml:space="preserve">Pelvic fractures: </w:t>
      </w:r>
      <w:r w:rsidRPr="00D8141B">
        <w:rPr>
          <w:snapToGrid w:val="0"/>
        </w:rPr>
        <w:t>Pelvic fractures are to be assessed as per table 4.3 in the Guidelines, and not using the reference to the pelvis in table 17-33 (p 546 AMA5).</w:t>
      </w:r>
    </w:p>
    <w:p w:rsidR="00D8141B" w:rsidRPr="00D8141B" w:rsidRDefault="00D8141B" w:rsidP="009571ED">
      <w:pPr>
        <w:pStyle w:val="BodyText3"/>
        <w:numPr>
          <w:ilvl w:val="0"/>
          <w:numId w:val="0"/>
        </w:numPr>
        <w:ind w:left="709"/>
        <w:rPr>
          <w:snapToGrid w:val="0"/>
        </w:rPr>
      </w:pPr>
      <w:r w:rsidRPr="000E209C">
        <w:rPr>
          <w:b/>
          <w:snapToGrid w:val="0"/>
        </w:rPr>
        <w:t>Hip:</w:t>
      </w:r>
      <w:r w:rsidRPr="00D8141B">
        <w:rPr>
          <w:snapToGrid w:val="0"/>
        </w:rPr>
        <w:t xml:space="preserve"> The item in relation to femoral neck fracture 'malunion' is not to be used in assessing impairment. Use other available methods.</w:t>
      </w:r>
    </w:p>
    <w:p w:rsidR="00D8141B" w:rsidRPr="00D8141B" w:rsidRDefault="00D8141B" w:rsidP="00286F9C">
      <w:pPr>
        <w:pStyle w:val="BodyText3"/>
        <w:numPr>
          <w:ilvl w:val="0"/>
          <w:numId w:val="0"/>
        </w:numPr>
        <w:spacing w:after="120"/>
        <w:ind w:left="709"/>
        <w:rPr>
          <w:b/>
          <w:snapToGrid w:val="0"/>
        </w:rPr>
      </w:pPr>
      <w:r w:rsidRPr="00D8141B">
        <w:rPr>
          <w:b/>
          <w:snapToGrid w:val="0"/>
        </w:rPr>
        <w:t>Femoral Osteotomy:</w:t>
      </w:r>
    </w:p>
    <w:p w:rsidR="00D8141B" w:rsidRPr="00D8141B" w:rsidRDefault="00D8141B" w:rsidP="009571ED">
      <w:pPr>
        <w:pStyle w:val="BodyText3"/>
        <w:numPr>
          <w:ilvl w:val="0"/>
          <w:numId w:val="0"/>
        </w:numPr>
        <w:ind w:left="709"/>
        <w:rPr>
          <w:snapToGrid w:val="0"/>
        </w:rPr>
      </w:pPr>
      <w:r w:rsidRPr="00D8141B">
        <w:rPr>
          <w:snapToGrid w:val="0"/>
        </w:rPr>
        <w:t>Good result: 10 (25)</w:t>
      </w:r>
    </w:p>
    <w:p w:rsidR="00D8141B" w:rsidRPr="00D8141B" w:rsidRDefault="00D8141B" w:rsidP="009571ED">
      <w:pPr>
        <w:pStyle w:val="BodyText3"/>
        <w:numPr>
          <w:ilvl w:val="0"/>
          <w:numId w:val="0"/>
        </w:numPr>
        <w:ind w:left="709"/>
        <w:rPr>
          <w:snapToGrid w:val="0"/>
        </w:rPr>
      </w:pPr>
      <w:r w:rsidRPr="00D8141B">
        <w:rPr>
          <w:snapToGrid w:val="0"/>
        </w:rPr>
        <w:t>Poor result: Estimate according to examination and arthritic degeneration</w:t>
      </w:r>
    </w:p>
    <w:p w:rsidR="00D8141B" w:rsidRPr="00D8141B" w:rsidRDefault="00D8141B" w:rsidP="009571ED">
      <w:pPr>
        <w:pStyle w:val="BodyText3"/>
        <w:numPr>
          <w:ilvl w:val="0"/>
          <w:numId w:val="0"/>
        </w:numPr>
        <w:ind w:left="709"/>
        <w:rPr>
          <w:b/>
          <w:snapToGrid w:val="0"/>
        </w:rPr>
      </w:pPr>
      <w:r w:rsidRPr="00D8141B">
        <w:rPr>
          <w:b/>
          <w:bCs/>
          <w:snapToGrid w:val="0"/>
        </w:rPr>
        <w:t xml:space="preserve">Tibial plateau fractures: </w:t>
      </w:r>
      <w:r w:rsidRPr="00D8141B">
        <w:rPr>
          <w:snapToGrid w:val="0"/>
        </w:rPr>
        <w:t>This table replaces the instructions for tibial plateau fractures in table 17-33 (p 546 AMA5).</w:t>
      </w:r>
    </w:p>
    <w:p w:rsidR="00D8141B" w:rsidRPr="009571ED" w:rsidRDefault="00D8141B" w:rsidP="00286F9C">
      <w:pPr>
        <w:spacing w:before="240" w:after="120" w:line="240" w:lineRule="auto"/>
        <w:ind w:left="851"/>
        <w:jc w:val="center"/>
        <w:rPr>
          <w:rFonts w:eastAsia="Times New Roman" w:cs="Arial"/>
          <w:b/>
          <w:snapToGrid w:val="0"/>
          <w:sz w:val="24"/>
          <w:szCs w:val="24"/>
          <w:lang w:val="en-US"/>
        </w:rPr>
      </w:pPr>
      <w:r w:rsidRPr="009571ED">
        <w:rPr>
          <w:rFonts w:eastAsia="Times New Roman" w:cs="Arial"/>
          <w:b/>
          <w:snapToGrid w:val="0"/>
          <w:sz w:val="24"/>
          <w:szCs w:val="24"/>
          <w:lang w:val="en-US"/>
        </w:rPr>
        <w:t>Table 3.2 Impairment for tibial plateau fractures</w:t>
      </w:r>
    </w:p>
    <w:tbl>
      <w:tblPr>
        <w:tblStyle w:val="TableGrid"/>
        <w:tblW w:w="8783" w:type="dxa"/>
        <w:tblInd w:w="851" w:type="dxa"/>
        <w:tblLook w:val="04A0" w:firstRow="1" w:lastRow="0" w:firstColumn="1" w:lastColumn="0" w:noHBand="0" w:noVBand="1"/>
      </w:tblPr>
      <w:tblGrid>
        <w:gridCol w:w="8783"/>
      </w:tblGrid>
      <w:tr w:rsidR="009571ED" w:rsidTr="00286F9C">
        <w:tc>
          <w:tcPr>
            <w:tcW w:w="8783" w:type="dxa"/>
          </w:tcPr>
          <w:p w:rsidR="009571ED" w:rsidRPr="009571ED" w:rsidRDefault="009571ED" w:rsidP="00286F9C">
            <w:pPr>
              <w:spacing w:before="40" w:after="40"/>
              <w:ind w:left="170" w:right="169"/>
              <w:rPr>
                <w:rFonts w:cs="Arial"/>
                <w:snapToGrid w:val="0"/>
                <w:sz w:val="22"/>
                <w:szCs w:val="22"/>
                <w:lang w:val="en-US"/>
              </w:rPr>
            </w:pPr>
            <w:r w:rsidRPr="009571ED">
              <w:rPr>
                <w:rFonts w:cs="Arial"/>
                <w:snapToGrid w:val="0"/>
                <w:sz w:val="22"/>
                <w:szCs w:val="22"/>
                <w:lang w:val="en-US"/>
              </w:rPr>
              <w:t>In deciding whether the facture falls into the mild, moderate or severe categories, the assessor must take into account:</w:t>
            </w:r>
          </w:p>
          <w:p w:rsidR="009571ED" w:rsidRPr="009571ED" w:rsidRDefault="009571ED" w:rsidP="00286F9C">
            <w:pPr>
              <w:numPr>
                <w:ilvl w:val="0"/>
                <w:numId w:val="20"/>
              </w:numPr>
              <w:spacing w:before="40" w:after="40"/>
              <w:ind w:left="596" w:hanging="426"/>
              <w:rPr>
                <w:rFonts w:cs="Arial"/>
                <w:snapToGrid w:val="0"/>
                <w:sz w:val="22"/>
                <w:szCs w:val="22"/>
                <w:lang w:val="en-US"/>
              </w:rPr>
            </w:pPr>
            <w:r w:rsidRPr="009571ED">
              <w:rPr>
                <w:rFonts w:cs="Arial"/>
                <w:snapToGrid w:val="0"/>
                <w:sz w:val="22"/>
                <w:szCs w:val="22"/>
                <w:lang w:val="en-US"/>
              </w:rPr>
              <w:t>The extent of involvement of the weight bearing area of the tibial plateau.</w:t>
            </w:r>
          </w:p>
          <w:p w:rsidR="009571ED" w:rsidRPr="009571ED" w:rsidRDefault="009571ED" w:rsidP="00286F9C">
            <w:pPr>
              <w:numPr>
                <w:ilvl w:val="0"/>
                <w:numId w:val="20"/>
              </w:numPr>
              <w:spacing w:before="40" w:after="40"/>
              <w:ind w:left="596" w:hanging="426"/>
              <w:rPr>
                <w:rFonts w:cs="Arial"/>
                <w:snapToGrid w:val="0"/>
                <w:sz w:val="22"/>
                <w:szCs w:val="22"/>
                <w:lang w:val="en-US"/>
              </w:rPr>
            </w:pPr>
            <w:r w:rsidRPr="009571ED">
              <w:rPr>
                <w:rFonts w:cs="Arial"/>
                <w:snapToGrid w:val="0"/>
                <w:sz w:val="22"/>
                <w:szCs w:val="22"/>
                <w:lang w:val="en-US"/>
              </w:rPr>
              <w:t>The amount of displacement of the fracture/s.</w:t>
            </w:r>
          </w:p>
          <w:p w:rsidR="009571ED" w:rsidRPr="009571ED" w:rsidRDefault="009571ED" w:rsidP="0081060E">
            <w:pPr>
              <w:numPr>
                <w:ilvl w:val="0"/>
                <w:numId w:val="20"/>
              </w:numPr>
              <w:spacing w:before="40" w:after="80"/>
              <w:ind w:left="596" w:hanging="426"/>
              <w:rPr>
                <w:rFonts w:cs="Arial"/>
                <w:snapToGrid w:val="0"/>
                <w:lang w:val="en-US"/>
              </w:rPr>
            </w:pPr>
            <w:r w:rsidRPr="009571ED">
              <w:rPr>
                <w:rFonts w:cs="Arial"/>
                <w:snapToGrid w:val="0"/>
                <w:sz w:val="22"/>
                <w:szCs w:val="22"/>
                <w:lang w:val="en-US"/>
              </w:rPr>
              <w:t>The amount of comminution present.</w:t>
            </w:r>
          </w:p>
        </w:tc>
      </w:tr>
    </w:tbl>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4388"/>
      </w:tblGrid>
      <w:tr w:rsidR="00D8141B" w:rsidRPr="00D8141B" w:rsidTr="00286F9C">
        <w:tc>
          <w:tcPr>
            <w:tcW w:w="4394" w:type="dxa"/>
            <w:shd w:val="pct10" w:color="auto" w:fill="auto"/>
          </w:tcPr>
          <w:p w:rsidR="00D8141B" w:rsidRPr="00D8141B" w:rsidRDefault="00D8141B" w:rsidP="00286F9C">
            <w:pPr>
              <w:spacing w:before="20" w:after="20" w:line="240" w:lineRule="auto"/>
              <w:jc w:val="center"/>
              <w:rPr>
                <w:rFonts w:eastAsia="Times New Roman" w:cs="Arial"/>
                <w:b/>
                <w:snapToGrid w:val="0"/>
                <w:szCs w:val="20"/>
                <w:lang w:val="en-US"/>
              </w:rPr>
            </w:pPr>
            <w:r w:rsidRPr="00D8141B">
              <w:rPr>
                <w:rFonts w:eastAsia="Times New Roman" w:cs="Arial"/>
                <w:b/>
                <w:snapToGrid w:val="0"/>
                <w:szCs w:val="20"/>
                <w:lang w:val="en-US"/>
              </w:rPr>
              <w:t>Grade</w:t>
            </w:r>
          </w:p>
        </w:tc>
        <w:tc>
          <w:tcPr>
            <w:tcW w:w="4388" w:type="dxa"/>
            <w:shd w:val="pct10" w:color="auto" w:fill="auto"/>
          </w:tcPr>
          <w:p w:rsidR="00D8141B" w:rsidRPr="00D8141B" w:rsidRDefault="00D8141B" w:rsidP="00286F9C">
            <w:pPr>
              <w:tabs>
                <w:tab w:val="left" w:pos="720"/>
              </w:tabs>
              <w:spacing w:before="20" w:after="20" w:line="240" w:lineRule="auto"/>
              <w:jc w:val="center"/>
              <w:outlineLvl w:val="2"/>
              <w:rPr>
                <w:rFonts w:eastAsia="Times New Roman" w:cs="Arial"/>
                <w:b/>
                <w:snapToGrid w:val="0"/>
                <w:szCs w:val="20"/>
                <w:lang w:val="en-US"/>
              </w:rPr>
            </w:pPr>
            <w:r w:rsidRPr="00D8141B">
              <w:rPr>
                <w:rFonts w:eastAsia="Times New Roman" w:cs="Arial"/>
                <w:b/>
                <w:snapToGrid w:val="0"/>
                <w:szCs w:val="20"/>
                <w:lang w:val="en-US"/>
              </w:rPr>
              <w:t>WPI (LEI)%</w:t>
            </w:r>
          </w:p>
        </w:tc>
      </w:tr>
      <w:tr w:rsidR="00D8141B" w:rsidRPr="00D8141B" w:rsidTr="00286F9C">
        <w:tc>
          <w:tcPr>
            <w:tcW w:w="4394" w:type="dxa"/>
          </w:tcPr>
          <w:p w:rsidR="00D8141B" w:rsidRPr="00535AFE" w:rsidRDefault="00D8141B" w:rsidP="00286F9C">
            <w:pPr>
              <w:tabs>
                <w:tab w:val="left" w:pos="720"/>
              </w:tabs>
              <w:spacing w:before="20" w:after="20" w:line="240" w:lineRule="auto"/>
              <w:jc w:val="center"/>
              <w:outlineLvl w:val="2"/>
              <w:rPr>
                <w:rFonts w:eastAsia="Times New Roman" w:cs="Arial"/>
                <w:snapToGrid w:val="0"/>
                <w:sz w:val="20"/>
                <w:szCs w:val="20"/>
                <w:lang w:val="en-US"/>
              </w:rPr>
            </w:pPr>
            <w:r w:rsidRPr="00535AFE">
              <w:rPr>
                <w:rFonts w:eastAsia="Times New Roman" w:cs="Arial"/>
                <w:snapToGrid w:val="0"/>
                <w:sz w:val="20"/>
                <w:szCs w:val="20"/>
                <w:lang w:val="en-US"/>
              </w:rPr>
              <w:t>Undisplaced</w:t>
            </w:r>
          </w:p>
        </w:tc>
        <w:tc>
          <w:tcPr>
            <w:tcW w:w="4388" w:type="dxa"/>
          </w:tcPr>
          <w:p w:rsidR="00D8141B" w:rsidRPr="00535AFE" w:rsidRDefault="00D8141B" w:rsidP="00286F9C">
            <w:pPr>
              <w:tabs>
                <w:tab w:val="left" w:pos="720"/>
              </w:tabs>
              <w:spacing w:before="20" w:after="20" w:line="240" w:lineRule="auto"/>
              <w:jc w:val="center"/>
              <w:outlineLvl w:val="2"/>
              <w:rPr>
                <w:rFonts w:eastAsia="Times New Roman" w:cs="Arial"/>
                <w:snapToGrid w:val="0"/>
                <w:sz w:val="20"/>
                <w:szCs w:val="20"/>
                <w:lang w:val="en-US"/>
              </w:rPr>
            </w:pPr>
            <w:r w:rsidRPr="00535AFE">
              <w:rPr>
                <w:rFonts w:eastAsia="Times New Roman" w:cs="Arial"/>
                <w:snapToGrid w:val="0"/>
                <w:sz w:val="20"/>
                <w:szCs w:val="20"/>
                <w:lang w:val="en-US"/>
              </w:rPr>
              <w:t>2 (5)</w:t>
            </w:r>
          </w:p>
        </w:tc>
      </w:tr>
      <w:tr w:rsidR="00D8141B" w:rsidRPr="00D8141B" w:rsidTr="00286F9C">
        <w:tc>
          <w:tcPr>
            <w:tcW w:w="4394" w:type="dxa"/>
          </w:tcPr>
          <w:p w:rsidR="00D8141B" w:rsidRPr="00535AFE" w:rsidRDefault="00D8141B" w:rsidP="00286F9C">
            <w:pPr>
              <w:tabs>
                <w:tab w:val="left" w:pos="720"/>
              </w:tabs>
              <w:spacing w:before="20" w:after="20" w:line="240" w:lineRule="auto"/>
              <w:jc w:val="center"/>
              <w:outlineLvl w:val="2"/>
              <w:rPr>
                <w:rFonts w:eastAsia="Times New Roman" w:cs="Arial"/>
                <w:snapToGrid w:val="0"/>
                <w:sz w:val="20"/>
                <w:szCs w:val="20"/>
                <w:lang w:val="en-US"/>
              </w:rPr>
            </w:pPr>
            <w:r w:rsidRPr="00535AFE">
              <w:rPr>
                <w:rFonts w:eastAsia="Times New Roman" w:cs="Arial"/>
                <w:snapToGrid w:val="0"/>
                <w:sz w:val="20"/>
                <w:szCs w:val="20"/>
                <w:lang w:val="en-US"/>
              </w:rPr>
              <w:t>Mild</w:t>
            </w:r>
          </w:p>
        </w:tc>
        <w:tc>
          <w:tcPr>
            <w:tcW w:w="4388" w:type="dxa"/>
          </w:tcPr>
          <w:p w:rsidR="00D8141B" w:rsidRPr="00535AFE" w:rsidRDefault="00D8141B" w:rsidP="00286F9C">
            <w:pPr>
              <w:tabs>
                <w:tab w:val="left" w:pos="720"/>
              </w:tabs>
              <w:spacing w:before="20" w:after="20" w:line="240" w:lineRule="auto"/>
              <w:jc w:val="center"/>
              <w:outlineLvl w:val="2"/>
              <w:rPr>
                <w:rFonts w:eastAsia="Times New Roman" w:cs="Arial"/>
                <w:snapToGrid w:val="0"/>
                <w:sz w:val="20"/>
                <w:szCs w:val="20"/>
                <w:lang w:val="en-US"/>
              </w:rPr>
            </w:pPr>
            <w:r w:rsidRPr="00535AFE">
              <w:rPr>
                <w:rFonts w:eastAsia="Times New Roman" w:cs="Arial"/>
                <w:snapToGrid w:val="0"/>
                <w:sz w:val="20"/>
                <w:szCs w:val="20"/>
                <w:lang w:val="en-US"/>
              </w:rPr>
              <w:t>5 (12)</w:t>
            </w:r>
          </w:p>
        </w:tc>
      </w:tr>
      <w:tr w:rsidR="00D8141B" w:rsidRPr="00D8141B" w:rsidTr="00286F9C">
        <w:tc>
          <w:tcPr>
            <w:tcW w:w="4394" w:type="dxa"/>
          </w:tcPr>
          <w:p w:rsidR="00D8141B" w:rsidRPr="00535AFE" w:rsidRDefault="00D8141B" w:rsidP="00286F9C">
            <w:pPr>
              <w:tabs>
                <w:tab w:val="left" w:pos="720"/>
              </w:tabs>
              <w:spacing w:before="20" w:after="20" w:line="240" w:lineRule="auto"/>
              <w:jc w:val="center"/>
              <w:outlineLvl w:val="2"/>
              <w:rPr>
                <w:rFonts w:eastAsia="Times New Roman" w:cs="Arial"/>
                <w:snapToGrid w:val="0"/>
                <w:sz w:val="20"/>
                <w:szCs w:val="20"/>
                <w:lang w:val="en-US"/>
              </w:rPr>
            </w:pPr>
            <w:r w:rsidRPr="00535AFE">
              <w:rPr>
                <w:rFonts w:eastAsia="Times New Roman" w:cs="Arial"/>
                <w:snapToGrid w:val="0"/>
                <w:sz w:val="20"/>
                <w:szCs w:val="20"/>
                <w:lang w:val="en-US"/>
              </w:rPr>
              <w:t>Moderate</w:t>
            </w:r>
          </w:p>
        </w:tc>
        <w:tc>
          <w:tcPr>
            <w:tcW w:w="4388" w:type="dxa"/>
          </w:tcPr>
          <w:p w:rsidR="00D8141B" w:rsidRPr="00535AFE" w:rsidRDefault="00D8141B" w:rsidP="00286F9C">
            <w:pPr>
              <w:tabs>
                <w:tab w:val="left" w:pos="720"/>
              </w:tabs>
              <w:spacing w:before="20" w:after="20" w:line="240" w:lineRule="auto"/>
              <w:jc w:val="center"/>
              <w:outlineLvl w:val="2"/>
              <w:rPr>
                <w:rFonts w:eastAsia="Times New Roman" w:cs="Arial"/>
                <w:snapToGrid w:val="0"/>
                <w:sz w:val="20"/>
                <w:szCs w:val="20"/>
                <w:lang w:val="en-US"/>
              </w:rPr>
            </w:pPr>
            <w:r w:rsidRPr="00535AFE">
              <w:rPr>
                <w:rFonts w:eastAsia="Times New Roman" w:cs="Arial"/>
                <w:snapToGrid w:val="0"/>
                <w:sz w:val="20"/>
                <w:szCs w:val="20"/>
                <w:lang w:val="en-US"/>
              </w:rPr>
              <w:t>10 (25)</w:t>
            </w:r>
          </w:p>
        </w:tc>
      </w:tr>
      <w:tr w:rsidR="00D8141B" w:rsidRPr="00D8141B" w:rsidTr="00286F9C">
        <w:tc>
          <w:tcPr>
            <w:tcW w:w="4394" w:type="dxa"/>
          </w:tcPr>
          <w:p w:rsidR="00D8141B" w:rsidRPr="00535AFE" w:rsidRDefault="00D8141B" w:rsidP="00286F9C">
            <w:pPr>
              <w:tabs>
                <w:tab w:val="left" w:pos="720"/>
              </w:tabs>
              <w:spacing w:before="20" w:after="20" w:line="240" w:lineRule="auto"/>
              <w:jc w:val="center"/>
              <w:outlineLvl w:val="2"/>
              <w:rPr>
                <w:rFonts w:eastAsia="Times New Roman" w:cs="Arial"/>
                <w:snapToGrid w:val="0"/>
                <w:sz w:val="20"/>
                <w:szCs w:val="20"/>
                <w:lang w:val="en-US"/>
              </w:rPr>
            </w:pPr>
            <w:r w:rsidRPr="00535AFE">
              <w:rPr>
                <w:rFonts w:eastAsia="Times New Roman" w:cs="Arial"/>
                <w:snapToGrid w:val="0"/>
                <w:sz w:val="20"/>
                <w:szCs w:val="20"/>
                <w:lang w:val="en-US"/>
              </w:rPr>
              <w:t>Severe</w:t>
            </w:r>
          </w:p>
        </w:tc>
        <w:tc>
          <w:tcPr>
            <w:tcW w:w="4388" w:type="dxa"/>
          </w:tcPr>
          <w:p w:rsidR="00D8141B" w:rsidRPr="00535AFE" w:rsidRDefault="00D8141B" w:rsidP="00286F9C">
            <w:pPr>
              <w:tabs>
                <w:tab w:val="left" w:pos="720"/>
              </w:tabs>
              <w:spacing w:before="20" w:after="20" w:line="240" w:lineRule="auto"/>
              <w:jc w:val="center"/>
              <w:outlineLvl w:val="2"/>
              <w:rPr>
                <w:rFonts w:eastAsia="Times New Roman" w:cs="Arial"/>
                <w:snapToGrid w:val="0"/>
                <w:sz w:val="20"/>
                <w:szCs w:val="20"/>
                <w:lang w:val="en-US"/>
              </w:rPr>
            </w:pPr>
            <w:r w:rsidRPr="00535AFE">
              <w:rPr>
                <w:rFonts w:eastAsia="Times New Roman" w:cs="Arial"/>
                <w:snapToGrid w:val="0"/>
                <w:sz w:val="20"/>
                <w:szCs w:val="20"/>
                <w:lang w:val="en-US"/>
              </w:rPr>
              <w:t>15 (37)</w:t>
            </w:r>
          </w:p>
        </w:tc>
      </w:tr>
    </w:tbl>
    <w:p w:rsidR="00D8141B" w:rsidRDefault="00D8141B" w:rsidP="00BB678A">
      <w:pPr>
        <w:pStyle w:val="BodyText3"/>
        <w:numPr>
          <w:ilvl w:val="0"/>
          <w:numId w:val="0"/>
        </w:numPr>
        <w:spacing w:before="240" w:after="120"/>
        <w:ind w:left="709"/>
        <w:rPr>
          <w:snapToGrid w:val="0"/>
        </w:rPr>
      </w:pPr>
      <w:r w:rsidRPr="00D8141B">
        <w:rPr>
          <w:b/>
          <w:bCs/>
          <w:snapToGrid w:val="0"/>
        </w:rPr>
        <w:t>Patell</w:t>
      </w:r>
      <w:r w:rsidR="00BF1849">
        <w:rPr>
          <w:b/>
          <w:bCs/>
          <w:snapToGrid w:val="0"/>
        </w:rPr>
        <w:t>o</w:t>
      </w:r>
      <w:r w:rsidRPr="00D8141B">
        <w:rPr>
          <w:b/>
          <w:bCs/>
          <w:snapToGrid w:val="0"/>
        </w:rPr>
        <w:t xml:space="preserve">-femoral joint replacement: </w:t>
      </w:r>
      <w:r w:rsidRPr="00D8141B">
        <w:rPr>
          <w:snapToGrid w:val="0"/>
        </w:rPr>
        <w:t xml:space="preserve">Assess the knee impairment in the usual way and combine with </w:t>
      </w:r>
      <w:r w:rsidRPr="00BB678A">
        <w:t>nine</w:t>
      </w:r>
      <w:r w:rsidRPr="00D8141B">
        <w:rPr>
          <w:snapToGrid w:val="0"/>
        </w:rPr>
        <w:t xml:space="preserve"> per cent WPI (22 per cent lower extremity impairment) for isolated patell</w:t>
      </w:r>
      <w:r w:rsidR="00BF1849">
        <w:rPr>
          <w:snapToGrid w:val="0"/>
        </w:rPr>
        <w:t>o</w:t>
      </w:r>
      <w:r w:rsidRPr="00D8141B">
        <w:rPr>
          <w:snapToGrid w:val="0"/>
        </w:rPr>
        <w:t>-femoral joint replacement.</w:t>
      </w:r>
    </w:p>
    <w:p w:rsidR="00D8141B" w:rsidRPr="00286F9C" w:rsidRDefault="00535AFE" w:rsidP="00286F9C">
      <w:pPr>
        <w:pStyle w:val="BodyText3"/>
        <w:numPr>
          <w:ilvl w:val="0"/>
          <w:numId w:val="0"/>
        </w:numPr>
        <w:ind w:left="709"/>
        <w:rPr>
          <w:b/>
          <w:snapToGrid w:val="0"/>
        </w:rPr>
      </w:pPr>
      <w:r>
        <w:rPr>
          <w:snapToGrid w:val="0"/>
        </w:rPr>
        <w:br w:type="page"/>
      </w:r>
      <w:r w:rsidR="00D8141B" w:rsidRPr="00286F9C">
        <w:rPr>
          <w:b/>
          <w:snapToGrid w:val="0"/>
        </w:rPr>
        <w:lastRenderedPageBreak/>
        <w:t>Total Ankle Replacement:</w:t>
      </w:r>
    </w:p>
    <w:p w:rsidR="00D8141B" w:rsidRPr="00486E02" w:rsidRDefault="00D8141B" w:rsidP="00286F9C">
      <w:pPr>
        <w:pStyle w:val="BodyText3"/>
        <w:numPr>
          <w:ilvl w:val="0"/>
          <w:numId w:val="0"/>
        </w:numPr>
        <w:tabs>
          <w:tab w:val="clear" w:pos="709"/>
        </w:tabs>
        <w:spacing w:after="80"/>
        <w:ind w:left="851" w:right="851"/>
        <w:jc w:val="center"/>
        <w:rPr>
          <w:rFonts w:cs="Times New Roman"/>
          <w:b/>
          <w:sz w:val="24"/>
          <w:szCs w:val="24"/>
        </w:rPr>
      </w:pPr>
      <w:r w:rsidRPr="00486E02">
        <w:rPr>
          <w:rFonts w:cs="Times New Roman"/>
          <w:b/>
          <w:sz w:val="24"/>
          <w:szCs w:val="24"/>
        </w:rPr>
        <w:t>Table 3-3:  Rating for ankle replacement results</w:t>
      </w:r>
    </w:p>
    <w:tbl>
      <w:tblPr>
        <w:tblStyle w:val="TableGrid"/>
        <w:tblW w:w="0" w:type="auto"/>
        <w:tblInd w:w="851" w:type="dxa"/>
        <w:tblLook w:val="04A0" w:firstRow="1" w:lastRow="0" w:firstColumn="1" w:lastColumn="0" w:noHBand="0" w:noVBand="1"/>
      </w:tblPr>
      <w:tblGrid>
        <w:gridCol w:w="7933"/>
      </w:tblGrid>
      <w:tr w:rsidR="00486E02" w:rsidRPr="00486E02" w:rsidTr="00EC2E94">
        <w:tc>
          <w:tcPr>
            <w:tcW w:w="7933" w:type="dxa"/>
          </w:tcPr>
          <w:p w:rsidR="00486E02" w:rsidRPr="00486E02" w:rsidRDefault="00486E02" w:rsidP="00286F9C">
            <w:pPr>
              <w:spacing w:before="40" w:after="40"/>
              <w:ind w:left="28"/>
              <w:rPr>
                <w:rFonts w:cs="Arial"/>
                <w:snapToGrid w:val="0"/>
                <w:sz w:val="22"/>
                <w:szCs w:val="22"/>
                <w:lang w:val="en-US"/>
              </w:rPr>
            </w:pPr>
            <w:r w:rsidRPr="00486E02">
              <w:rPr>
                <w:sz w:val="22"/>
                <w:szCs w:val="22"/>
              </w:rPr>
              <w:t>The points system for rating total ankle replacements is to be the same as for total hip and total knee replacements, with the following impairment ratings:</w:t>
            </w:r>
          </w:p>
        </w:tc>
      </w:tr>
    </w:tbl>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4523"/>
      </w:tblGrid>
      <w:tr w:rsidR="00486E02" w:rsidRPr="00D8141B" w:rsidTr="00EC2E94">
        <w:tc>
          <w:tcPr>
            <w:tcW w:w="3415" w:type="dxa"/>
            <w:shd w:val="pct10" w:color="auto" w:fill="auto"/>
          </w:tcPr>
          <w:p w:rsidR="00486E02" w:rsidRPr="00D8141B" w:rsidRDefault="00486E02" w:rsidP="00286F9C">
            <w:pPr>
              <w:spacing w:before="40" w:after="40" w:line="240" w:lineRule="auto"/>
              <w:jc w:val="center"/>
              <w:rPr>
                <w:rFonts w:eastAsia="Times New Roman" w:cs="Arial"/>
                <w:b/>
                <w:snapToGrid w:val="0"/>
                <w:szCs w:val="20"/>
                <w:lang w:val="en-US"/>
              </w:rPr>
            </w:pPr>
            <w:r>
              <w:rPr>
                <w:rFonts w:eastAsia="Times New Roman" w:cs="Arial"/>
                <w:b/>
                <w:snapToGrid w:val="0"/>
                <w:szCs w:val="20"/>
                <w:lang w:val="en-US"/>
              </w:rPr>
              <w:t>Result</w:t>
            </w:r>
          </w:p>
        </w:tc>
        <w:tc>
          <w:tcPr>
            <w:tcW w:w="4523" w:type="dxa"/>
            <w:shd w:val="pct10" w:color="auto" w:fill="auto"/>
          </w:tcPr>
          <w:p w:rsidR="00486E02" w:rsidRPr="00D8141B" w:rsidRDefault="00486E02" w:rsidP="00286F9C">
            <w:pPr>
              <w:tabs>
                <w:tab w:val="left" w:pos="720"/>
              </w:tabs>
              <w:spacing w:before="40" w:after="40" w:line="240" w:lineRule="auto"/>
              <w:jc w:val="center"/>
              <w:outlineLvl w:val="2"/>
              <w:rPr>
                <w:rFonts w:eastAsia="Times New Roman" w:cs="Arial"/>
                <w:b/>
                <w:snapToGrid w:val="0"/>
                <w:szCs w:val="20"/>
                <w:lang w:val="en-US"/>
              </w:rPr>
            </w:pPr>
            <w:r w:rsidRPr="00D8141B">
              <w:rPr>
                <w:rFonts w:eastAsia="Times New Roman" w:cs="Arial"/>
                <w:b/>
                <w:snapToGrid w:val="0"/>
                <w:szCs w:val="20"/>
                <w:lang w:val="en-US"/>
              </w:rPr>
              <w:t>WPI (LEI)%</w:t>
            </w:r>
          </w:p>
        </w:tc>
      </w:tr>
      <w:tr w:rsidR="00486E02" w:rsidRPr="00D8141B" w:rsidTr="00EC2E94">
        <w:tc>
          <w:tcPr>
            <w:tcW w:w="3415" w:type="dxa"/>
          </w:tcPr>
          <w:p w:rsidR="00486E02" w:rsidRPr="00535AFE" w:rsidRDefault="00486E02" w:rsidP="00286F9C">
            <w:pPr>
              <w:tabs>
                <w:tab w:val="left" w:pos="720"/>
              </w:tabs>
              <w:spacing w:before="40" w:after="40" w:line="240" w:lineRule="auto"/>
              <w:jc w:val="center"/>
              <w:outlineLvl w:val="2"/>
              <w:rPr>
                <w:rFonts w:eastAsia="Times New Roman" w:cs="Arial"/>
                <w:snapToGrid w:val="0"/>
                <w:sz w:val="20"/>
                <w:szCs w:val="20"/>
                <w:lang w:val="en-US"/>
              </w:rPr>
            </w:pPr>
            <w:r w:rsidRPr="00535AFE">
              <w:rPr>
                <w:rFonts w:cs="Times New Roman"/>
                <w:sz w:val="20"/>
                <w:szCs w:val="20"/>
              </w:rPr>
              <w:t>Good result, 85-100 points</w:t>
            </w:r>
          </w:p>
        </w:tc>
        <w:tc>
          <w:tcPr>
            <w:tcW w:w="4523" w:type="dxa"/>
          </w:tcPr>
          <w:p w:rsidR="00486E02" w:rsidRPr="00535AFE" w:rsidRDefault="00486E02" w:rsidP="00286F9C">
            <w:pPr>
              <w:tabs>
                <w:tab w:val="left" w:pos="720"/>
              </w:tabs>
              <w:spacing w:before="40" w:after="40" w:line="240" w:lineRule="auto"/>
              <w:jc w:val="center"/>
              <w:outlineLvl w:val="2"/>
              <w:rPr>
                <w:rFonts w:eastAsia="Times New Roman" w:cs="Arial"/>
                <w:snapToGrid w:val="0"/>
                <w:sz w:val="20"/>
                <w:szCs w:val="20"/>
                <w:lang w:val="en-US"/>
              </w:rPr>
            </w:pPr>
            <w:r w:rsidRPr="00535AFE">
              <w:rPr>
                <w:rFonts w:cs="Times New Roman"/>
                <w:sz w:val="20"/>
                <w:szCs w:val="20"/>
              </w:rPr>
              <w:t>(30) 12</w:t>
            </w:r>
          </w:p>
        </w:tc>
      </w:tr>
      <w:tr w:rsidR="00486E02" w:rsidRPr="00D8141B" w:rsidTr="00EC2E94">
        <w:tc>
          <w:tcPr>
            <w:tcW w:w="3415" w:type="dxa"/>
          </w:tcPr>
          <w:p w:rsidR="00486E02" w:rsidRPr="00535AFE" w:rsidRDefault="00486E02" w:rsidP="00286F9C">
            <w:pPr>
              <w:tabs>
                <w:tab w:val="left" w:pos="720"/>
              </w:tabs>
              <w:spacing w:before="40" w:after="40" w:line="240" w:lineRule="auto"/>
              <w:jc w:val="center"/>
              <w:outlineLvl w:val="2"/>
              <w:rPr>
                <w:rFonts w:eastAsia="Times New Roman" w:cs="Arial"/>
                <w:snapToGrid w:val="0"/>
                <w:sz w:val="20"/>
                <w:szCs w:val="20"/>
                <w:lang w:val="en-US"/>
              </w:rPr>
            </w:pPr>
            <w:r w:rsidRPr="00535AFE">
              <w:rPr>
                <w:rFonts w:cs="Times New Roman"/>
                <w:sz w:val="20"/>
                <w:szCs w:val="20"/>
              </w:rPr>
              <w:t>Fair result, 50-84 points</w:t>
            </w:r>
          </w:p>
        </w:tc>
        <w:tc>
          <w:tcPr>
            <w:tcW w:w="4523" w:type="dxa"/>
          </w:tcPr>
          <w:p w:rsidR="00486E02" w:rsidRPr="00535AFE" w:rsidRDefault="00486E02" w:rsidP="00286F9C">
            <w:pPr>
              <w:tabs>
                <w:tab w:val="left" w:pos="720"/>
              </w:tabs>
              <w:spacing w:before="40" w:after="40" w:line="240" w:lineRule="auto"/>
              <w:jc w:val="center"/>
              <w:outlineLvl w:val="2"/>
              <w:rPr>
                <w:rFonts w:eastAsia="Times New Roman" w:cs="Arial"/>
                <w:snapToGrid w:val="0"/>
                <w:sz w:val="20"/>
                <w:szCs w:val="20"/>
                <w:lang w:val="en-US"/>
              </w:rPr>
            </w:pPr>
            <w:r w:rsidRPr="00535AFE">
              <w:rPr>
                <w:rFonts w:cs="Times New Roman"/>
                <w:sz w:val="20"/>
                <w:szCs w:val="20"/>
              </w:rPr>
              <w:t>(40) 16</w:t>
            </w:r>
          </w:p>
        </w:tc>
      </w:tr>
      <w:tr w:rsidR="00486E02" w:rsidRPr="00D8141B" w:rsidTr="00EC2E94">
        <w:tc>
          <w:tcPr>
            <w:tcW w:w="3415" w:type="dxa"/>
          </w:tcPr>
          <w:p w:rsidR="00486E02" w:rsidRPr="00535AFE" w:rsidRDefault="00486E02" w:rsidP="00286F9C">
            <w:pPr>
              <w:tabs>
                <w:tab w:val="left" w:pos="720"/>
              </w:tabs>
              <w:spacing w:before="40" w:after="40" w:line="240" w:lineRule="auto"/>
              <w:jc w:val="center"/>
              <w:outlineLvl w:val="2"/>
              <w:rPr>
                <w:rFonts w:eastAsia="Times New Roman" w:cs="Arial"/>
                <w:snapToGrid w:val="0"/>
                <w:sz w:val="20"/>
                <w:szCs w:val="20"/>
                <w:lang w:val="en-US"/>
              </w:rPr>
            </w:pPr>
            <w:r w:rsidRPr="00535AFE">
              <w:rPr>
                <w:rFonts w:cs="Times New Roman"/>
                <w:sz w:val="20"/>
                <w:szCs w:val="20"/>
              </w:rPr>
              <w:t>Poor result, &lt; 50 points</w:t>
            </w:r>
          </w:p>
        </w:tc>
        <w:tc>
          <w:tcPr>
            <w:tcW w:w="4523" w:type="dxa"/>
          </w:tcPr>
          <w:p w:rsidR="00486E02" w:rsidRPr="00535AFE" w:rsidRDefault="00486E02" w:rsidP="00286F9C">
            <w:pPr>
              <w:tabs>
                <w:tab w:val="left" w:pos="720"/>
              </w:tabs>
              <w:spacing w:before="40" w:after="40" w:line="240" w:lineRule="auto"/>
              <w:jc w:val="center"/>
              <w:outlineLvl w:val="2"/>
              <w:rPr>
                <w:rFonts w:eastAsia="Times New Roman" w:cs="Arial"/>
                <w:snapToGrid w:val="0"/>
                <w:sz w:val="20"/>
                <w:szCs w:val="20"/>
                <w:lang w:val="en-US"/>
              </w:rPr>
            </w:pPr>
            <w:r w:rsidRPr="00535AFE">
              <w:rPr>
                <w:rFonts w:cs="Times New Roman"/>
                <w:sz w:val="20"/>
                <w:szCs w:val="20"/>
              </w:rPr>
              <w:t>(50) 20</w:t>
            </w:r>
          </w:p>
        </w:tc>
      </w:tr>
    </w:tbl>
    <w:p w:rsidR="00486E02" w:rsidRPr="005D6D02" w:rsidRDefault="00486E02" w:rsidP="00286F9C">
      <w:pPr>
        <w:pStyle w:val="BodyText3"/>
        <w:numPr>
          <w:ilvl w:val="0"/>
          <w:numId w:val="0"/>
        </w:numPr>
        <w:spacing w:after="120"/>
        <w:ind w:left="709"/>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126"/>
        <w:gridCol w:w="2126"/>
        <w:gridCol w:w="2120"/>
      </w:tblGrid>
      <w:tr w:rsidR="00D8141B" w:rsidRPr="005D6D02" w:rsidTr="001D622D">
        <w:tc>
          <w:tcPr>
            <w:tcW w:w="2552" w:type="dxa"/>
            <w:shd w:val="pct10" w:color="auto" w:fill="auto"/>
          </w:tcPr>
          <w:p w:rsidR="00D8141B" w:rsidRPr="005D6D02" w:rsidRDefault="00D8141B" w:rsidP="005D6D02">
            <w:pPr>
              <w:keepNext/>
              <w:keepLines/>
              <w:spacing w:after="0" w:line="240" w:lineRule="auto"/>
              <w:rPr>
                <w:rFonts w:eastAsia="Times New Roman" w:cs="Arial"/>
                <w:b/>
                <w:lang w:val="en-US"/>
              </w:rPr>
            </w:pPr>
          </w:p>
        </w:tc>
        <w:tc>
          <w:tcPr>
            <w:tcW w:w="2126" w:type="dxa"/>
            <w:shd w:val="pct10" w:color="auto" w:fill="auto"/>
          </w:tcPr>
          <w:p w:rsidR="00D8141B" w:rsidRPr="005D6D02" w:rsidRDefault="00D8141B" w:rsidP="005D6D02">
            <w:pPr>
              <w:keepNext/>
              <w:keepLines/>
              <w:spacing w:after="0" w:line="240" w:lineRule="auto"/>
              <w:jc w:val="center"/>
              <w:rPr>
                <w:rFonts w:eastAsia="Times New Roman" w:cs="Arial"/>
                <w:b/>
                <w:lang w:val="en-US"/>
              </w:rPr>
            </w:pPr>
            <w:r w:rsidRPr="005D6D02">
              <w:rPr>
                <w:rFonts w:eastAsia="Times New Roman" w:cs="Arial"/>
                <w:b/>
                <w:lang w:val="en-US"/>
              </w:rPr>
              <w:t>Number of Points</w:t>
            </w:r>
          </w:p>
        </w:tc>
        <w:tc>
          <w:tcPr>
            <w:tcW w:w="2126" w:type="dxa"/>
            <w:shd w:val="pct10" w:color="auto" w:fill="auto"/>
          </w:tcPr>
          <w:p w:rsidR="00D8141B" w:rsidRPr="005D6D02" w:rsidRDefault="00D8141B" w:rsidP="005D6D02">
            <w:pPr>
              <w:keepNext/>
              <w:keepLines/>
              <w:spacing w:before="20" w:after="20" w:line="240" w:lineRule="auto"/>
              <w:jc w:val="center"/>
              <w:rPr>
                <w:rFonts w:eastAsia="Times New Roman" w:cs="Arial"/>
                <w:b/>
                <w:lang w:val="en-US"/>
              </w:rPr>
            </w:pPr>
          </w:p>
        </w:tc>
        <w:tc>
          <w:tcPr>
            <w:tcW w:w="2120" w:type="dxa"/>
            <w:shd w:val="pct10" w:color="auto" w:fill="auto"/>
          </w:tcPr>
          <w:p w:rsidR="00D8141B" w:rsidRPr="005D6D02" w:rsidRDefault="00D8141B" w:rsidP="005D6D02">
            <w:pPr>
              <w:keepNext/>
              <w:keepLines/>
              <w:spacing w:before="20" w:after="20" w:line="240" w:lineRule="auto"/>
              <w:jc w:val="center"/>
              <w:rPr>
                <w:rFonts w:eastAsia="Times New Roman" w:cs="Arial"/>
                <w:b/>
                <w:lang w:val="en-US"/>
              </w:rPr>
            </w:pPr>
            <w:r w:rsidRPr="005D6D02">
              <w:rPr>
                <w:rFonts w:eastAsia="Times New Roman" w:cs="Arial"/>
                <w:b/>
                <w:lang w:val="en-US"/>
              </w:rPr>
              <w:t>Number of Points</w:t>
            </w:r>
          </w:p>
        </w:tc>
      </w:tr>
      <w:tr w:rsidR="00D8141B" w:rsidRPr="005D6D02" w:rsidTr="001D622D">
        <w:trPr>
          <w:trHeight w:val="20"/>
        </w:trPr>
        <w:tc>
          <w:tcPr>
            <w:tcW w:w="2552" w:type="dxa"/>
            <w:vMerge w:val="restart"/>
          </w:tcPr>
          <w:p w:rsidR="00D8141B" w:rsidRPr="001D622D" w:rsidRDefault="00D8141B" w:rsidP="0081060E">
            <w:pPr>
              <w:pStyle w:val="ListParagraph"/>
              <w:numPr>
                <w:ilvl w:val="0"/>
                <w:numId w:val="31"/>
              </w:numPr>
              <w:tabs>
                <w:tab w:val="left" w:pos="317"/>
              </w:tabs>
              <w:spacing w:after="80"/>
              <w:rPr>
                <w:rFonts w:cs="Arial"/>
                <w:sz w:val="20"/>
              </w:rPr>
            </w:pPr>
            <w:r w:rsidRPr="001D622D">
              <w:rPr>
                <w:rFonts w:cs="Arial"/>
                <w:b/>
                <w:sz w:val="20"/>
              </w:rPr>
              <w:t>Pain</w:t>
            </w:r>
          </w:p>
          <w:p w:rsidR="00D8141B" w:rsidRPr="001D622D" w:rsidRDefault="00D8141B" w:rsidP="001D622D">
            <w:pPr>
              <w:tabs>
                <w:tab w:val="left" w:pos="317"/>
              </w:tabs>
              <w:spacing w:after="80" w:line="240" w:lineRule="auto"/>
              <w:rPr>
                <w:rFonts w:eastAsia="Times New Roman" w:cs="Arial"/>
                <w:sz w:val="20"/>
                <w:szCs w:val="20"/>
                <w:lang w:val="en-US"/>
              </w:rPr>
            </w:pPr>
            <w:r w:rsidRPr="001D622D">
              <w:rPr>
                <w:rFonts w:eastAsia="Times New Roman" w:cs="Arial"/>
                <w:sz w:val="20"/>
                <w:szCs w:val="20"/>
                <w:lang w:val="en-US"/>
              </w:rPr>
              <w:t>None</w:t>
            </w:r>
          </w:p>
          <w:p w:rsidR="00D8141B" w:rsidRPr="001D622D" w:rsidRDefault="00D8141B" w:rsidP="005D6D02">
            <w:pPr>
              <w:tabs>
                <w:tab w:val="left" w:pos="317"/>
              </w:tabs>
              <w:spacing w:after="0" w:line="240" w:lineRule="auto"/>
              <w:rPr>
                <w:rFonts w:eastAsia="Times New Roman" w:cs="Arial"/>
                <w:sz w:val="20"/>
                <w:szCs w:val="20"/>
                <w:lang w:val="en-US"/>
              </w:rPr>
            </w:pPr>
            <w:r w:rsidRPr="001D622D">
              <w:rPr>
                <w:rFonts w:eastAsia="Times New Roman" w:cs="Arial"/>
                <w:sz w:val="20"/>
                <w:szCs w:val="20"/>
                <w:lang w:val="en-US"/>
              </w:rPr>
              <w:t>Slight</w:t>
            </w:r>
          </w:p>
          <w:p w:rsidR="00D8141B" w:rsidRPr="001D622D" w:rsidRDefault="00D8141B" w:rsidP="005D6D02">
            <w:pPr>
              <w:tabs>
                <w:tab w:val="left" w:pos="317"/>
              </w:tabs>
              <w:spacing w:after="0" w:line="240" w:lineRule="auto"/>
              <w:ind w:left="317" w:hanging="283"/>
              <w:rPr>
                <w:rFonts w:eastAsia="Times New Roman" w:cs="Arial"/>
                <w:sz w:val="20"/>
                <w:szCs w:val="20"/>
                <w:lang w:val="en-US"/>
              </w:rPr>
            </w:pPr>
            <w:r w:rsidRPr="001D622D">
              <w:rPr>
                <w:rFonts w:eastAsia="Times New Roman" w:cs="Arial"/>
                <w:sz w:val="20"/>
                <w:szCs w:val="20"/>
                <w:lang w:val="en-US"/>
              </w:rPr>
              <w:t xml:space="preserve">    Stairs only</w:t>
            </w:r>
          </w:p>
          <w:p w:rsidR="00D8141B" w:rsidRPr="001D622D" w:rsidRDefault="00D8141B" w:rsidP="001D622D">
            <w:pPr>
              <w:tabs>
                <w:tab w:val="left" w:pos="317"/>
              </w:tabs>
              <w:spacing w:after="80" w:line="240" w:lineRule="auto"/>
              <w:ind w:left="318" w:hanging="284"/>
              <w:rPr>
                <w:rFonts w:eastAsia="Times New Roman" w:cs="Arial"/>
                <w:sz w:val="20"/>
                <w:szCs w:val="20"/>
                <w:lang w:val="en-US"/>
              </w:rPr>
            </w:pPr>
            <w:r w:rsidRPr="001D622D">
              <w:rPr>
                <w:rFonts w:eastAsia="Times New Roman" w:cs="Arial"/>
                <w:sz w:val="20"/>
                <w:szCs w:val="20"/>
                <w:lang w:val="en-US"/>
              </w:rPr>
              <w:t xml:space="preserve">    Walking and stairs</w:t>
            </w:r>
          </w:p>
          <w:p w:rsidR="00D8141B" w:rsidRPr="001D622D" w:rsidRDefault="00D8141B" w:rsidP="005D6D02">
            <w:pPr>
              <w:tabs>
                <w:tab w:val="left" w:pos="317"/>
              </w:tabs>
              <w:spacing w:after="0" w:line="240" w:lineRule="auto"/>
              <w:rPr>
                <w:rFonts w:eastAsia="Times New Roman" w:cs="Arial"/>
                <w:sz w:val="20"/>
                <w:szCs w:val="20"/>
                <w:lang w:val="en-US"/>
              </w:rPr>
            </w:pPr>
            <w:r w:rsidRPr="001D622D">
              <w:rPr>
                <w:rFonts w:eastAsia="Times New Roman" w:cs="Arial"/>
                <w:sz w:val="20"/>
                <w:szCs w:val="20"/>
                <w:lang w:val="en-US"/>
              </w:rPr>
              <w:t>Moderate</w:t>
            </w:r>
          </w:p>
          <w:p w:rsidR="00D8141B" w:rsidRPr="001D622D" w:rsidRDefault="00D8141B" w:rsidP="005D6D02">
            <w:pPr>
              <w:tabs>
                <w:tab w:val="left" w:pos="317"/>
              </w:tabs>
              <w:spacing w:after="0" w:line="240" w:lineRule="auto"/>
              <w:ind w:left="317" w:hanging="283"/>
              <w:rPr>
                <w:rFonts w:eastAsia="Times New Roman" w:cs="Arial"/>
                <w:sz w:val="20"/>
                <w:szCs w:val="20"/>
                <w:lang w:val="en-US"/>
              </w:rPr>
            </w:pPr>
            <w:r w:rsidRPr="001D622D">
              <w:rPr>
                <w:rFonts w:eastAsia="Times New Roman" w:cs="Arial"/>
                <w:sz w:val="20"/>
                <w:szCs w:val="20"/>
                <w:lang w:val="en-US"/>
              </w:rPr>
              <w:t xml:space="preserve">    Occasional</w:t>
            </w:r>
          </w:p>
          <w:p w:rsidR="00D8141B" w:rsidRPr="001D622D" w:rsidRDefault="00D8141B" w:rsidP="001D622D">
            <w:pPr>
              <w:tabs>
                <w:tab w:val="left" w:pos="317"/>
              </w:tabs>
              <w:spacing w:after="80" w:line="240" w:lineRule="auto"/>
              <w:ind w:left="318" w:hanging="284"/>
              <w:rPr>
                <w:rFonts w:eastAsia="Times New Roman" w:cs="Arial"/>
                <w:sz w:val="20"/>
                <w:szCs w:val="20"/>
                <w:lang w:val="en-US"/>
              </w:rPr>
            </w:pPr>
            <w:r w:rsidRPr="001D622D">
              <w:rPr>
                <w:rFonts w:eastAsia="Times New Roman" w:cs="Arial"/>
                <w:sz w:val="20"/>
                <w:szCs w:val="20"/>
                <w:lang w:val="en-US"/>
              </w:rPr>
              <w:t xml:space="preserve">    Continual</w:t>
            </w:r>
          </w:p>
          <w:p w:rsidR="00D8141B" w:rsidRPr="001D622D" w:rsidRDefault="00D8141B" w:rsidP="005D6D02">
            <w:pPr>
              <w:tabs>
                <w:tab w:val="left" w:pos="317"/>
              </w:tabs>
              <w:spacing w:after="0" w:line="240" w:lineRule="auto"/>
              <w:rPr>
                <w:rFonts w:eastAsia="Times New Roman" w:cs="Arial"/>
                <w:sz w:val="20"/>
                <w:szCs w:val="20"/>
                <w:lang w:val="en-US"/>
              </w:rPr>
            </w:pPr>
            <w:r w:rsidRPr="001D622D">
              <w:rPr>
                <w:rFonts w:eastAsia="Times New Roman" w:cs="Arial"/>
                <w:sz w:val="20"/>
                <w:szCs w:val="20"/>
                <w:lang w:val="en-US"/>
              </w:rPr>
              <w:t>Severe</w:t>
            </w:r>
          </w:p>
        </w:tc>
        <w:tc>
          <w:tcPr>
            <w:tcW w:w="2126" w:type="dxa"/>
            <w:vMerge w:val="restart"/>
          </w:tcPr>
          <w:p w:rsidR="00D8141B" w:rsidRPr="001D622D" w:rsidRDefault="00D8141B" w:rsidP="001D622D">
            <w:pPr>
              <w:spacing w:after="80" w:line="240" w:lineRule="auto"/>
              <w:ind w:right="743"/>
              <w:jc w:val="right"/>
              <w:rPr>
                <w:rFonts w:eastAsia="Times New Roman" w:cs="Arial"/>
                <w:b/>
                <w:sz w:val="20"/>
                <w:szCs w:val="20"/>
                <w:lang w:val="en-US"/>
              </w:rPr>
            </w:pPr>
          </w:p>
          <w:p w:rsidR="00D8141B" w:rsidRPr="001D622D" w:rsidRDefault="00D8141B" w:rsidP="001D622D">
            <w:pPr>
              <w:tabs>
                <w:tab w:val="left" w:pos="287"/>
              </w:tabs>
              <w:spacing w:after="80" w:line="240" w:lineRule="auto"/>
              <w:ind w:right="743"/>
              <w:jc w:val="right"/>
              <w:rPr>
                <w:rFonts w:eastAsia="Times New Roman" w:cs="Arial"/>
                <w:sz w:val="20"/>
                <w:szCs w:val="20"/>
                <w:lang w:val="en-US"/>
              </w:rPr>
            </w:pPr>
            <w:r w:rsidRPr="001D622D">
              <w:rPr>
                <w:rFonts w:eastAsia="Times New Roman" w:cs="Arial"/>
                <w:sz w:val="20"/>
                <w:szCs w:val="20"/>
                <w:lang w:val="en-US"/>
              </w:rPr>
              <w:t>50</w:t>
            </w:r>
          </w:p>
          <w:p w:rsidR="00D8141B" w:rsidRPr="001D622D" w:rsidRDefault="00D8141B" w:rsidP="005D6D02">
            <w:pPr>
              <w:tabs>
                <w:tab w:val="left" w:pos="287"/>
              </w:tabs>
              <w:spacing w:after="0" w:line="240" w:lineRule="auto"/>
              <w:ind w:right="743"/>
              <w:jc w:val="right"/>
              <w:rPr>
                <w:rFonts w:eastAsia="Times New Roman" w:cs="Arial"/>
                <w:sz w:val="20"/>
                <w:szCs w:val="20"/>
                <w:lang w:val="en-US"/>
              </w:rPr>
            </w:pPr>
          </w:p>
          <w:p w:rsidR="00D8141B" w:rsidRPr="001D622D" w:rsidRDefault="00D8141B" w:rsidP="005D6D02">
            <w:pPr>
              <w:tabs>
                <w:tab w:val="left" w:pos="287"/>
              </w:tabs>
              <w:spacing w:after="0" w:line="240" w:lineRule="auto"/>
              <w:ind w:right="743"/>
              <w:jc w:val="right"/>
              <w:rPr>
                <w:rFonts w:eastAsia="Times New Roman" w:cs="Arial"/>
                <w:sz w:val="20"/>
                <w:szCs w:val="20"/>
                <w:lang w:val="en-US"/>
              </w:rPr>
            </w:pPr>
            <w:r w:rsidRPr="001D622D">
              <w:rPr>
                <w:rFonts w:eastAsia="Times New Roman" w:cs="Arial"/>
                <w:sz w:val="20"/>
                <w:szCs w:val="20"/>
                <w:lang w:val="en-US"/>
              </w:rPr>
              <w:t>40</w:t>
            </w:r>
          </w:p>
          <w:p w:rsidR="00D8141B" w:rsidRPr="001D622D" w:rsidRDefault="00D8141B" w:rsidP="001D622D">
            <w:pPr>
              <w:tabs>
                <w:tab w:val="left" w:pos="287"/>
              </w:tabs>
              <w:spacing w:after="80" w:line="240" w:lineRule="auto"/>
              <w:ind w:right="743"/>
              <w:jc w:val="right"/>
              <w:rPr>
                <w:rFonts w:eastAsia="Times New Roman" w:cs="Arial"/>
                <w:sz w:val="20"/>
                <w:szCs w:val="20"/>
                <w:lang w:val="en-US"/>
              </w:rPr>
            </w:pPr>
            <w:r w:rsidRPr="001D622D">
              <w:rPr>
                <w:rFonts w:eastAsia="Times New Roman" w:cs="Arial"/>
                <w:sz w:val="20"/>
                <w:szCs w:val="20"/>
                <w:lang w:val="en-US"/>
              </w:rPr>
              <w:t>30</w:t>
            </w:r>
          </w:p>
          <w:p w:rsidR="00D8141B" w:rsidRPr="001D622D" w:rsidRDefault="00D8141B" w:rsidP="005D6D02">
            <w:pPr>
              <w:tabs>
                <w:tab w:val="left" w:pos="287"/>
              </w:tabs>
              <w:spacing w:after="0" w:line="240" w:lineRule="auto"/>
              <w:ind w:right="743"/>
              <w:jc w:val="right"/>
              <w:rPr>
                <w:rFonts w:eastAsia="Times New Roman" w:cs="Arial"/>
                <w:sz w:val="20"/>
                <w:szCs w:val="20"/>
                <w:lang w:val="en-US"/>
              </w:rPr>
            </w:pPr>
          </w:p>
          <w:p w:rsidR="00D8141B" w:rsidRPr="001D622D" w:rsidRDefault="00D8141B" w:rsidP="005D6D02">
            <w:pPr>
              <w:tabs>
                <w:tab w:val="left" w:pos="287"/>
              </w:tabs>
              <w:spacing w:after="0" w:line="240" w:lineRule="auto"/>
              <w:ind w:right="743"/>
              <w:jc w:val="right"/>
              <w:rPr>
                <w:rFonts w:eastAsia="Times New Roman" w:cs="Arial"/>
                <w:sz w:val="20"/>
                <w:szCs w:val="20"/>
                <w:lang w:val="en-US"/>
              </w:rPr>
            </w:pPr>
            <w:r w:rsidRPr="001D622D">
              <w:rPr>
                <w:rFonts w:eastAsia="Times New Roman" w:cs="Arial"/>
                <w:sz w:val="20"/>
                <w:szCs w:val="20"/>
                <w:lang w:val="en-US"/>
              </w:rPr>
              <w:t>20</w:t>
            </w:r>
          </w:p>
          <w:p w:rsidR="00D8141B" w:rsidRPr="001D622D" w:rsidRDefault="00D8141B" w:rsidP="001D622D">
            <w:pPr>
              <w:tabs>
                <w:tab w:val="left" w:pos="287"/>
              </w:tabs>
              <w:spacing w:after="80" w:line="240" w:lineRule="auto"/>
              <w:ind w:right="743"/>
              <w:jc w:val="right"/>
              <w:rPr>
                <w:rFonts w:eastAsia="Times New Roman" w:cs="Arial"/>
                <w:sz w:val="20"/>
                <w:szCs w:val="20"/>
                <w:lang w:val="en-US"/>
              </w:rPr>
            </w:pPr>
            <w:r w:rsidRPr="001D622D">
              <w:rPr>
                <w:rFonts w:eastAsia="Times New Roman" w:cs="Arial"/>
                <w:sz w:val="20"/>
                <w:szCs w:val="20"/>
                <w:lang w:val="en-US"/>
              </w:rPr>
              <w:t>10</w:t>
            </w:r>
          </w:p>
          <w:p w:rsidR="00D8141B" w:rsidRPr="001D622D" w:rsidRDefault="00D8141B" w:rsidP="005D6D02">
            <w:pPr>
              <w:tabs>
                <w:tab w:val="left" w:pos="287"/>
              </w:tabs>
              <w:spacing w:after="0" w:line="240" w:lineRule="auto"/>
              <w:ind w:right="743"/>
              <w:jc w:val="right"/>
              <w:rPr>
                <w:rFonts w:eastAsia="Times New Roman" w:cs="Arial"/>
                <w:sz w:val="20"/>
                <w:szCs w:val="20"/>
                <w:lang w:val="en-US"/>
              </w:rPr>
            </w:pPr>
            <w:r w:rsidRPr="001D622D">
              <w:rPr>
                <w:rFonts w:eastAsia="Times New Roman" w:cs="Arial"/>
                <w:sz w:val="20"/>
                <w:szCs w:val="20"/>
                <w:lang w:val="en-US"/>
              </w:rPr>
              <w:t>0</w:t>
            </w:r>
          </w:p>
        </w:tc>
        <w:tc>
          <w:tcPr>
            <w:tcW w:w="2126" w:type="dxa"/>
          </w:tcPr>
          <w:p w:rsidR="00D8141B" w:rsidRPr="001D622D" w:rsidRDefault="00D8141B" w:rsidP="005D6D02">
            <w:pPr>
              <w:spacing w:after="0" w:line="240" w:lineRule="auto"/>
              <w:rPr>
                <w:rFonts w:eastAsia="Times New Roman" w:cs="Arial"/>
                <w:b/>
                <w:sz w:val="20"/>
                <w:szCs w:val="20"/>
                <w:lang w:val="en-US"/>
              </w:rPr>
            </w:pPr>
            <w:r w:rsidRPr="001D622D">
              <w:rPr>
                <w:rFonts w:eastAsia="Times New Roman" w:cs="Arial"/>
                <w:b/>
                <w:sz w:val="20"/>
                <w:szCs w:val="20"/>
                <w:lang w:val="en-US"/>
              </w:rPr>
              <w:t>DEDUCTIONS</w:t>
            </w:r>
          </w:p>
          <w:p w:rsidR="00D8141B" w:rsidRPr="001D622D" w:rsidRDefault="00D8141B" w:rsidP="001D622D">
            <w:pPr>
              <w:spacing w:after="80" w:line="240" w:lineRule="auto"/>
              <w:rPr>
                <w:rFonts w:eastAsia="Times New Roman" w:cs="Arial"/>
                <w:b/>
                <w:sz w:val="20"/>
                <w:szCs w:val="20"/>
                <w:lang w:val="en-US"/>
              </w:rPr>
            </w:pPr>
            <w:r w:rsidRPr="001D622D">
              <w:rPr>
                <w:rFonts w:eastAsia="Times New Roman" w:cs="Arial"/>
                <w:b/>
                <w:sz w:val="20"/>
                <w:szCs w:val="20"/>
                <w:lang w:val="en-US"/>
              </w:rPr>
              <w:t>(minus) d and e</w:t>
            </w:r>
          </w:p>
          <w:p w:rsidR="00D8141B" w:rsidRPr="001D622D" w:rsidRDefault="00D8141B" w:rsidP="001D622D">
            <w:pPr>
              <w:spacing w:after="0" w:line="240" w:lineRule="auto"/>
              <w:rPr>
                <w:rFonts w:eastAsia="Times New Roman" w:cs="Arial"/>
                <w:b/>
                <w:sz w:val="20"/>
                <w:szCs w:val="20"/>
                <w:lang w:val="en-US"/>
              </w:rPr>
            </w:pPr>
            <w:r w:rsidRPr="001D622D">
              <w:rPr>
                <w:rFonts w:eastAsia="Times New Roman" w:cs="Arial"/>
                <w:b/>
                <w:sz w:val="20"/>
                <w:szCs w:val="20"/>
                <w:lang w:val="en-US"/>
              </w:rPr>
              <w:t>d.  Varus</w:t>
            </w:r>
          </w:p>
          <w:p w:rsidR="00D8141B" w:rsidRPr="001D622D" w:rsidRDefault="00D8141B" w:rsidP="001D622D">
            <w:pPr>
              <w:spacing w:after="0" w:line="240" w:lineRule="auto"/>
              <w:ind w:right="33"/>
              <w:jc w:val="center"/>
              <w:rPr>
                <w:rFonts w:eastAsia="Times New Roman" w:cs="Arial"/>
                <w:sz w:val="20"/>
                <w:szCs w:val="20"/>
                <w:lang w:val="en-US"/>
              </w:rPr>
            </w:pPr>
            <w:r w:rsidRPr="001D622D">
              <w:rPr>
                <w:rFonts w:eastAsia="Times New Roman" w:cs="Arial"/>
                <w:sz w:val="20"/>
                <w:szCs w:val="20"/>
                <w:lang w:val="en-US"/>
              </w:rPr>
              <w:t>&lt;5°</w:t>
            </w:r>
          </w:p>
          <w:p w:rsidR="00D8141B" w:rsidRPr="001D622D" w:rsidRDefault="00D8141B" w:rsidP="001D622D">
            <w:pPr>
              <w:spacing w:after="0" w:line="240" w:lineRule="auto"/>
              <w:ind w:right="33"/>
              <w:jc w:val="center"/>
              <w:rPr>
                <w:rFonts w:eastAsia="Times New Roman" w:cs="Arial"/>
                <w:sz w:val="20"/>
                <w:szCs w:val="20"/>
                <w:lang w:val="en-US"/>
              </w:rPr>
            </w:pPr>
            <w:r w:rsidRPr="001D622D">
              <w:rPr>
                <w:rFonts w:eastAsia="Times New Roman" w:cs="Arial"/>
                <w:sz w:val="20"/>
                <w:szCs w:val="20"/>
                <w:lang w:val="en-US"/>
              </w:rPr>
              <w:t>5° − 10°</w:t>
            </w:r>
          </w:p>
          <w:p w:rsidR="00D8141B" w:rsidRPr="001D622D" w:rsidRDefault="00D8141B" w:rsidP="001D622D">
            <w:pPr>
              <w:spacing w:after="0" w:line="240" w:lineRule="auto"/>
              <w:ind w:right="34"/>
              <w:jc w:val="center"/>
              <w:rPr>
                <w:rFonts w:eastAsia="Times New Roman" w:cs="Arial"/>
                <w:b/>
                <w:sz w:val="20"/>
                <w:szCs w:val="20"/>
                <w:lang w:val="en-US"/>
              </w:rPr>
            </w:pPr>
            <w:r w:rsidRPr="001D622D">
              <w:rPr>
                <w:rFonts w:eastAsia="Times New Roman" w:cs="Arial"/>
                <w:sz w:val="20"/>
                <w:szCs w:val="20"/>
                <w:lang w:val="en-US"/>
              </w:rPr>
              <w:t>&gt;10°</w:t>
            </w:r>
          </w:p>
        </w:tc>
        <w:tc>
          <w:tcPr>
            <w:tcW w:w="2120" w:type="dxa"/>
          </w:tcPr>
          <w:p w:rsidR="00D8141B" w:rsidRPr="001D622D" w:rsidRDefault="00D8141B" w:rsidP="005D6D02">
            <w:pPr>
              <w:spacing w:after="0" w:line="240" w:lineRule="auto"/>
              <w:rPr>
                <w:rFonts w:eastAsia="Times New Roman" w:cs="Arial"/>
                <w:b/>
                <w:sz w:val="20"/>
                <w:szCs w:val="20"/>
                <w:lang w:val="en-US"/>
              </w:rPr>
            </w:pPr>
          </w:p>
          <w:p w:rsidR="00D8141B" w:rsidRPr="001D622D" w:rsidRDefault="00D8141B" w:rsidP="001D622D">
            <w:pPr>
              <w:spacing w:after="80" w:line="240" w:lineRule="auto"/>
              <w:rPr>
                <w:rFonts w:eastAsia="Times New Roman" w:cs="Arial"/>
                <w:b/>
                <w:sz w:val="20"/>
                <w:szCs w:val="20"/>
                <w:lang w:val="en-US"/>
              </w:rPr>
            </w:pPr>
          </w:p>
          <w:p w:rsidR="00D8141B" w:rsidRPr="001D622D" w:rsidRDefault="00D8141B" w:rsidP="005D6D02">
            <w:pPr>
              <w:spacing w:before="20" w:after="20" w:line="240" w:lineRule="auto"/>
              <w:rPr>
                <w:rFonts w:eastAsia="Times New Roman" w:cs="Arial"/>
                <w:b/>
                <w:sz w:val="20"/>
                <w:szCs w:val="20"/>
                <w:lang w:val="en-US"/>
              </w:rPr>
            </w:pPr>
          </w:p>
          <w:p w:rsidR="00D8141B" w:rsidRPr="001D622D" w:rsidRDefault="00D8141B" w:rsidP="001D622D">
            <w:pPr>
              <w:spacing w:after="0" w:line="240" w:lineRule="auto"/>
              <w:jc w:val="center"/>
              <w:rPr>
                <w:rFonts w:eastAsia="Times New Roman" w:cs="Arial"/>
                <w:sz w:val="20"/>
                <w:szCs w:val="20"/>
                <w:lang w:val="en-US"/>
              </w:rPr>
            </w:pPr>
            <w:r w:rsidRPr="001D622D">
              <w:rPr>
                <w:rFonts w:eastAsia="Times New Roman" w:cs="Arial"/>
                <w:sz w:val="20"/>
                <w:szCs w:val="20"/>
                <w:lang w:val="en-US"/>
              </w:rPr>
              <w:t>0</w:t>
            </w:r>
          </w:p>
          <w:p w:rsidR="00D8141B" w:rsidRPr="001D622D" w:rsidRDefault="00D8141B" w:rsidP="001D622D">
            <w:pPr>
              <w:spacing w:after="0" w:line="240" w:lineRule="auto"/>
              <w:jc w:val="center"/>
              <w:rPr>
                <w:rFonts w:eastAsia="Times New Roman" w:cs="Arial"/>
                <w:sz w:val="20"/>
                <w:szCs w:val="20"/>
                <w:lang w:val="en-US"/>
              </w:rPr>
            </w:pPr>
            <w:r w:rsidRPr="001D622D">
              <w:rPr>
                <w:rFonts w:eastAsia="Times New Roman" w:cs="Arial"/>
                <w:sz w:val="20"/>
                <w:szCs w:val="20"/>
                <w:lang w:val="en-US"/>
              </w:rPr>
              <w:t>10</w:t>
            </w:r>
          </w:p>
          <w:p w:rsidR="00D8141B" w:rsidRPr="001D622D" w:rsidRDefault="00D8141B" w:rsidP="001D622D">
            <w:pPr>
              <w:spacing w:after="0" w:line="240" w:lineRule="auto"/>
              <w:jc w:val="center"/>
              <w:rPr>
                <w:rFonts w:eastAsia="Times New Roman" w:cs="Arial"/>
                <w:sz w:val="20"/>
                <w:szCs w:val="20"/>
                <w:lang w:val="en-US"/>
              </w:rPr>
            </w:pPr>
            <w:r w:rsidRPr="001D622D">
              <w:rPr>
                <w:rFonts w:eastAsia="Times New Roman" w:cs="Arial"/>
                <w:sz w:val="20"/>
                <w:szCs w:val="20"/>
                <w:lang w:val="en-US"/>
              </w:rPr>
              <w:t>15</w:t>
            </w:r>
          </w:p>
        </w:tc>
      </w:tr>
      <w:tr w:rsidR="00D8141B" w:rsidRPr="005D6D02" w:rsidTr="001D622D">
        <w:trPr>
          <w:trHeight w:val="20"/>
        </w:trPr>
        <w:tc>
          <w:tcPr>
            <w:tcW w:w="2552" w:type="dxa"/>
            <w:vMerge/>
          </w:tcPr>
          <w:p w:rsidR="00D8141B" w:rsidRPr="001D622D" w:rsidRDefault="00D8141B" w:rsidP="005D6D02">
            <w:pPr>
              <w:spacing w:after="0" w:line="240" w:lineRule="auto"/>
              <w:rPr>
                <w:rFonts w:eastAsia="Times New Roman" w:cs="Arial"/>
                <w:b/>
                <w:sz w:val="20"/>
                <w:szCs w:val="20"/>
                <w:lang w:val="en-US"/>
              </w:rPr>
            </w:pPr>
          </w:p>
        </w:tc>
        <w:tc>
          <w:tcPr>
            <w:tcW w:w="2126" w:type="dxa"/>
            <w:vMerge/>
          </w:tcPr>
          <w:p w:rsidR="00D8141B" w:rsidRPr="001D622D" w:rsidRDefault="00D8141B" w:rsidP="005D6D02">
            <w:pPr>
              <w:spacing w:after="0" w:line="240" w:lineRule="auto"/>
              <w:rPr>
                <w:rFonts w:eastAsia="Times New Roman" w:cs="Arial"/>
                <w:b/>
                <w:sz w:val="20"/>
                <w:szCs w:val="20"/>
                <w:lang w:val="en-US"/>
              </w:rPr>
            </w:pPr>
          </w:p>
        </w:tc>
        <w:tc>
          <w:tcPr>
            <w:tcW w:w="2126" w:type="dxa"/>
          </w:tcPr>
          <w:p w:rsidR="00D8141B" w:rsidRPr="001D622D" w:rsidRDefault="00D8141B" w:rsidP="005D6D02">
            <w:pPr>
              <w:spacing w:before="20" w:after="20" w:line="240" w:lineRule="auto"/>
              <w:rPr>
                <w:rFonts w:eastAsia="Times New Roman" w:cs="Arial"/>
                <w:b/>
                <w:sz w:val="20"/>
                <w:szCs w:val="20"/>
                <w:lang w:val="en-US"/>
              </w:rPr>
            </w:pPr>
            <w:r w:rsidRPr="001D622D">
              <w:rPr>
                <w:rFonts w:eastAsia="Times New Roman" w:cs="Arial"/>
                <w:b/>
                <w:sz w:val="20"/>
                <w:szCs w:val="20"/>
                <w:lang w:val="en-US"/>
              </w:rPr>
              <w:t>e.  Valgus</w:t>
            </w:r>
          </w:p>
          <w:p w:rsidR="00D8141B" w:rsidRPr="001D622D" w:rsidRDefault="00D8141B" w:rsidP="001D622D">
            <w:pPr>
              <w:spacing w:after="0" w:line="240" w:lineRule="auto"/>
              <w:jc w:val="center"/>
              <w:outlineLvl w:val="2"/>
              <w:rPr>
                <w:rFonts w:eastAsia="Times New Roman" w:cs="Arial"/>
                <w:sz w:val="20"/>
                <w:szCs w:val="20"/>
                <w:lang w:val="en-US"/>
              </w:rPr>
            </w:pPr>
            <w:r w:rsidRPr="001D622D">
              <w:rPr>
                <w:rFonts w:eastAsia="Times New Roman" w:cs="Arial"/>
                <w:sz w:val="20"/>
                <w:szCs w:val="20"/>
                <w:lang w:val="en-US"/>
              </w:rPr>
              <w:t>&lt;5°</w:t>
            </w:r>
          </w:p>
          <w:p w:rsidR="00D8141B" w:rsidRPr="001D622D" w:rsidRDefault="00D8141B" w:rsidP="001D622D">
            <w:pPr>
              <w:spacing w:after="0" w:line="240" w:lineRule="auto"/>
              <w:jc w:val="center"/>
              <w:outlineLvl w:val="2"/>
              <w:rPr>
                <w:rFonts w:eastAsia="Times New Roman" w:cs="Arial"/>
                <w:sz w:val="20"/>
                <w:szCs w:val="20"/>
                <w:lang w:val="en-US"/>
              </w:rPr>
            </w:pPr>
            <w:r w:rsidRPr="001D622D">
              <w:rPr>
                <w:rFonts w:eastAsia="Times New Roman" w:cs="Arial"/>
                <w:sz w:val="20"/>
                <w:szCs w:val="20"/>
                <w:lang w:val="en-US"/>
              </w:rPr>
              <w:t>5° − 10°</w:t>
            </w:r>
          </w:p>
          <w:p w:rsidR="00D8141B" w:rsidRPr="001D622D" w:rsidRDefault="00D8141B" w:rsidP="001D622D">
            <w:pPr>
              <w:spacing w:after="0" w:line="240" w:lineRule="auto"/>
              <w:jc w:val="center"/>
              <w:outlineLvl w:val="2"/>
              <w:rPr>
                <w:rFonts w:eastAsia="Times New Roman" w:cs="Arial"/>
                <w:b/>
                <w:sz w:val="20"/>
                <w:szCs w:val="20"/>
                <w:lang w:val="en-US"/>
              </w:rPr>
            </w:pPr>
            <w:r w:rsidRPr="001D622D">
              <w:rPr>
                <w:rFonts w:eastAsia="Times New Roman" w:cs="Arial"/>
                <w:sz w:val="20"/>
                <w:szCs w:val="20"/>
                <w:lang w:val="en-US"/>
              </w:rPr>
              <w:t>&gt;10°</w:t>
            </w:r>
          </w:p>
        </w:tc>
        <w:tc>
          <w:tcPr>
            <w:tcW w:w="2120" w:type="dxa"/>
          </w:tcPr>
          <w:p w:rsidR="00D8141B" w:rsidRPr="001D622D" w:rsidRDefault="00D8141B" w:rsidP="005D6D02">
            <w:pPr>
              <w:spacing w:before="20" w:after="20" w:line="240" w:lineRule="auto"/>
              <w:rPr>
                <w:rFonts w:eastAsia="Times New Roman" w:cs="Arial"/>
                <w:b/>
                <w:sz w:val="20"/>
                <w:szCs w:val="20"/>
                <w:lang w:val="en-US"/>
              </w:rPr>
            </w:pPr>
          </w:p>
          <w:p w:rsidR="00D8141B" w:rsidRPr="001D622D" w:rsidRDefault="00D8141B" w:rsidP="001D622D">
            <w:pPr>
              <w:spacing w:after="0" w:line="240" w:lineRule="auto"/>
              <w:jc w:val="center"/>
              <w:rPr>
                <w:rFonts w:eastAsia="Times New Roman" w:cs="Arial"/>
                <w:sz w:val="20"/>
                <w:szCs w:val="20"/>
                <w:lang w:val="en-US"/>
              </w:rPr>
            </w:pPr>
            <w:r w:rsidRPr="001D622D">
              <w:rPr>
                <w:rFonts w:eastAsia="Times New Roman" w:cs="Arial"/>
                <w:sz w:val="20"/>
                <w:szCs w:val="20"/>
                <w:lang w:val="en-US"/>
              </w:rPr>
              <w:t>0</w:t>
            </w:r>
          </w:p>
          <w:p w:rsidR="00D8141B" w:rsidRPr="001D622D" w:rsidRDefault="00D8141B" w:rsidP="001D622D">
            <w:pPr>
              <w:spacing w:after="0" w:line="240" w:lineRule="auto"/>
              <w:jc w:val="center"/>
              <w:rPr>
                <w:rFonts w:eastAsia="Times New Roman" w:cs="Arial"/>
                <w:sz w:val="20"/>
                <w:szCs w:val="20"/>
                <w:lang w:val="en-US"/>
              </w:rPr>
            </w:pPr>
            <w:r w:rsidRPr="001D622D">
              <w:rPr>
                <w:rFonts w:eastAsia="Times New Roman" w:cs="Arial"/>
                <w:sz w:val="20"/>
                <w:szCs w:val="20"/>
                <w:lang w:val="en-US"/>
              </w:rPr>
              <w:t>10</w:t>
            </w:r>
          </w:p>
          <w:p w:rsidR="00D8141B" w:rsidRPr="001D622D" w:rsidRDefault="00D8141B" w:rsidP="001D622D">
            <w:pPr>
              <w:spacing w:after="0" w:line="240" w:lineRule="auto"/>
              <w:jc w:val="center"/>
              <w:rPr>
                <w:rFonts w:eastAsia="Times New Roman" w:cs="Arial"/>
                <w:sz w:val="20"/>
                <w:szCs w:val="20"/>
                <w:lang w:val="en-US"/>
              </w:rPr>
            </w:pPr>
            <w:r w:rsidRPr="001D622D">
              <w:rPr>
                <w:rFonts w:eastAsia="Times New Roman" w:cs="Arial"/>
                <w:sz w:val="20"/>
                <w:szCs w:val="20"/>
                <w:lang w:val="en-US"/>
              </w:rPr>
              <w:t>15</w:t>
            </w:r>
          </w:p>
        </w:tc>
      </w:tr>
      <w:tr w:rsidR="00D8141B" w:rsidRPr="005D6D02" w:rsidTr="001D622D">
        <w:trPr>
          <w:trHeight w:val="20"/>
        </w:trPr>
        <w:tc>
          <w:tcPr>
            <w:tcW w:w="2552" w:type="dxa"/>
            <w:vMerge w:val="restart"/>
          </w:tcPr>
          <w:p w:rsidR="00D8141B" w:rsidRPr="001D622D" w:rsidRDefault="00D8141B" w:rsidP="001D622D">
            <w:pPr>
              <w:spacing w:after="80" w:line="240" w:lineRule="auto"/>
              <w:rPr>
                <w:rFonts w:eastAsia="Times New Roman" w:cs="Arial"/>
                <w:b/>
                <w:sz w:val="20"/>
                <w:szCs w:val="20"/>
                <w:lang w:val="en-US"/>
              </w:rPr>
            </w:pPr>
            <w:r w:rsidRPr="001D622D">
              <w:rPr>
                <w:rFonts w:eastAsia="Times New Roman" w:cs="Arial"/>
                <w:b/>
                <w:sz w:val="20"/>
                <w:szCs w:val="20"/>
                <w:lang w:val="en-US"/>
              </w:rPr>
              <w:t xml:space="preserve"> b.  Range of motion</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(i)  Flexion:   </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&gt;20°</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11° − 20°</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5° − 10°</w:t>
            </w:r>
          </w:p>
          <w:p w:rsidR="00D8141B" w:rsidRPr="001D622D" w:rsidRDefault="00D8141B" w:rsidP="001D622D">
            <w:pPr>
              <w:spacing w:after="80" w:line="240" w:lineRule="auto"/>
              <w:rPr>
                <w:rFonts w:eastAsia="Times New Roman" w:cs="Arial"/>
                <w:sz w:val="20"/>
                <w:szCs w:val="20"/>
                <w:lang w:val="en-US"/>
              </w:rPr>
            </w:pPr>
            <w:r w:rsidRPr="001D622D">
              <w:rPr>
                <w:rFonts w:eastAsia="Times New Roman" w:cs="Arial"/>
                <w:sz w:val="20"/>
                <w:szCs w:val="20"/>
                <w:lang w:val="en-US"/>
              </w:rPr>
              <w:t xml:space="preserve">       &lt;5°</w:t>
            </w:r>
          </w:p>
          <w:p w:rsidR="00D8141B" w:rsidRPr="001D622D" w:rsidRDefault="001D622D"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w:t>
            </w:r>
            <w:r w:rsidR="00D8141B" w:rsidRPr="001D622D">
              <w:rPr>
                <w:rFonts w:eastAsia="Times New Roman" w:cs="Arial"/>
                <w:sz w:val="20"/>
                <w:szCs w:val="20"/>
                <w:lang w:val="en-US"/>
              </w:rPr>
              <w:t>(ii) Extension</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&gt;10°</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5° − 10°</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&lt;5°</w:t>
            </w:r>
          </w:p>
        </w:tc>
        <w:tc>
          <w:tcPr>
            <w:tcW w:w="2126" w:type="dxa"/>
            <w:vMerge w:val="restart"/>
          </w:tcPr>
          <w:p w:rsidR="00D8141B" w:rsidRPr="001D622D" w:rsidRDefault="00D8141B" w:rsidP="001D622D">
            <w:pPr>
              <w:spacing w:after="80" w:line="240" w:lineRule="auto"/>
              <w:jc w:val="center"/>
              <w:rPr>
                <w:rFonts w:eastAsia="Times New Roman" w:cs="Arial"/>
                <w:b/>
                <w:sz w:val="20"/>
                <w:szCs w:val="20"/>
                <w:lang w:val="en-US"/>
              </w:rPr>
            </w:pPr>
          </w:p>
          <w:p w:rsidR="00D8141B" w:rsidRPr="001D622D" w:rsidRDefault="00D8141B" w:rsidP="001D622D">
            <w:pPr>
              <w:spacing w:after="0" w:line="240" w:lineRule="auto"/>
              <w:rPr>
                <w:rFonts w:eastAsia="Times New Roman" w:cs="Arial"/>
                <w:b/>
                <w:sz w:val="20"/>
                <w:szCs w:val="20"/>
                <w:lang w:val="en-US"/>
              </w:rPr>
            </w:pP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15</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10</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5</w:t>
            </w:r>
          </w:p>
          <w:p w:rsidR="00D8141B" w:rsidRPr="001D622D" w:rsidRDefault="00D8141B" w:rsidP="001D622D">
            <w:pPr>
              <w:spacing w:after="80" w:line="240" w:lineRule="auto"/>
              <w:jc w:val="center"/>
              <w:rPr>
                <w:rFonts w:eastAsia="Times New Roman" w:cs="Arial"/>
                <w:sz w:val="20"/>
                <w:szCs w:val="20"/>
                <w:lang w:val="en-US"/>
              </w:rPr>
            </w:pPr>
            <w:r w:rsidRPr="001D622D">
              <w:rPr>
                <w:rFonts w:eastAsia="Times New Roman" w:cs="Arial"/>
                <w:sz w:val="20"/>
                <w:szCs w:val="20"/>
                <w:lang w:val="en-US"/>
              </w:rPr>
              <w:t>0</w:t>
            </w:r>
          </w:p>
          <w:p w:rsidR="00D8141B" w:rsidRPr="001D622D" w:rsidRDefault="00D8141B" w:rsidP="005D6D02">
            <w:pPr>
              <w:spacing w:after="0" w:line="240" w:lineRule="auto"/>
              <w:jc w:val="center"/>
              <w:rPr>
                <w:rFonts w:eastAsia="Times New Roman" w:cs="Arial"/>
                <w:sz w:val="20"/>
                <w:szCs w:val="20"/>
                <w:lang w:val="en-US"/>
              </w:rPr>
            </w:pP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10</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5</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0</w:t>
            </w:r>
          </w:p>
        </w:tc>
        <w:tc>
          <w:tcPr>
            <w:tcW w:w="2126" w:type="dxa"/>
          </w:tcPr>
          <w:p w:rsidR="00D8141B" w:rsidRPr="001D622D" w:rsidRDefault="00D8141B" w:rsidP="005D6D02">
            <w:pPr>
              <w:spacing w:before="20" w:after="20" w:line="240" w:lineRule="auto"/>
              <w:rPr>
                <w:rFonts w:eastAsia="Times New Roman" w:cs="Arial"/>
                <w:b/>
                <w:sz w:val="20"/>
                <w:szCs w:val="20"/>
                <w:lang w:val="en-US"/>
              </w:rPr>
            </w:pPr>
            <w:r w:rsidRPr="001D622D">
              <w:rPr>
                <w:rFonts w:eastAsia="Times New Roman" w:cs="Arial"/>
                <w:b/>
                <w:sz w:val="20"/>
                <w:szCs w:val="20"/>
                <w:lang w:val="en-US"/>
              </w:rPr>
              <w:t xml:space="preserve">         SUB-TOTAL</w:t>
            </w:r>
          </w:p>
        </w:tc>
        <w:tc>
          <w:tcPr>
            <w:tcW w:w="2120" w:type="dxa"/>
          </w:tcPr>
          <w:p w:rsidR="00D8141B" w:rsidRPr="001D622D" w:rsidRDefault="00D8141B" w:rsidP="005D6D02">
            <w:pPr>
              <w:spacing w:before="20" w:after="20" w:line="240" w:lineRule="auto"/>
              <w:rPr>
                <w:rFonts w:eastAsia="Times New Roman" w:cs="Arial"/>
                <w:b/>
                <w:sz w:val="20"/>
                <w:szCs w:val="20"/>
                <w:lang w:val="en-US"/>
              </w:rPr>
            </w:pPr>
          </w:p>
        </w:tc>
      </w:tr>
      <w:tr w:rsidR="00D8141B" w:rsidRPr="005D6D02" w:rsidTr="001D622D">
        <w:trPr>
          <w:trHeight w:val="20"/>
        </w:trPr>
        <w:tc>
          <w:tcPr>
            <w:tcW w:w="2552" w:type="dxa"/>
            <w:vMerge/>
            <w:tcBorders>
              <w:bottom w:val="single" w:sz="2" w:space="0" w:color="auto"/>
            </w:tcBorders>
          </w:tcPr>
          <w:p w:rsidR="00D8141B" w:rsidRPr="001D622D" w:rsidRDefault="00D8141B" w:rsidP="005D6D02">
            <w:pPr>
              <w:spacing w:after="0" w:line="240" w:lineRule="auto"/>
              <w:rPr>
                <w:rFonts w:eastAsia="Times New Roman" w:cs="Arial"/>
                <w:b/>
                <w:sz w:val="20"/>
                <w:szCs w:val="20"/>
                <w:lang w:val="en-US"/>
              </w:rPr>
            </w:pPr>
          </w:p>
        </w:tc>
        <w:tc>
          <w:tcPr>
            <w:tcW w:w="2126" w:type="dxa"/>
            <w:vMerge/>
            <w:tcBorders>
              <w:bottom w:val="single" w:sz="2" w:space="0" w:color="auto"/>
            </w:tcBorders>
          </w:tcPr>
          <w:p w:rsidR="00D8141B" w:rsidRPr="001D622D" w:rsidRDefault="00D8141B" w:rsidP="005D6D02">
            <w:pPr>
              <w:spacing w:after="0" w:line="240" w:lineRule="auto"/>
              <w:jc w:val="center"/>
              <w:rPr>
                <w:rFonts w:eastAsia="Times New Roman" w:cs="Arial"/>
                <w:b/>
                <w:sz w:val="20"/>
                <w:szCs w:val="20"/>
                <w:lang w:val="en-US"/>
              </w:rPr>
            </w:pPr>
          </w:p>
        </w:tc>
        <w:tc>
          <w:tcPr>
            <w:tcW w:w="4246" w:type="dxa"/>
            <w:gridSpan w:val="2"/>
            <w:tcBorders>
              <w:bottom w:val="nil"/>
              <w:right w:val="nil"/>
            </w:tcBorders>
          </w:tcPr>
          <w:p w:rsidR="00D8141B" w:rsidRPr="005D6D02" w:rsidRDefault="00D8141B" w:rsidP="005D6D02">
            <w:pPr>
              <w:spacing w:before="20" w:after="20" w:line="240" w:lineRule="auto"/>
              <w:rPr>
                <w:rFonts w:eastAsia="Times New Roman" w:cs="Arial"/>
                <w:b/>
                <w:lang w:val="en-US"/>
              </w:rPr>
            </w:pPr>
          </w:p>
        </w:tc>
      </w:tr>
      <w:tr w:rsidR="00D8141B" w:rsidRPr="005D6D02" w:rsidTr="001D622D">
        <w:trPr>
          <w:gridAfter w:val="2"/>
          <w:wAfter w:w="4246" w:type="dxa"/>
          <w:trHeight w:val="274"/>
        </w:trPr>
        <w:tc>
          <w:tcPr>
            <w:tcW w:w="2552" w:type="dxa"/>
            <w:tcBorders>
              <w:top w:val="single" w:sz="2" w:space="0" w:color="auto"/>
              <w:left w:val="single" w:sz="2" w:space="0" w:color="auto"/>
              <w:bottom w:val="single" w:sz="2" w:space="0" w:color="auto"/>
              <w:right w:val="single" w:sz="2" w:space="0" w:color="auto"/>
            </w:tcBorders>
          </w:tcPr>
          <w:p w:rsidR="00D8141B" w:rsidRPr="001D622D" w:rsidRDefault="00D8141B" w:rsidP="001D622D">
            <w:pPr>
              <w:spacing w:after="80" w:line="240" w:lineRule="auto"/>
              <w:rPr>
                <w:rFonts w:eastAsia="Times New Roman" w:cs="Arial"/>
                <w:b/>
                <w:sz w:val="20"/>
                <w:szCs w:val="20"/>
                <w:lang w:val="en-US"/>
              </w:rPr>
            </w:pPr>
            <w:r w:rsidRPr="001D622D">
              <w:rPr>
                <w:rFonts w:eastAsia="Times New Roman" w:cs="Arial"/>
                <w:b/>
                <w:sz w:val="20"/>
                <w:szCs w:val="20"/>
                <w:lang w:val="en-US"/>
              </w:rPr>
              <w:t>c.  Range of motion</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(i)  Limp</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None</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Slight</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Moderate</w:t>
            </w:r>
          </w:p>
          <w:p w:rsidR="00D8141B" w:rsidRPr="001D622D" w:rsidRDefault="00D8141B" w:rsidP="001D622D">
            <w:pPr>
              <w:spacing w:after="80" w:line="240" w:lineRule="auto"/>
              <w:rPr>
                <w:rFonts w:eastAsia="Times New Roman" w:cs="Arial"/>
                <w:sz w:val="20"/>
                <w:szCs w:val="20"/>
                <w:lang w:val="en-US"/>
              </w:rPr>
            </w:pPr>
            <w:r w:rsidRPr="001D622D">
              <w:rPr>
                <w:rFonts w:eastAsia="Times New Roman" w:cs="Arial"/>
                <w:sz w:val="20"/>
                <w:szCs w:val="20"/>
                <w:lang w:val="en-US"/>
              </w:rPr>
              <w:t xml:space="preserve">          Severe</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(ii) Supportive Device</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None</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Cane</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One Crutch</w:t>
            </w:r>
          </w:p>
          <w:p w:rsidR="00D8141B" w:rsidRPr="001D622D" w:rsidRDefault="00D8141B" w:rsidP="001D622D">
            <w:pPr>
              <w:spacing w:after="80" w:line="240" w:lineRule="auto"/>
              <w:rPr>
                <w:rFonts w:eastAsia="Times New Roman" w:cs="Arial"/>
                <w:sz w:val="20"/>
                <w:szCs w:val="20"/>
                <w:lang w:val="en-US"/>
              </w:rPr>
            </w:pPr>
            <w:r w:rsidRPr="001D622D">
              <w:rPr>
                <w:rFonts w:eastAsia="Times New Roman" w:cs="Arial"/>
                <w:sz w:val="20"/>
                <w:szCs w:val="20"/>
                <w:lang w:val="en-US"/>
              </w:rPr>
              <w:t xml:space="preserve">          2 Crutches</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(iii) Distance Walked</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Unlimited</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Six blocks</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Three blocks</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Indoors</w:t>
            </w:r>
          </w:p>
          <w:p w:rsidR="00D8141B" w:rsidRPr="001D622D" w:rsidRDefault="00D8141B" w:rsidP="001D622D">
            <w:pPr>
              <w:spacing w:after="80" w:line="240" w:lineRule="auto"/>
              <w:rPr>
                <w:rFonts w:eastAsia="Times New Roman" w:cs="Arial"/>
                <w:sz w:val="20"/>
                <w:szCs w:val="20"/>
                <w:lang w:val="en-US"/>
              </w:rPr>
            </w:pPr>
            <w:r w:rsidRPr="001D622D">
              <w:rPr>
                <w:rFonts w:eastAsia="Times New Roman" w:cs="Arial"/>
                <w:sz w:val="20"/>
                <w:szCs w:val="20"/>
                <w:lang w:val="en-US"/>
              </w:rPr>
              <w:t xml:space="preserve">          Bed or Chair</w:t>
            </w:r>
          </w:p>
          <w:p w:rsidR="00D8141B" w:rsidRPr="001D622D" w:rsidRDefault="001D622D"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w:t>
            </w:r>
            <w:r w:rsidR="00D8141B" w:rsidRPr="001D622D">
              <w:rPr>
                <w:rFonts w:eastAsia="Times New Roman" w:cs="Arial"/>
                <w:sz w:val="20"/>
                <w:szCs w:val="20"/>
                <w:lang w:val="en-US"/>
              </w:rPr>
              <w:t>(iv) Stairs</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Normal</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Using rail</w:t>
            </w:r>
          </w:p>
          <w:p w:rsidR="00D8141B" w:rsidRPr="001D622D" w:rsidRDefault="00D8141B" w:rsidP="005D6D02">
            <w:pPr>
              <w:spacing w:after="0" w:line="240" w:lineRule="auto"/>
              <w:rPr>
                <w:rFonts w:eastAsia="Times New Roman" w:cs="Arial"/>
                <w:sz w:val="20"/>
                <w:szCs w:val="20"/>
                <w:lang w:val="en-US"/>
              </w:rPr>
            </w:pPr>
            <w:r w:rsidRPr="001D622D">
              <w:rPr>
                <w:rFonts w:eastAsia="Times New Roman" w:cs="Arial"/>
                <w:sz w:val="20"/>
                <w:szCs w:val="20"/>
                <w:lang w:val="en-US"/>
              </w:rPr>
              <w:t xml:space="preserve">          One at a time</w:t>
            </w:r>
          </w:p>
          <w:p w:rsidR="00D8141B" w:rsidRPr="001D622D" w:rsidRDefault="00D8141B" w:rsidP="005D6D02">
            <w:pPr>
              <w:spacing w:after="0" w:line="240" w:lineRule="auto"/>
              <w:rPr>
                <w:rFonts w:eastAsia="Times New Roman" w:cs="Arial"/>
                <w:b/>
                <w:sz w:val="20"/>
                <w:szCs w:val="20"/>
                <w:lang w:val="en-US"/>
              </w:rPr>
            </w:pPr>
            <w:r w:rsidRPr="001D622D">
              <w:rPr>
                <w:rFonts w:eastAsia="Times New Roman" w:cs="Arial"/>
                <w:sz w:val="20"/>
                <w:szCs w:val="20"/>
                <w:lang w:val="en-US"/>
              </w:rPr>
              <w:t xml:space="preserve">          Unable to climb</w:t>
            </w:r>
          </w:p>
        </w:tc>
        <w:tc>
          <w:tcPr>
            <w:tcW w:w="2126" w:type="dxa"/>
            <w:tcBorders>
              <w:top w:val="single" w:sz="2" w:space="0" w:color="auto"/>
              <w:left w:val="single" w:sz="2" w:space="0" w:color="auto"/>
              <w:bottom w:val="single" w:sz="2" w:space="0" w:color="auto"/>
              <w:right w:val="single" w:sz="2" w:space="0" w:color="auto"/>
            </w:tcBorders>
          </w:tcPr>
          <w:p w:rsidR="00D8141B" w:rsidRPr="001D622D" w:rsidRDefault="00D8141B" w:rsidP="001D622D">
            <w:pPr>
              <w:spacing w:after="80" w:line="240" w:lineRule="auto"/>
              <w:jc w:val="center"/>
              <w:rPr>
                <w:rFonts w:eastAsia="Times New Roman" w:cs="Arial"/>
                <w:sz w:val="20"/>
                <w:szCs w:val="20"/>
                <w:lang w:val="en-US"/>
              </w:rPr>
            </w:pPr>
          </w:p>
          <w:p w:rsidR="00D8141B" w:rsidRPr="001D622D" w:rsidRDefault="00D8141B" w:rsidP="005D6D02">
            <w:pPr>
              <w:spacing w:after="0" w:line="240" w:lineRule="auto"/>
              <w:jc w:val="center"/>
              <w:rPr>
                <w:rFonts w:eastAsia="Times New Roman" w:cs="Arial"/>
                <w:sz w:val="20"/>
                <w:szCs w:val="20"/>
                <w:lang w:val="en-US"/>
              </w:rPr>
            </w:pP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10</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7</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4</w:t>
            </w:r>
          </w:p>
          <w:p w:rsidR="00D8141B" w:rsidRPr="001D622D" w:rsidRDefault="00D8141B" w:rsidP="001D622D">
            <w:pPr>
              <w:spacing w:after="80" w:line="240" w:lineRule="auto"/>
              <w:jc w:val="center"/>
              <w:rPr>
                <w:rFonts w:eastAsia="Times New Roman" w:cs="Arial"/>
                <w:sz w:val="20"/>
                <w:szCs w:val="20"/>
                <w:lang w:val="en-US"/>
              </w:rPr>
            </w:pPr>
            <w:r w:rsidRPr="001D622D">
              <w:rPr>
                <w:rFonts w:eastAsia="Times New Roman" w:cs="Arial"/>
                <w:sz w:val="20"/>
                <w:szCs w:val="20"/>
                <w:lang w:val="en-US"/>
              </w:rPr>
              <w:t>0</w:t>
            </w:r>
          </w:p>
          <w:p w:rsidR="00D8141B" w:rsidRPr="001D622D" w:rsidRDefault="00D8141B" w:rsidP="005D6D02">
            <w:pPr>
              <w:spacing w:after="0" w:line="240" w:lineRule="auto"/>
              <w:jc w:val="center"/>
              <w:rPr>
                <w:rFonts w:eastAsia="Times New Roman" w:cs="Arial"/>
                <w:sz w:val="20"/>
                <w:szCs w:val="20"/>
                <w:lang w:val="en-US"/>
              </w:rPr>
            </w:pP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5</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3</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1</w:t>
            </w:r>
          </w:p>
          <w:p w:rsidR="00D8141B" w:rsidRPr="001D622D" w:rsidRDefault="00D8141B" w:rsidP="001D622D">
            <w:pPr>
              <w:spacing w:after="80" w:line="240" w:lineRule="auto"/>
              <w:jc w:val="center"/>
              <w:rPr>
                <w:rFonts w:eastAsia="Times New Roman" w:cs="Arial"/>
                <w:sz w:val="20"/>
                <w:szCs w:val="20"/>
                <w:lang w:val="en-US"/>
              </w:rPr>
            </w:pPr>
            <w:r w:rsidRPr="001D622D">
              <w:rPr>
                <w:rFonts w:eastAsia="Times New Roman" w:cs="Arial"/>
                <w:sz w:val="20"/>
                <w:szCs w:val="20"/>
                <w:lang w:val="en-US"/>
              </w:rPr>
              <w:t>0</w:t>
            </w:r>
          </w:p>
          <w:p w:rsidR="00D8141B" w:rsidRPr="001D622D" w:rsidRDefault="00D8141B" w:rsidP="005D6D02">
            <w:pPr>
              <w:spacing w:after="0" w:line="240" w:lineRule="auto"/>
              <w:jc w:val="center"/>
              <w:rPr>
                <w:rFonts w:eastAsia="Times New Roman" w:cs="Arial"/>
                <w:sz w:val="20"/>
                <w:szCs w:val="20"/>
                <w:lang w:val="en-US"/>
              </w:rPr>
            </w:pP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5</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4</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3</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2</w:t>
            </w:r>
          </w:p>
          <w:p w:rsidR="00D8141B" w:rsidRPr="001D622D" w:rsidRDefault="00D8141B" w:rsidP="001D622D">
            <w:pPr>
              <w:spacing w:after="80" w:line="240" w:lineRule="auto"/>
              <w:jc w:val="center"/>
              <w:rPr>
                <w:rFonts w:eastAsia="Times New Roman" w:cs="Arial"/>
                <w:sz w:val="20"/>
                <w:szCs w:val="20"/>
                <w:lang w:val="en-US"/>
              </w:rPr>
            </w:pPr>
            <w:r w:rsidRPr="001D622D">
              <w:rPr>
                <w:rFonts w:eastAsia="Times New Roman" w:cs="Arial"/>
                <w:sz w:val="20"/>
                <w:szCs w:val="20"/>
                <w:lang w:val="en-US"/>
              </w:rPr>
              <w:t>0</w:t>
            </w:r>
          </w:p>
          <w:p w:rsidR="00D8141B" w:rsidRPr="001D622D" w:rsidRDefault="00D8141B" w:rsidP="005D6D02">
            <w:pPr>
              <w:spacing w:after="0" w:line="240" w:lineRule="auto"/>
              <w:jc w:val="center"/>
              <w:rPr>
                <w:rFonts w:eastAsia="Times New Roman" w:cs="Arial"/>
                <w:sz w:val="20"/>
                <w:szCs w:val="20"/>
                <w:lang w:val="en-US"/>
              </w:rPr>
            </w:pP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5</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4</w:t>
            </w:r>
          </w:p>
          <w:p w:rsidR="00D8141B" w:rsidRPr="001D622D" w:rsidRDefault="00D8141B" w:rsidP="005D6D02">
            <w:pPr>
              <w:spacing w:after="0" w:line="240" w:lineRule="auto"/>
              <w:jc w:val="center"/>
              <w:rPr>
                <w:rFonts w:eastAsia="Times New Roman" w:cs="Arial"/>
                <w:sz w:val="20"/>
                <w:szCs w:val="20"/>
                <w:lang w:val="en-US"/>
              </w:rPr>
            </w:pPr>
            <w:r w:rsidRPr="001D622D">
              <w:rPr>
                <w:rFonts w:eastAsia="Times New Roman" w:cs="Arial"/>
                <w:sz w:val="20"/>
                <w:szCs w:val="20"/>
                <w:lang w:val="en-US"/>
              </w:rPr>
              <w:t>2</w:t>
            </w:r>
          </w:p>
          <w:p w:rsidR="00D8141B" w:rsidRPr="001D622D" w:rsidRDefault="00BF1849" w:rsidP="001D622D">
            <w:pPr>
              <w:spacing w:after="0" w:line="240" w:lineRule="auto"/>
              <w:jc w:val="center"/>
              <w:rPr>
                <w:rFonts w:eastAsia="Times New Roman" w:cs="Arial"/>
                <w:sz w:val="20"/>
                <w:szCs w:val="20"/>
                <w:lang w:val="en-US"/>
              </w:rPr>
            </w:pPr>
            <w:r w:rsidRPr="001D622D">
              <w:rPr>
                <w:rFonts w:eastAsia="Times New Roman" w:cs="Arial"/>
                <w:sz w:val="20"/>
                <w:szCs w:val="20"/>
                <w:lang w:val="en-US"/>
              </w:rPr>
              <w:t>0</w:t>
            </w:r>
          </w:p>
        </w:tc>
      </w:tr>
      <w:tr w:rsidR="00D8141B" w:rsidRPr="005D6D02" w:rsidTr="001D622D">
        <w:trPr>
          <w:gridAfter w:val="2"/>
          <w:wAfter w:w="4246" w:type="dxa"/>
        </w:trPr>
        <w:tc>
          <w:tcPr>
            <w:tcW w:w="2552" w:type="dxa"/>
            <w:tcBorders>
              <w:top w:val="single" w:sz="2" w:space="0" w:color="auto"/>
            </w:tcBorders>
          </w:tcPr>
          <w:p w:rsidR="00D8141B" w:rsidRPr="001D622D" w:rsidRDefault="00D8141B" w:rsidP="001D622D">
            <w:pPr>
              <w:spacing w:before="40" w:after="40" w:line="240" w:lineRule="auto"/>
              <w:rPr>
                <w:rFonts w:eastAsia="Times New Roman" w:cs="Arial"/>
                <w:b/>
                <w:sz w:val="20"/>
                <w:szCs w:val="20"/>
                <w:lang w:val="en-US"/>
              </w:rPr>
            </w:pPr>
            <w:r w:rsidRPr="001D622D">
              <w:rPr>
                <w:rFonts w:eastAsia="Times New Roman" w:cs="Arial"/>
                <w:b/>
                <w:sz w:val="20"/>
                <w:szCs w:val="20"/>
                <w:lang w:val="en-US"/>
              </w:rPr>
              <w:t>SUB-TOTAL</w:t>
            </w:r>
          </w:p>
        </w:tc>
        <w:tc>
          <w:tcPr>
            <w:tcW w:w="2126" w:type="dxa"/>
            <w:tcBorders>
              <w:top w:val="single" w:sz="2" w:space="0" w:color="auto"/>
            </w:tcBorders>
          </w:tcPr>
          <w:p w:rsidR="00D8141B" w:rsidRPr="001D622D" w:rsidRDefault="00D8141B" w:rsidP="001D622D">
            <w:pPr>
              <w:keepNext/>
              <w:spacing w:before="40" w:after="40" w:line="240" w:lineRule="auto"/>
              <w:rPr>
                <w:rFonts w:eastAsia="Times New Roman" w:cs="Arial"/>
                <w:sz w:val="20"/>
                <w:szCs w:val="20"/>
                <w:lang w:val="en-US"/>
              </w:rPr>
            </w:pPr>
          </w:p>
        </w:tc>
      </w:tr>
    </w:tbl>
    <w:p w:rsidR="00D8141B" w:rsidRPr="00D8141B" w:rsidRDefault="00D8141B" w:rsidP="008148CB">
      <w:pPr>
        <w:pStyle w:val="BodyText3"/>
        <w:numPr>
          <w:ilvl w:val="0"/>
          <w:numId w:val="0"/>
        </w:numPr>
        <w:spacing w:before="240" w:after="120"/>
        <w:ind w:left="709"/>
        <w:rPr>
          <w:snapToGrid w:val="0"/>
        </w:rPr>
      </w:pPr>
      <w:r w:rsidRPr="005D6D02">
        <w:rPr>
          <w:b/>
          <w:snapToGrid w:val="0"/>
        </w:rPr>
        <w:lastRenderedPageBreak/>
        <w:t>Tibia-os calcis angle:</w:t>
      </w:r>
      <w:r w:rsidRPr="005D6D02">
        <w:rPr>
          <w:snapToGrid w:val="0"/>
        </w:rPr>
        <w:t xml:space="preserve"> The table given below for the impairment of loss of the tibia-as</w:t>
      </w:r>
      <w:r w:rsidRPr="00D8141B">
        <w:rPr>
          <w:snapToGrid w:val="0"/>
        </w:rPr>
        <w:t xml:space="preserve"> calcis angle is to replace table 17-29 (p 542 AMA5) and the section in table 17-33 (p 546 AMA5) dealing with loss of tibia-as calcis angle. These two sections are contradictory, and neither gives a full range of loss of angle.</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4"/>
      </w:tblGrid>
      <w:tr w:rsidR="00D8141B" w:rsidRPr="00D135A5" w:rsidTr="008148CB">
        <w:trPr>
          <w:cantSplit/>
        </w:trPr>
        <w:tc>
          <w:tcPr>
            <w:tcW w:w="8362" w:type="dxa"/>
            <w:gridSpan w:val="2"/>
            <w:tcBorders>
              <w:top w:val="nil"/>
              <w:left w:val="nil"/>
              <w:bottom w:val="single" w:sz="4" w:space="0" w:color="auto"/>
              <w:right w:val="nil"/>
            </w:tcBorders>
          </w:tcPr>
          <w:p w:rsidR="00D8141B" w:rsidRPr="00D135A5" w:rsidRDefault="00D8141B" w:rsidP="00D135A5">
            <w:pPr>
              <w:keepNext/>
              <w:spacing w:before="120" w:after="120" w:line="240" w:lineRule="auto"/>
              <w:outlineLvl w:val="8"/>
              <w:rPr>
                <w:rFonts w:eastAsia="Times New Roman" w:cs="Arial"/>
                <w:b/>
                <w:bCs/>
                <w:snapToGrid w:val="0"/>
                <w:sz w:val="24"/>
                <w:szCs w:val="24"/>
                <w:lang w:val="en-US"/>
              </w:rPr>
            </w:pPr>
            <w:r w:rsidRPr="00D135A5">
              <w:rPr>
                <w:rFonts w:eastAsia="Times New Roman" w:cs="Arial"/>
                <w:b/>
                <w:bCs/>
                <w:snapToGrid w:val="0"/>
                <w:sz w:val="24"/>
                <w:szCs w:val="24"/>
                <w:lang w:val="en-US"/>
              </w:rPr>
              <w:t>Table 3.4 Impairment for loss of the tibia-os calcis angle</w:t>
            </w:r>
          </w:p>
        </w:tc>
      </w:tr>
      <w:tr w:rsidR="00D8141B" w:rsidRPr="00D8141B" w:rsidTr="008148CB">
        <w:tc>
          <w:tcPr>
            <w:tcW w:w="2268" w:type="dxa"/>
            <w:shd w:val="pct10" w:color="auto" w:fill="auto"/>
          </w:tcPr>
          <w:p w:rsidR="00D8141B" w:rsidRPr="008148CB" w:rsidRDefault="00D8141B" w:rsidP="008148CB">
            <w:pPr>
              <w:spacing w:before="20" w:after="20" w:line="240" w:lineRule="auto"/>
              <w:rPr>
                <w:rFonts w:eastAsia="Times New Roman" w:cs="Arial"/>
                <w:b/>
                <w:snapToGrid w:val="0"/>
                <w:szCs w:val="20"/>
                <w:lang w:val="en-US"/>
              </w:rPr>
            </w:pPr>
            <w:r w:rsidRPr="008148CB">
              <w:rPr>
                <w:rFonts w:eastAsia="Times New Roman" w:cs="Arial"/>
                <w:b/>
                <w:snapToGrid w:val="0"/>
                <w:szCs w:val="20"/>
                <w:lang w:val="en-US"/>
              </w:rPr>
              <w:t>Angle (degree)</w:t>
            </w:r>
          </w:p>
        </w:tc>
        <w:tc>
          <w:tcPr>
            <w:tcW w:w="6094" w:type="dxa"/>
            <w:shd w:val="pct10" w:color="auto" w:fill="auto"/>
          </w:tcPr>
          <w:p w:rsidR="00D8141B" w:rsidRPr="008148CB" w:rsidRDefault="00D8141B" w:rsidP="008148CB">
            <w:pPr>
              <w:spacing w:before="20" w:after="20" w:line="240" w:lineRule="auto"/>
              <w:rPr>
                <w:rFonts w:eastAsia="Times New Roman" w:cs="Arial"/>
                <w:b/>
                <w:snapToGrid w:val="0"/>
                <w:szCs w:val="20"/>
                <w:lang w:val="en-US"/>
              </w:rPr>
            </w:pPr>
            <w:r w:rsidRPr="008148CB">
              <w:rPr>
                <w:rFonts w:eastAsia="Times New Roman" w:cs="Arial"/>
                <w:b/>
                <w:snapToGrid w:val="0"/>
                <w:szCs w:val="20"/>
                <w:lang w:val="en-US"/>
              </w:rPr>
              <w:t>Whole Person (lower extremity) [foot] impairment (%)</w:t>
            </w:r>
          </w:p>
        </w:tc>
      </w:tr>
      <w:tr w:rsidR="00D8141B" w:rsidRPr="00D8141B" w:rsidTr="008148CB">
        <w:tc>
          <w:tcPr>
            <w:tcW w:w="2268" w:type="dxa"/>
          </w:tcPr>
          <w:p w:rsidR="00D8141B" w:rsidRPr="00535AFE" w:rsidRDefault="00D8141B" w:rsidP="008148CB">
            <w:pPr>
              <w:spacing w:before="20" w:after="20" w:line="240" w:lineRule="auto"/>
              <w:rPr>
                <w:rFonts w:eastAsia="Times New Roman" w:cs="Arial"/>
                <w:snapToGrid w:val="0"/>
                <w:sz w:val="20"/>
                <w:szCs w:val="20"/>
                <w:lang w:val="en-US"/>
              </w:rPr>
            </w:pPr>
            <w:r w:rsidRPr="00535AFE">
              <w:rPr>
                <w:rFonts w:eastAsia="Times New Roman" w:cs="Arial"/>
                <w:snapToGrid w:val="0"/>
                <w:sz w:val="20"/>
                <w:szCs w:val="20"/>
                <w:lang w:val="en-US"/>
              </w:rPr>
              <w:t>110 – 100</w:t>
            </w:r>
          </w:p>
          <w:p w:rsidR="00D8141B" w:rsidRPr="00535AFE" w:rsidRDefault="008148CB" w:rsidP="008148CB">
            <w:pPr>
              <w:spacing w:before="20" w:after="20" w:line="240" w:lineRule="auto"/>
              <w:rPr>
                <w:rFonts w:eastAsia="Times New Roman" w:cs="Arial"/>
                <w:snapToGrid w:val="0"/>
                <w:sz w:val="20"/>
                <w:szCs w:val="20"/>
                <w:lang w:val="en-US"/>
              </w:rPr>
            </w:pPr>
            <w:r>
              <w:rPr>
                <w:rFonts w:eastAsia="Times New Roman" w:cs="Arial"/>
                <w:snapToGrid w:val="0"/>
                <w:sz w:val="20"/>
                <w:szCs w:val="20"/>
                <w:lang w:val="en-US"/>
              </w:rPr>
              <w:t>99 – 90</w:t>
            </w:r>
          </w:p>
          <w:p w:rsidR="00D8141B" w:rsidRPr="00535AFE" w:rsidRDefault="00D8141B" w:rsidP="008148CB">
            <w:pPr>
              <w:spacing w:before="20" w:after="20" w:line="240" w:lineRule="auto"/>
              <w:rPr>
                <w:rFonts w:eastAsia="Times New Roman" w:cs="Arial"/>
                <w:snapToGrid w:val="0"/>
                <w:sz w:val="20"/>
                <w:szCs w:val="20"/>
                <w:lang w:val="en-US"/>
              </w:rPr>
            </w:pPr>
            <w:r w:rsidRPr="00535AFE">
              <w:rPr>
                <w:rFonts w:eastAsia="Times New Roman" w:cs="Arial"/>
                <w:snapToGrid w:val="0"/>
                <w:sz w:val="20"/>
                <w:szCs w:val="20"/>
                <w:lang w:val="en-US"/>
              </w:rPr>
              <w:t>&lt; 90</w:t>
            </w:r>
          </w:p>
        </w:tc>
        <w:tc>
          <w:tcPr>
            <w:tcW w:w="6094" w:type="dxa"/>
          </w:tcPr>
          <w:p w:rsidR="00D8141B" w:rsidRPr="008148CB" w:rsidRDefault="00D8141B" w:rsidP="008148CB">
            <w:pPr>
              <w:numPr>
                <w:ilvl w:val="0"/>
                <w:numId w:val="12"/>
              </w:numPr>
              <w:spacing w:before="20" w:after="20" w:line="240" w:lineRule="auto"/>
              <w:rPr>
                <w:rFonts w:eastAsia="Times New Roman" w:cs="Arial"/>
                <w:snapToGrid w:val="0"/>
                <w:sz w:val="20"/>
                <w:szCs w:val="20"/>
                <w:lang w:val="en-US"/>
              </w:rPr>
            </w:pPr>
            <w:r w:rsidRPr="00535AFE">
              <w:rPr>
                <w:rFonts w:eastAsia="Times New Roman" w:cs="Arial"/>
                <w:snapToGrid w:val="0"/>
                <w:sz w:val="20"/>
                <w:szCs w:val="20"/>
                <w:lang w:val="en-US"/>
              </w:rPr>
              <w:t>(12)  [17]</w:t>
            </w:r>
          </w:p>
          <w:p w:rsidR="00D8141B" w:rsidRPr="008148CB" w:rsidRDefault="00D8141B" w:rsidP="008148CB">
            <w:pPr>
              <w:numPr>
                <w:ilvl w:val="0"/>
                <w:numId w:val="13"/>
              </w:numPr>
              <w:spacing w:before="20" w:after="20" w:line="240" w:lineRule="auto"/>
              <w:rPr>
                <w:rFonts w:eastAsia="Times New Roman" w:cs="Arial"/>
                <w:snapToGrid w:val="0"/>
                <w:sz w:val="20"/>
                <w:szCs w:val="20"/>
                <w:lang w:val="en-US"/>
              </w:rPr>
            </w:pPr>
            <w:r w:rsidRPr="00535AFE">
              <w:rPr>
                <w:rFonts w:eastAsia="Times New Roman" w:cs="Arial"/>
                <w:snapToGrid w:val="0"/>
                <w:sz w:val="20"/>
                <w:szCs w:val="20"/>
                <w:lang w:val="en-US"/>
              </w:rPr>
              <w:t>(20)  [28]</w:t>
            </w:r>
          </w:p>
          <w:p w:rsidR="00D8141B" w:rsidRPr="00535AFE" w:rsidRDefault="00D8141B" w:rsidP="008148CB">
            <w:pPr>
              <w:spacing w:before="20" w:after="20" w:line="240" w:lineRule="auto"/>
              <w:rPr>
                <w:rFonts w:eastAsia="Times New Roman" w:cs="Arial"/>
                <w:snapToGrid w:val="0"/>
                <w:sz w:val="20"/>
                <w:szCs w:val="20"/>
                <w:lang w:val="en-US"/>
              </w:rPr>
            </w:pPr>
            <w:r w:rsidRPr="00535AFE">
              <w:rPr>
                <w:rFonts w:eastAsia="Times New Roman" w:cs="Arial"/>
                <w:snapToGrid w:val="0"/>
                <w:sz w:val="20"/>
                <w:szCs w:val="20"/>
                <w:lang w:val="en-US"/>
              </w:rPr>
              <w:t xml:space="preserve">    +1     (2)    [3] per ° up to 15 (37)  [54]</w:t>
            </w:r>
          </w:p>
        </w:tc>
      </w:tr>
    </w:tbl>
    <w:p w:rsidR="00D8141B" w:rsidRPr="00D8141B" w:rsidRDefault="00D8141B" w:rsidP="008148CB">
      <w:pPr>
        <w:pStyle w:val="BodyText3"/>
        <w:numPr>
          <w:ilvl w:val="0"/>
          <w:numId w:val="0"/>
        </w:numPr>
        <w:spacing w:before="240"/>
        <w:ind w:left="709"/>
        <w:rPr>
          <w:snapToGrid w:val="0"/>
        </w:rPr>
      </w:pPr>
      <w:r w:rsidRPr="00D8141B">
        <w:rPr>
          <w:b/>
          <w:snapToGrid w:val="0"/>
        </w:rPr>
        <w:t>Hindfoot</w:t>
      </w:r>
      <w:r w:rsidR="00203AFC">
        <w:rPr>
          <w:b/>
          <w:snapToGrid w:val="0"/>
        </w:rPr>
        <w:t xml:space="preserve"> </w:t>
      </w:r>
      <w:r w:rsidRPr="00D8141B">
        <w:rPr>
          <w:b/>
          <w:snapToGrid w:val="0"/>
        </w:rPr>
        <w:t>Intra-articular fractures:</w:t>
      </w:r>
      <w:r w:rsidRPr="00D8141B">
        <w:rPr>
          <w:snapToGrid w:val="0"/>
        </w:rPr>
        <w:t xml:space="preserve"> In the interpretation of table 17-33 (p 547 AMA5), reference to the hindfoot, intra-articular fractures, the words subtalar bone, talonavicular bone, and calcaneocuboid bone imply that the bone is displaced on one or both sides of the joint mentioned. To avoid the risk of double assessment, if avascular necrosis with collapse is used as the basis of impairment assessment, it cannot be combined with the relevant intra-articular fracture in table 17-33 column 2. In table 17-33 column 2, metatarsal fracture with loss of weight transfer means dorsal displacement of the metatarsal head</w:t>
      </w:r>
      <w:r w:rsidR="00A8034B">
        <w:rPr>
          <w:snapToGrid w:val="0"/>
        </w:rPr>
        <w:t>.</w:t>
      </w:r>
    </w:p>
    <w:p w:rsidR="00D8141B" w:rsidRPr="00D8141B" w:rsidRDefault="00D8141B" w:rsidP="00D135A5">
      <w:pPr>
        <w:pStyle w:val="BodyText3"/>
        <w:numPr>
          <w:ilvl w:val="0"/>
          <w:numId w:val="0"/>
        </w:numPr>
        <w:ind w:left="709"/>
        <w:rPr>
          <w:snapToGrid w:val="0"/>
        </w:rPr>
      </w:pPr>
      <w:r w:rsidRPr="00D8141B">
        <w:rPr>
          <w:b/>
          <w:snapToGrid w:val="0"/>
        </w:rPr>
        <w:t>Plantar fasciitis:</w:t>
      </w:r>
      <w:r w:rsidRPr="00D8141B">
        <w:rPr>
          <w:snapToGrid w:val="0"/>
        </w:rPr>
        <w:t xml:space="preserve"> If there are persistent symptoms and clinical findings after 18 months, this is rated as two per cent lower extremity impairment (one per cent WPI).</w:t>
      </w:r>
    </w:p>
    <w:p w:rsidR="00D8141B" w:rsidRPr="00D8141B" w:rsidRDefault="00D8141B" w:rsidP="00D135A5">
      <w:pPr>
        <w:pStyle w:val="BodyText3"/>
        <w:numPr>
          <w:ilvl w:val="0"/>
          <w:numId w:val="0"/>
        </w:numPr>
        <w:ind w:left="709"/>
        <w:rPr>
          <w:snapToGrid w:val="0"/>
        </w:rPr>
      </w:pPr>
      <w:r w:rsidRPr="00D8141B">
        <w:rPr>
          <w:b/>
          <w:snapToGrid w:val="0"/>
        </w:rPr>
        <w:t>Resurfacing procedures:</w:t>
      </w:r>
      <w:r w:rsidRPr="00D8141B">
        <w:rPr>
          <w:snapToGrid w:val="0"/>
        </w:rPr>
        <w:t xml:space="preserve"> No additional impairment is to be awarded for resurfacing procedures used in the treatment of localised cartilage lesions and defects in major joints</w:t>
      </w:r>
      <w:r w:rsidR="00E36172">
        <w:rPr>
          <w:snapToGrid w:val="0"/>
        </w:rPr>
        <w:t>.</w:t>
      </w:r>
    </w:p>
    <w:p w:rsidR="00D8141B" w:rsidRPr="00D8141B" w:rsidRDefault="00D8141B" w:rsidP="00D135A5">
      <w:pPr>
        <w:pStyle w:val="BodyText3"/>
        <w:rPr>
          <w:snapToGrid w:val="0"/>
        </w:rPr>
      </w:pPr>
      <w:r w:rsidRPr="00D8141B">
        <w:rPr>
          <w:snapToGrid w:val="0"/>
        </w:rPr>
        <w:t>Table 17-34 and table 17-35 (pp 548-549 AMA5) use a different concept of evaluation. A point score system is applied, and then the total of points calculated for the hip (or knee) joint is converted to an impairment rating from table 17-33. Tables 17-34 and 17-35 refer to the hip and knee joint replacement respectively. Note that, while all the points are added in table 17-34, some points are deducted when table 17-35 is used. (Note that hemi-arthroplasty rates the same as total joint replacement.)</w:t>
      </w:r>
    </w:p>
    <w:p w:rsidR="00D8141B" w:rsidRPr="00D8141B" w:rsidRDefault="00D8141B" w:rsidP="00D135A5">
      <w:pPr>
        <w:pStyle w:val="BodyText3"/>
        <w:rPr>
          <w:snapToGrid w:val="0"/>
        </w:rPr>
      </w:pPr>
      <w:r w:rsidRPr="00D8141B">
        <w:rPr>
          <w:snapToGrid w:val="0"/>
        </w:rPr>
        <w:t>In respect of 'distance walked' under 'b. Function' in table 17-34 (p 548 AMA5), the distance of six blocks should be construed as 600m, and three blocks as 300m.</w:t>
      </w:r>
    </w:p>
    <w:p w:rsidR="00D8141B" w:rsidRPr="00D8141B" w:rsidRDefault="00D8141B" w:rsidP="00D135A5">
      <w:pPr>
        <w:pStyle w:val="BodyText3"/>
        <w:numPr>
          <w:ilvl w:val="0"/>
          <w:numId w:val="0"/>
        </w:numPr>
        <w:ind w:left="709"/>
        <w:rPr>
          <w:snapToGrid w:val="0"/>
        </w:rPr>
      </w:pPr>
      <w:r w:rsidRPr="00D8141B">
        <w:rPr>
          <w:snapToGrid w:val="0"/>
        </w:rPr>
        <w:t>Note that Table 17-35 (p 549 AMA5) is incorrect. The correct table is shown below.</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2977"/>
      </w:tblGrid>
      <w:tr w:rsidR="00D8141B" w:rsidRPr="00D135A5" w:rsidTr="00D135A5">
        <w:trPr>
          <w:cantSplit/>
        </w:trPr>
        <w:tc>
          <w:tcPr>
            <w:tcW w:w="8080" w:type="dxa"/>
            <w:gridSpan w:val="2"/>
            <w:tcBorders>
              <w:top w:val="nil"/>
              <w:left w:val="nil"/>
              <w:bottom w:val="single" w:sz="4" w:space="0" w:color="auto"/>
              <w:right w:val="nil"/>
            </w:tcBorders>
          </w:tcPr>
          <w:p w:rsidR="00D8141B" w:rsidRPr="00D135A5" w:rsidRDefault="00D8141B" w:rsidP="00DD59F6">
            <w:pPr>
              <w:keepNext/>
              <w:keepLines/>
              <w:spacing w:after="120" w:line="240" w:lineRule="auto"/>
              <w:jc w:val="center"/>
              <w:outlineLvl w:val="8"/>
              <w:rPr>
                <w:rFonts w:eastAsia="Times New Roman" w:cs="Arial"/>
                <w:b/>
                <w:bCs/>
                <w:snapToGrid w:val="0"/>
                <w:sz w:val="24"/>
                <w:szCs w:val="24"/>
                <w:lang w:val="en-US"/>
              </w:rPr>
            </w:pPr>
            <w:r w:rsidRPr="00D135A5">
              <w:rPr>
                <w:rFonts w:eastAsia="Times New Roman" w:cs="Arial"/>
                <w:b/>
                <w:bCs/>
                <w:snapToGrid w:val="0"/>
                <w:sz w:val="24"/>
                <w:szCs w:val="24"/>
                <w:lang w:val="en-US"/>
              </w:rPr>
              <w:lastRenderedPageBreak/>
              <w:t>Table 17-35 Rating Knee replacement Results</w:t>
            </w:r>
          </w:p>
        </w:tc>
      </w:tr>
      <w:tr w:rsidR="00D8141B" w:rsidRPr="00D135A5" w:rsidTr="00D135A5">
        <w:tc>
          <w:tcPr>
            <w:tcW w:w="5103" w:type="dxa"/>
            <w:shd w:val="pct10" w:color="auto" w:fill="auto"/>
          </w:tcPr>
          <w:p w:rsidR="00D8141B" w:rsidRPr="00D135A5" w:rsidRDefault="00D8141B" w:rsidP="008148CB">
            <w:pPr>
              <w:keepNext/>
              <w:keepLines/>
              <w:spacing w:after="0" w:line="240" w:lineRule="auto"/>
              <w:rPr>
                <w:rFonts w:eastAsia="Times New Roman" w:cs="Arial"/>
                <w:snapToGrid w:val="0"/>
                <w:sz w:val="20"/>
                <w:szCs w:val="20"/>
                <w:lang w:val="en-US"/>
              </w:rPr>
            </w:pPr>
          </w:p>
        </w:tc>
        <w:tc>
          <w:tcPr>
            <w:tcW w:w="2977" w:type="dxa"/>
            <w:shd w:val="pct10" w:color="auto" w:fill="auto"/>
          </w:tcPr>
          <w:p w:rsidR="00D8141B" w:rsidRPr="00D135A5" w:rsidRDefault="00D8141B" w:rsidP="008148CB">
            <w:pPr>
              <w:keepNext/>
              <w:keepLines/>
              <w:spacing w:after="0" w:line="240" w:lineRule="auto"/>
              <w:rPr>
                <w:rFonts w:eastAsia="Times New Roman" w:cs="Arial"/>
                <w:b/>
                <w:bCs/>
                <w:snapToGrid w:val="0"/>
                <w:sz w:val="20"/>
                <w:szCs w:val="20"/>
                <w:lang w:val="en-US"/>
              </w:rPr>
            </w:pPr>
            <w:r w:rsidRPr="00D135A5">
              <w:rPr>
                <w:rFonts w:eastAsia="Times New Roman" w:cs="Arial"/>
                <w:b/>
                <w:bCs/>
                <w:snapToGrid w:val="0"/>
                <w:sz w:val="20"/>
                <w:szCs w:val="20"/>
                <w:lang w:val="en-US"/>
              </w:rPr>
              <w:t>Number of Points</w:t>
            </w:r>
          </w:p>
        </w:tc>
      </w:tr>
      <w:tr w:rsidR="00D8141B" w:rsidRPr="00D135A5" w:rsidTr="00D135A5">
        <w:tc>
          <w:tcPr>
            <w:tcW w:w="5103" w:type="dxa"/>
          </w:tcPr>
          <w:p w:rsidR="00D8141B" w:rsidRPr="00D135A5" w:rsidRDefault="00D8141B" w:rsidP="008148CB">
            <w:pPr>
              <w:keepNext/>
              <w:keepLines/>
              <w:numPr>
                <w:ilvl w:val="0"/>
                <w:numId w:val="11"/>
              </w:numPr>
              <w:tabs>
                <w:tab w:val="clear" w:pos="720"/>
              </w:tabs>
              <w:spacing w:after="0" w:line="240" w:lineRule="auto"/>
              <w:ind w:left="459" w:hanging="459"/>
              <w:rPr>
                <w:rFonts w:eastAsia="Times New Roman" w:cs="Arial"/>
                <w:b/>
                <w:bCs/>
                <w:snapToGrid w:val="0"/>
                <w:sz w:val="20"/>
                <w:szCs w:val="20"/>
                <w:lang w:val="en-US"/>
              </w:rPr>
            </w:pPr>
            <w:r w:rsidRPr="00D135A5">
              <w:rPr>
                <w:rFonts w:eastAsia="Times New Roman" w:cs="Arial"/>
                <w:b/>
                <w:bCs/>
                <w:snapToGrid w:val="0"/>
                <w:sz w:val="20"/>
                <w:szCs w:val="20"/>
                <w:lang w:val="en-US"/>
              </w:rPr>
              <w:t>Pain</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None</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Mild or occasional</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Stairs only</w:t>
            </w:r>
          </w:p>
          <w:p w:rsidR="00D8141B" w:rsidRPr="00D135A5" w:rsidRDefault="008148CB" w:rsidP="008148CB">
            <w:pPr>
              <w:keepNext/>
              <w:keepLines/>
              <w:spacing w:after="0" w:line="240" w:lineRule="auto"/>
              <w:ind w:left="360"/>
              <w:rPr>
                <w:rFonts w:eastAsia="Times New Roman" w:cs="Arial"/>
                <w:snapToGrid w:val="0"/>
                <w:sz w:val="20"/>
                <w:szCs w:val="20"/>
                <w:lang w:val="en-US"/>
              </w:rPr>
            </w:pPr>
            <w:r>
              <w:rPr>
                <w:rFonts w:eastAsia="Times New Roman" w:cs="Arial"/>
                <w:snapToGrid w:val="0"/>
                <w:sz w:val="20"/>
                <w:szCs w:val="20"/>
                <w:lang w:val="en-US"/>
              </w:rPr>
              <w:t xml:space="preserve">  Walking and stairs</w:t>
            </w:r>
          </w:p>
          <w:p w:rsidR="00D8141B" w:rsidRPr="00D135A5" w:rsidRDefault="00D8141B" w:rsidP="008148CB">
            <w:pPr>
              <w:keepNext/>
              <w:keepLines/>
              <w:spacing w:after="0" w:line="240" w:lineRule="auto"/>
              <w:ind w:left="34"/>
              <w:rPr>
                <w:rFonts w:eastAsia="Times New Roman" w:cs="Arial"/>
                <w:snapToGrid w:val="0"/>
                <w:sz w:val="20"/>
                <w:szCs w:val="20"/>
                <w:lang w:val="en-US"/>
              </w:rPr>
            </w:pPr>
            <w:r w:rsidRPr="00D135A5">
              <w:rPr>
                <w:rFonts w:eastAsia="Times New Roman" w:cs="Arial"/>
                <w:snapToGrid w:val="0"/>
                <w:sz w:val="20"/>
                <w:szCs w:val="20"/>
                <w:lang w:val="en-US"/>
              </w:rPr>
              <w:t>Moderate</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Occasional</w:t>
            </w:r>
          </w:p>
          <w:p w:rsidR="00D8141B" w:rsidRPr="00D135A5" w:rsidRDefault="008148CB" w:rsidP="008148CB">
            <w:pPr>
              <w:keepNext/>
              <w:keepLines/>
              <w:spacing w:after="0" w:line="240" w:lineRule="auto"/>
              <w:ind w:left="360"/>
              <w:rPr>
                <w:rFonts w:eastAsia="Times New Roman" w:cs="Arial"/>
                <w:snapToGrid w:val="0"/>
                <w:sz w:val="20"/>
                <w:szCs w:val="20"/>
                <w:lang w:val="en-US"/>
              </w:rPr>
            </w:pPr>
            <w:r>
              <w:rPr>
                <w:rFonts w:eastAsia="Times New Roman" w:cs="Arial"/>
                <w:snapToGrid w:val="0"/>
                <w:sz w:val="20"/>
                <w:szCs w:val="20"/>
                <w:lang w:val="en-US"/>
              </w:rPr>
              <w:t xml:space="preserve">  Continual</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Severe</w:t>
            </w:r>
          </w:p>
        </w:tc>
        <w:tc>
          <w:tcPr>
            <w:tcW w:w="2977" w:type="dxa"/>
          </w:tcPr>
          <w:p w:rsidR="00D8141B" w:rsidRPr="00D135A5" w:rsidRDefault="00D8141B" w:rsidP="008148CB">
            <w:pPr>
              <w:keepNext/>
              <w:keepLines/>
              <w:spacing w:after="0" w:line="240" w:lineRule="auto"/>
              <w:rPr>
                <w:rFonts w:eastAsia="Times New Roman" w:cs="Arial"/>
                <w:snapToGrid w:val="0"/>
                <w:sz w:val="20"/>
                <w:szCs w:val="20"/>
                <w:lang w:val="en-US"/>
              </w:rPr>
            </w:pP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50</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45</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40</w:t>
            </w:r>
          </w:p>
          <w:p w:rsidR="00D8141B" w:rsidRPr="00D135A5" w:rsidRDefault="008148CB" w:rsidP="008148CB">
            <w:pPr>
              <w:keepNext/>
              <w:keepLines/>
              <w:spacing w:after="0" w:line="240" w:lineRule="auto"/>
              <w:rPr>
                <w:rFonts w:eastAsia="Times New Roman" w:cs="Arial"/>
                <w:snapToGrid w:val="0"/>
                <w:sz w:val="20"/>
                <w:szCs w:val="20"/>
                <w:lang w:val="en-US"/>
              </w:rPr>
            </w:pPr>
            <w:r>
              <w:rPr>
                <w:rFonts w:eastAsia="Times New Roman" w:cs="Arial"/>
                <w:snapToGrid w:val="0"/>
                <w:sz w:val="20"/>
                <w:szCs w:val="20"/>
                <w:lang w:val="en-US"/>
              </w:rPr>
              <w:t>30</w:t>
            </w:r>
          </w:p>
          <w:p w:rsidR="00D8141B" w:rsidRPr="00D135A5" w:rsidRDefault="00D8141B" w:rsidP="008148CB">
            <w:pPr>
              <w:keepNext/>
              <w:keepLines/>
              <w:spacing w:after="0" w:line="240" w:lineRule="auto"/>
              <w:rPr>
                <w:rFonts w:eastAsia="Times New Roman" w:cs="Arial"/>
                <w:snapToGrid w:val="0"/>
                <w:sz w:val="20"/>
                <w:szCs w:val="20"/>
                <w:lang w:val="en-US"/>
              </w:rPr>
            </w:pP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20</w:t>
            </w:r>
          </w:p>
          <w:p w:rsidR="00D8141B" w:rsidRPr="00D135A5" w:rsidRDefault="008148CB" w:rsidP="008148CB">
            <w:pPr>
              <w:keepNext/>
              <w:keepLines/>
              <w:spacing w:after="0" w:line="240" w:lineRule="auto"/>
              <w:rPr>
                <w:rFonts w:eastAsia="Times New Roman" w:cs="Arial"/>
                <w:snapToGrid w:val="0"/>
                <w:sz w:val="20"/>
                <w:szCs w:val="20"/>
                <w:lang w:val="en-US"/>
              </w:rPr>
            </w:pPr>
            <w:r>
              <w:rPr>
                <w:rFonts w:eastAsia="Times New Roman" w:cs="Arial"/>
                <w:snapToGrid w:val="0"/>
                <w:sz w:val="20"/>
                <w:szCs w:val="20"/>
                <w:lang w:val="en-US"/>
              </w:rPr>
              <w:t>10</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 xml:space="preserve"> 0</w:t>
            </w:r>
          </w:p>
        </w:tc>
      </w:tr>
      <w:tr w:rsidR="00D8141B" w:rsidRPr="00D135A5" w:rsidTr="00D135A5">
        <w:tc>
          <w:tcPr>
            <w:tcW w:w="5103" w:type="dxa"/>
          </w:tcPr>
          <w:p w:rsidR="00D8141B" w:rsidRPr="008148CB" w:rsidRDefault="00D8141B" w:rsidP="008148CB">
            <w:pPr>
              <w:keepNext/>
              <w:keepLines/>
              <w:numPr>
                <w:ilvl w:val="0"/>
                <w:numId w:val="11"/>
              </w:numPr>
              <w:tabs>
                <w:tab w:val="clear" w:pos="720"/>
                <w:tab w:val="num" w:pos="459"/>
              </w:tabs>
              <w:spacing w:after="0" w:line="240" w:lineRule="auto"/>
              <w:ind w:left="459" w:hanging="459"/>
              <w:rPr>
                <w:rFonts w:eastAsia="Times New Roman" w:cs="Arial"/>
                <w:b/>
                <w:bCs/>
                <w:snapToGrid w:val="0"/>
                <w:sz w:val="20"/>
                <w:szCs w:val="20"/>
                <w:lang w:val="en-US"/>
              </w:rPr>
            </w:pPr>
            <w:r w:rsidRPr="00D135A5">
              <w:rPr>
                <w:rFonts w:eastAsia="Times New Roman" w:cs="Arial"/>
                <w:b/>
                <w:bCs/>
                <w:snapToGrid w:val="0"/>
                <w:sz w:val="20"/>
                <w:szCs w:val="20"/>
                <w:lang w:val="en-US"/>
              </w:rPr>
              <w:t>Range of Motion</w:t>
            </w:r>
          </w:p>
          <w:p w:rsidR="00D8141B" w:rsidRPr="00D135A5" w:rsidRDefault="00D8141B" w:rsidP="008148CB">
            <w:pPr>
              <w:keepNext/>
              <w:keepLines/>
              <w:spacing w:after="0" w:line="240" w:lineRule="auto"/>
              <w:ind w:left="34"/>
              <w:rPr>
                <w:rFonts w:eastAsia="Times New Roman" w:cs="Arial"/>
                <w:snapToGrid w:val="0"/>
                <w:sz w:val="20"/>
                <w:szCs w:val="20"/>
                <w:lang w:val="en-US"/>
              </w:rPr>
            </w:pPr>
            <w:r w:rsidRPr="00D135A5">
              <w:rPr>
                <w:rFonts w:eastAsia="Times New Roman" w:cs="Arial"/>
                <w:snapToGrid w:val="0"/>
                <w:sz w:val="20"/>
                <w:szCs w:val="20"/>
                <w:lang w:val="en-US"/>
              </w:rPr>
              <w:t>Add 1 point per 5 ° up to 125 °</w:t>
            </w:r>
          </w:p>
        </w:tc>
        <w:tc>
          <w:tcPr>
            <w:tcW w:w="2977" w:type="dxa"/>
          </w:tcPr>
          <w:p w:rsidR="00D8141B" w:rsidRPr="00D135A5" w:rsidRDefault="00D8141B" w:rsidP="008148CB">
            <w:pPr>
              <w:keepNext/>
              <w:keepLines/>
              <w:spacing w:after="0" w:line="240" w:lineRule="auto"/>
              <w:rPr>
                <w:rFonts w:eastAsia="Times New Roman" w:cs="Arial"/>
                <w:snapToGrid w:val="0"/>
                <w:sz w:val="20"/>
                <w:szCs w:val="20"/>
                <w:lang w:val="en-US"/>
              </w:rPr>
            </w:pP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25 (maximum)</w:t>
            </w:r>
          </w:p>
        </w:tc>
      </w:tr>
      <w:tr w:rsidR="00D8141B" w:rsidRPr="00D135A5" w:rsidTr="00D135A5">
        <w:tc>
          <w:tcPr>
            <w:tcW w:w="5103" w:type="dxa"/>
          </w:tcPr>
          <w:p w:rsidR="00D8141B" w:rsidRPr="008148CB" w:rsidRDefault="00D8141B" w:rsidP="008148CB">
            <w:pPr>
              <w:keepNext/>
              <w:keepLines/>
              <w:numPr>
                <w:ilvl w:val="0"/>
                <w:numId w:val="11"/>
              </w:numPr>
              <w:tabs>
                <w:tab w:val="clear" w:pos="720"/>
                <w:tab w:val="num" w:pos="459"/>
              </w:tabs>
              <w:spacing w:after="0" w:line="240" w:lineRule="auto"/>
              <w:ind w:left="459" w:hanging="459"/>
              <w:rPr>
                <w:rFonts w:eastAsia="Times New Roman" w:cs="Arial"/>
                <w:b/>
                <w:bCs/>
                <w:snapToGrid w:val="0"/>
                <w:sz w:val="20"/>
                <w:szCs w:val="20"/>
                <w:lang w:val="en-US"/>
              </w:rPr>
            </w:pPr>
            <w:r w:rsidRPr="00D135A5">
              <w:rPr>
                <w:rFonts w:eastAsia="Times New Roman" w:cs="Arial"/>
                <w:b/>
                <w:bCs/>
                <w:snapToGrid w:val="0"/>
                <w:sz w:val="20"/>
                <w:szCs w:val="20"/>
                <w:lang w:val="en-US"/>
              </w:rPr>
              <w:t>Stability</w:t>
            </w:r>
          </w:p>
          <w:p w:rsidR="00D8141B" w:rsidRPr="00D135A5" w:rsidRDefault="00D8141B" w:rsidP="008148CB">
            <w:pPr>
              <w:keepNext/>
              <w:keepLines/>
              <w:spacing w:after="0" w:line="240" w:lineRule="auto"/>
              <w:ind w:left="34"/>
              <w:rPr>
                <w:rFonts w:eastAsia="Times New Roman" w:cs="Arial"/>
                <w:snapToGrid w:val="0"/>
                <w:sz w:val="20"/>
                <w:szCs w:val="20"/>
                <w:lang w:val="en-US"/>
              </w:rPr>
            </w:pPr>
            <w:r w:rsidRPr="00D135A5">
              <w:rPr>
                <w:rFonts w:eastAsia="Times New Roman" w:cs="Arial"/>
                <w:snapToGrid w:val="0"/>
                <w:sz w:val="20"/>
                <w:szCs w:val="20"/>
                <w:lang w:val="en-US"/>
              </w:rPr>
              <w:t>(ma</w:t>
            </w:r>
            <w:r w:rsidR="008148CB">
              <w:rPr>
                <w:rFonts w:eastAsia="Times New Roman" w:cs="Arial"/>
                <w:snapToGrid w:val="0"/>
                <w:sz w:val="20"/>
                <w:szCs w:val="20"/>
                <w:lang w:val="en-US"/>
              </w:rPr>
              <w:t>ximum movement in any position)</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Anterioposterior</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&lt; 5 mm</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5-9 mm</w:t>
            </w:r>
          </w:p>
          <w:p w:rsidR="00D8141B" w:rsidRPr="00D135A5" w:rsidRDefault="008148CB" w:rsidP="008148CB">
            <w:pPr>
              <w:keepNext/>
              <w:keepLines/>
              <w:spacing w:after="0" w:line="240" w:lineRule="auto"/>
              <w:ind w:left="360"/>
              <w:rPr>
                <w:rFonts w:eastAsia="Times New Roman" w:cs="Arial"/>
                <w:snapToGrid w:val="0"/>
                <w:sz w:val="20"/>
                <w:szCs w:val="20"/>
                <w:lang w:val="en-US"/>
              </w:rPr>
            </w:pPr>
            <w:r>
              <w:rPr>
                <w:rFonts w:eastAsia="Times New Roman" w:cs="Arial"/>
                <w:snapToGrid w:val="0"/>
                <w:sz w:val="20"/>
                <w:szCs w:val="20"/>
                <w:lang w:val="en-US"/>
              </w:rPr>
              <w:t xml:space="preserve">  &gt; 9 mm</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Mediolateral</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5 °</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6-9 °</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10-14 °</w:t>
            </w:r>
          </w:p>
          <w:p w:rsidR="00D8141B" w:rsidRPr="00D135A5" w:rsidRDefault="008148CB" w:rsidP="008148CB">
            <w:pPr>
              <w:keepNext/>
              <w:keepLines/>
              <w:spacing w:after="0" w:line="240" w:lineRule="auto"/>
              <w:ind w:left="360"/>
              <w:rPr>
                <w:rFonts w:eastAsia="Times New Roman" w:cs="Arial"/>
                <w:snapToGrid w:val="0"/>
                <w:sz w:val="20"/>
                <w:szCs w:val="20"/>
                <w:lang w:val="en-US"/>
              </w:rPr>
            </w:pPr>
            <w:r>
              <w:rPr>
                <w:rFonts w:eastAsia="Times New Roman" w:cs="Arial"/>
                <w:snapToGrid w:val="0"/>
                <w:sz w:val="20"/>
                <w:szCs w:val="20"/>
                <w:lang w:val="en-US"/>
              </w:rPr>
              <w:t xml:space="preserve">  &gt; 14 °</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Subtotal</w:t>
            </w:r>
          </w:p>
        </w:tc>
        <w:tc>
          <w:tcPr>
            <w:tcW w:w="2977" w:type="dxa"/>
          </w:tcPr>
          <w:p w:rsidR="00D8141B" w:rsidRPr="00D135A5" w:rsidRDefault="00D8141B" w:rsidP="008148CB">
            <w:pPr>
              <w:keepNext/>
              <w:keepLines/>
              <w:spacing w:after="0" w:line="240" w:lineRule="auto"/>
              <w:rPr>
                <w:rFonts w:eastAsia="Times New Roman" w:cs="Arial"/>
                <w:snapToGrid w:val="0"/>
                <w:sz w:val="20"/>
                <w:szCs w:val="20"/>
                <w:lang w:val="en-US"/>
              </w:rPr>
            </w:pPr>
          </w:p>
          <w:p w:rsidR="00D8141B" w:rsidRPr="00D135A5" w:rsidRDefault="00D8141B" w:rsidP="008148CB">
            <w:pPr>
              <w:keepNext/>
              <w:keepLines/>
              <w:spacing w:after="0" w:line="240" w:lineRule="auto"/>
              <w:rPr>
                <w:rFonts w:eastAsia="Times New Roman" w:cs="Arial"/>
                <w:snapToGrid w:val="0"/>
                <w:sz w:val="20"/>
                <w:szCs w:val="20"/>
                <w:lang w:val="en-US"/>
              </w:rPr>
            </w:pPr>
          </w:p>
          <w:p w:rsidR="00D8141B" w:rsidRPr="00D135A5" w:rsidRDefault="00D8141B" w:rsidP="008148CB">
            <w:pPr>
              <w:keepNext/>
              <w:keepLines/>
              <w:spacing w:after="0" w:line="240" w:lineRule="auto"/>
              <w:rPr>
                <w:rFonts w:eastAsia="Times New Roman" w:cs="Arial"/>
                <w:snapToGrid w:val="0"/>
                <w:sz w:val="20"/>
                <w:szCs w:val="20"/>
                <w:lang w:val="en-US"/>
              </w:rPr>
            </w:pP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10</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5</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0</w:t>
            </w:r>
          </w:p>
          <w:p w:rsidR="00D8141B" w:rsidRPr="00D135A5" w:rsidRDefault="00D8141B" w:rsidP="008148CB">
            <w:pPr>
              <w:keepNext/>
              <w:keepLines/>
              <w:spacing w:after="0" w:line="240" w:lineRule="auto"/>
              <w:rPr>
                <w:rFonts w:eastAsia="Times New Roman" w:cs="Arial"/>
                <w:snapToGrid w:val="0"/>
                <w:sz w:val="20"/>
                <w:szCs w:val="20"/>
                <w:lang w:val="en-US"/>
              </w:rPr>
            </w:pP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15</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10</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5</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0</w:t>
            </w:r>
          </w:p>
        </w:tc>
      </w:tr>
      <w:tr w:rsidR="00D8141B" w:rsidRPr="00D135A5" w:rsidTr="00D135A5">
        <w:tc>
          <w:tcPr>
            <w:tcW w:w="5103" w:type="dxa"/>
          </w:tcPr>
          <w:p w:rsidR="00D8141B" w:rsidRPr="00D135A5" w:rsidRDefault="00D8141B" w:rsidP="008148CB">
            <w:pPr>
              <w:keepNext/>
              <w:keepLines/>
              <w:spacing w:after="0" w:line="240" w:lineRule="auto"/>
              <w:rPr>
                <w:rFonts w:eastAsia="Times New Roman" w:cs="Arial"/>
                <w:b/>
                <w:bCs/>
                <w:snapToGrid w:val="0"/>
                <w:sz w:val="20"/>
                <w:szCs w:val="20"/>
                <w:lang w:val="en-US"/>
              </w:rPr>
            </w:pPr>
            <w:r w:rsidRPr="00D135A5">
              <w:rPr>
                <w:rFonts w:eastAsia="Times New Roman" w:cs="Arial"/>
                <w:b/>
                <w:bCs/>
                <w:snapToGrid w:val="0"/>
                <w:sz w:val="20"/>
                <w:szCs w:val="20"/>
                <w:lang w:val="en-US"/>
              </w:rPr>
              <w:t>Deductions (minus) d, e, f</w:t>
            </w:r>
          </w:p>
        </w:tc>
        <w:tc>
          <w:tcPr>
            <w:tcW w:w="2977" w:type="dxa"/>
          </w:tcPr>
          <w:p w:rsidR="00D8141B" w:rsidRPr="00D135A5" w:rsidRDefault="00D8141B" w:rsidP="008148CB">
            <w:pPr>
              <w:keepNext/>
              <w:keepLines/>
              <w:spacing w:after="0" w:line="240" w:lineRule="auto"/>
              <w:rPr>
                <w:rFonts w:eastAsia="Times New Roman" w:cs="Arial"/>
                <w:snapToGrid w:val="0"/>
                <w:sz w:val="20"/>
                <w:szCs w:val="20"/>
                <w:lang w:val="en-US"/>
              </w:rPr>
            </w:pPr>
          </w:p>
        </w:tc>
      </w:tr>
      <w:tr w:rsidR="00D8141B" w:rsidRPr="00D135A5" w:rsidTr="00D135A5">
        <w:tc>
          <w:tcPr>
            <w:tcW w:w="5103" w:type="dxa"/>
          </w:tcPr>
          <w:p w:rsidR="00D8141B" w:rsidRPr="008148CB" w:rsidRDefault="00D8141B" w:rsidP="008148CB">
            <w:pPr>
              <w:keepNext/>
              <w:keepLines/>
              <w:numPr>
                <w:ilvl w:val="0"/>
                <w:numId w:val="11"/>
              </w:numPr>
              <w:tabs>
                <w:tab w:val="clear" w:pos="720"/>
                <w:tab w:val="num" w:pos="459"/>
              </w:tabs>
              <w:spacing w:after="0" w:line="240" w:lineRule="auto"/>
              <w:ind w:left="459" w:hanging="459"/>
              <w:rPr>
                <w:rFonts w:eastAsia="Times New Roman" w:cs="Arial"/>
                <w:b/>
                <w:bCs/>
                <w:snapToGrid w:val="0"/>
                <w:sz w:val="20"/>
                <w:szCs w:val="20"/>
                <w:lang w:val="en-US"/>
              </w:rPr>
            </w:pPr>
            <w:r w:rsidRPr="00D135A5">
              <w:rPr>
                <w:rFonts w:eastAsia="Times New Roman" w:cs="Arial"/>
                <w:b/>
                <w:bCs/>
                <w:snapToGrid w:val="0"/>
                <w:sz w:val="20"/>
                <w:szCs w:val="20"/>
                <w:lang w:val="en-US"/>
              </w:rPr>
              <w:t>Flexion contracture</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5-9 °</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10-15 °</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16-20 °</w:t>
            </w:r>
          </w:p>
          <w:p w:rsidR="00D8141B" w:rsidRPr="008148CB" w:rsidRDefault="008148CB" w:rsidP="008148CB">
            <w:pPr>
              <w:keepNext/>
              <w:keepLines/>
              <w:spacing w:after="0" w:line="240" w:lineRule="auto"/>
              <w:ind w:left="360"/>
              <w:rPr>
                <w:rFonts w:eastAsia="Times New Roman" w:cs="Arial"/>
                <w:snapToGrid w:val="0"/>
                <w:sz w:val="20"/>
                <w:szCs w:val="20"/>
                <w:lang w:val="en-US"/>
              </w:rPr>
            </w:pPr>
            <w:r>
              <w:rPr>
                <w:rFonts w:eastAsia="Times New Roman" w:cs="Arial"/>
                <w:snapToGrid w:val="0"/>
                <w:sz w:val="20"/>
                <w:szCs w:val="20"/>
                <w:lang w:val="en-US"/>
              </w:rPr>
              <w:t xml:space="preserve">  &gt; 20 °</w:t>
            </w:r>
          </w:p>
        </w:tc>
        <w:tc>
          <w:tcPr>
            <w:tcW w:w="2977" w:type="dxa"/>
          </w:tcPr>
          <w:p w:rsidR="00D8141B" w:rsidRPr="00D135A5" w:rsidRDefault="00D8141B" w:rsidP="008148CB">
            <w:pPr>
              <w:keepNext/>
              <w:keepLines/>
              <w:spacing w:after="0" w:line="240" w:lineRule="auto"/>
              <w:rPr>
                <w:rFonts w:eastAsia="Times New Roman" w:cs="Arial"/>
                <w:snapToGrid w:val="0"/>
                <w:sz w:val="20"/>
                <w:szCs w:val="20"/>
                <w:lang w:val="en-US"/>
              </w:rPr>
            </w:pP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2</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5</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10</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20</w:t>
            </w:r>
          </w:p>
        </w:tc>
      </w:tr>
      <w:tr w:rsidR="00D8141B" w:rsidRPr="00D135A5" w:rsidTr="00D135A5">
        <w:tc>
          <w:tcPr>
            <w:tcW w:w="5103" w:type="dxa"/>
          </w:tcPr>
          <w:p w:rsidR="00D8141B" w:rsidRPr="008148CB" w:rsidRDefault="00D8141B" w:rsidP="008148CB">
            <w:pPr>
              <w:keepNext/>
              <w:keepLines/>
              <w:numPr>
                <w:ilvl w:val="0"/>
                <w:numId w:val="11"/>
              </w:numPr>
              <w:tabs>
                <w:tab w:val="clear" w:pos="720"/>
                <w:tab w:val="num" w:pos="459"/>
              </w:tabs>
              <w:spacing w:after="0" w:line="240" w:lineRule="auto"/>
              <w:ind w:left="459" w:hanging="459"/>
              <w:rPr>
                <w:rFonts w:eastAsia="Times New Roman" w:cs="Arial"/>
                <w:b/>
                <w:bCs/>
                <w:snapToGrid w:val="0"/>
                <w:sz w:val="20"/>
                <w:szCs w:val="20"/>
                <w:lang w:val="en-US"/>
              </w:rPr>
            </w:pPr>
            <w:r w:rsidRPr="00D135A5">
              <w:rPr>
                <w:rFonts w:eastAsia="Times New Roman" w:cs="Arial"/>
                <w:b/>
                <w:bCs/>
                <w:snapToGrid w:val="0"/>
                <w:sz w:val="20"/>
                <w:szCs w:val="20"/>
                <w:lang w:val="en-US"/>
              </w:rPr>
              <w:t>Extension Lag</w:t>
            </w:r>
          </w:p>
          <w:p w:rsidR="00D8141B" w:rsidRPr="00D135A5" w:rsidRDefault="00D8141B" w:rsidP="008148CB">
            <w:pPr>
              <w:keepNext/>
              <w:keepLines/>
              <w:spacing w:after="0" w:line="240" w:lineRule="auto"/>
              <w:ind w:left="360"/>
              <w:rPr>
                <w:rFonts w:eastAsia="Times New Roman" w:cs="Arial"/>
                <w:snapToGrid w:val="0"/>
                <w:sz w:val="20"/>
                <w:szCs w:val="20"/>
                <w:lang w:val="en-US"/>
              </w:rPr>
            </w:pPr>
            <w:r w:rsidRPr="00D135A5">
              <w:rPr>
                <w:rFonts w:eastAsia="Times New Roman" w:cs="Arial"/>
                <w:snapToGrid w:val="0"/>
                <w:sz w:val="20"/>
                <w:szCs w:val="20"/>
                <w:lang w:val="en-US"/>
              </w:rPr>
              <w:t xml:space="preserve">  &lt; 10 °</w:t>
            </w:r>
          </w:p>
          <w:p w:rsidR="00D8141B" w:rsidRPr="00D135A5" w:rsidRDefault="008148CB" w:rsidP="008148CB">
            <w:pPr>
              <w:keepNext/>
              <w:keepLines/>
              <w:spacing w:after="0" w:line="240" w:lineRule="auto"/>
              <w:ind w:left="360"/>
              <w:rPr>
                <w:rFonts w:eastAsia="Times New Roman" w:cs="Arial"/>
                <w:snapToGrid w:val="0"/>
                <w:sz w:val="20"/>
                <w:szCs w:val="20"/>
                <w:lang w:val="en-US"/>
              </w:rPr>
            </w:pPr>
            <w:r>
              <w:rPr>
                <w:rFonts w:eastAsia="Times New Roman" w:cs="Arial"/>
                <w:snapToGrid w:val="0"/>
                <w:sz w:val="20"/>
                <w:szCs w:val="20"/>
                <w:lang w:val="en-US"/>
              </w:rPr>
              <w:t xml:space="preserve">  10-20 °</w:t>
            </w:r>
            <w:r>
              <w:rPr>
                <w:rFonts w:eastAsia="Times New Roman" w:cs="Arial"/>
                <w:snapToGrid w:val="0"/>
                <w:sz w:val="20"/>
                <w:szCs w:val="20"/>
                <w:lang w:val="en-US"/>
              </w:rPr>
              <w:br/>
              <w:t xml:space="preserve">  &gt; 20 °</w:t>
            </w:r>
          </w:p>
        </w:tc>
        <w:tc>
          <w:tcPr>
            <w:tcW w:w="2977" w:type="dxa"/>
          </w:tcPr>
          <w:p w:rsidR="00D8141B" w:rsidRPr="00D135A5" w:rsidRDefault="00D8141B" w:rsidP="008148CB">
            <w:pPr>
              <w:keepNext/>
              <w:keepLines/>
              <w:spacing w:after="0" w:line="240" w:lineRule="auto"/>
              <w:rPr>
                <w:rFonts w:eastAsia="Times New Roman" w:cs="Arial"/>
                <w:snapToGrid w:val="0"/>
                <w:sz w:val="20"/>
                <w:szCs w:val="20"/>
                <w:lang w:val="en-US"/>
              </w:rPr>
            </w:pP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5</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10</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15</w:t>
            </w:r>
          </w:p>
        </w:tc>
      </w:tr>
      <w:tr w:rsidR="00D8141B" w:rsidRPr="00D135A5" w:rsidTr="00D135A5">
        <w:trPr>
          <w:trHeight w:val="70"/>
        </w:trPr>
        <w:tc>
          <w:tcPr>
            <w:tcW w:w="5103" w:type="dxa"/>
          </w:tcPr>
          <w:p w:rsidR="00DD59F6" w:rsidRDefault="00D8141B" w:rsidP="008148CB">
            <w:pPr>
              <w:keepNext/>
              <w:keepLines/>
              <w:tabs>
                <w:tab w:val="left" w:pos="459"/>
              </w:tabs>
              <w:spacing w:after="0" w:line="240" w:lineRule="auto"/>
              <w:ind w:left="459" w:hanging="459"/>
              <w:rPr>
                <w:rFonts w:eastAsia="Times New Roman" w:cs="Arial"/>
                <w:b/>
                <w:bCs/>
                <w:snapToGrid w:val="0"/>
                <w:sz w:val="20"/>
                <w:szCs w:val="20"/>
                <w:lang w:val="en-US"/>
              </w:rPr>
            </w:pPr>
            <w:r w:rsidRPr="00D135A5">
              <w:rPr>
                <w:rFonts w:eastAsia="Times New Roman" w:cs="Arial"/>
                <w:b/>
                <w:bCs/>
                <w:snapToGrid w:val="0"/>
                <w:sz w:val="20"/>
                <w:szCs w:val="20"/>
                <w:lang w:val="en-US"/>
              </w:rPr>
              <w:t>f.  Tibio-femoral alignment  *–</w:t>
            </w:r>
          </w:p>
          <w:p w:rsidR="00D8141B" w:rsidRPr="00D135A5" w:rsidRDefault="00D8141B" w:rsidP="008148CB">
            <w:pPr>
              <w:keepNext/>
              <w:keepLines/>
              <w:tabs>
                <w:tab w:val="left" w:pos="459"/>
              </w:tabs>
              <w:spacing w:after="0" w:line="240" w:lineRule="auto"/>
              <w:ind w:left="459"/>
              <w:rPr>
                <w:rFonts w:eastAsia="Times New Roman" w:cs="Arial"/>
                <w:snapToGrid w:val="0"/>
                <w:sz w:val="20"/>
                <w:szCs w:val="20"/>
                <w:lang w:val="en-US"/>
              </w:rPr>
            </w:pPr>
            <w:r w:rsidRPr="00D135A5">
              <w:rPr>
                <w:rFonts w:eastAsia="Times New Roman" w:cs="Arial"/>
                <w:snapToGrid w:val="0"/>
                <w:sz w:val="20"/>
                <w:szCs w:val="20"/>
                <w:lang w:val="en-US"/>
              </w:rPr>
              <w:t>&gt; 15° valgus</w:t>
            </w:r>
          </w:p>
          <w:p w:rsidR="00D8141B" w:rsidRPr="00D135A5" w:rsidRDefault="00D8141B" w:rsidP="008148CB">
            <w:pPr>
              <w:keepNext/>
              <w:keepLines/>
              <w:spacing w:after="0" w:line="240" w:lineRule="auto"/>
              <w:ind w:left="360"/>
              <w:rPr>
                <w:rFonts w:eastAsia="Times New Roman" w:cs="Arial"/>
                <w:b/>
                <w:bCs/>
                <w:snapToGrid w:val="0"/>
                <w:sz w:val="20"/>
                <w:szCs w:val="20"/>
                <w:lang w:val="en-US"/>
              </w:rPr>
            </w:pPr>
            <w:r w:rsidRPr="00D135A5">
              <w:rPr>
                <w:rFonts w:eastAsia="Times New Roman" w:cs="Arial"/>
                <w:snapToGrid w:val="0"/>
                <w:sz w:val="20"/>
                <w:szCs w:val="20"/>
                <w:lang w:val="en-US"/>
              </w:rPr>
              <w:t xml:space="preserve">11-15° valgus </w:t>
            </w:r>
          </w:p>
          <w:p w:rsidR="00D8141B" w:rsidRPr="00D135A5" w:rsidRDefault="00D8141B" w:rsidP="008148CB">
            <w:pPr>
              <w:keepNext/>
              <w:keepLines/>
              <w:spacing w:after="0" w:line="240" w:lineRule="auto"/>
              <w:ind w:left="360"/>
              <w:rPr>
                <w:rFonts w:eastAsia="Times New Roman" w:cs="Arial"/>
                <w:b/>
                <w:bCs/>
                <w:snapToGrid w:val="0"/>
                <w:sz w:val="20"/>
                <w:szCs w:val="20"/>
                <w:lang w:val="en-US"/>
              </w:rPr>
            </w:pPr>
            <w:r w:rsidRPr="00D135A5">
              <w:rPr>
                <w:rFonts w:eastAsia="Times New Roman" w:cs="Arial"/>
                <w:b/>
                <w:bCs/>
                <w:snapToGrid w:val="0"/>
                <w:sz w:val="20"/>
                <w:szCs w:val="20"/>
                <w:lang w:val="en-US"/>
              </w:rPr>
              <w:t xml:space="preserve">  5-10 °  valgus</w:t>
            </w:r>
          </w:p>
          <w:p w:rsidR="00D8141B" w:rsidRPr="00D135A5" w:rsidRDefault="00D8141B" w:rsidP="008148CB">
            <w:pPr>
              <w:keepNext/>
              <w:keepLines/>
              <w:spacing w:after="0" w:line="240" w:lineRule="auto"/>
              <w:ind w:left="360"/>
              <w:rPr>
                <w:rFonts w:eastAsia="Times New Roman" w:cs="Arial"/>
                <w:b/>
                <w:bCs/>
                <w:snapToGrid w:val="0"/>
                <w:sz w:val="20"/>
                <w:szCs w:val="20"/>
                <w:lang w:val="en-US"/>
              </w:rPr>
            </w:pPr>
            <w:r w:rsidRPr="00D135A5">
              <w:rPr>
                <w:rFonts w:eastAsia="Times New Roman" w:cs="Arial"/>
                <w:b/>
                <w:bCs/>
                <w:snapToGrid w:val="0"/>
                <w:sz w:val="20"/>
                <w:szCs w:val="20"/>
                <w:lang w:val="en-US"/>
              </w:rPr>
              <w:t xml:space="preserve">  0-4 ° valgus</w:t>
            </w:r>
          </w:p>
          <w:p w:rsidR="00D8141B" w:rsidRPr="00DD59F6" w:rsidRDefault="00D8141B" w:rsidP="008148CB">
            <w:pPr>
              <w:keepNext/>
              <w:keepLines/>
              <w:spacing w:after="0" w:line="240" w:lineRule="auto"/>
              <w:ind w:left="360"/>
              <w:rPr>
                <w:rFonts w:eastAsia="Times New Roman" w:cs="Arial"/>
                <w:b/>
                <w:bCs/>
                <w:snapToGrid w:val="0"/>
                <w:sz w:val="20"/>
                <w:szCs w:val="20"/>
                <w:lang w:val="en-US"/>
              </w:rPr>
            </w:pPr>
            <w:r w:rsidRPr="00D135A5">
              <w:rPr>
                <w:rFonts w:eastAsia="Times New Roman" w:cs="Arial"/>
                <w:b/>
                <w:bCs/>
                <w:snapToGrid w:val="0"/>
                <w:sz w:val="20"/>
                <w:szCs w:val="20"/>
                <w:lang w:val="en-US"/>
              </w:rPr>
              <w:t>Any v</w:t>
            </w:r>
            <w:r w:rsidRPr="00D135A5">
              <w:rPr>
                <w:rFonts w:eastAsia="Times New Roman" w:cs="Arial"/>
                <w:snapToGrid w:val="0"/>
                <w:sz w:val="20"/>
                <w:szCs w:val="20"/>
                <w:lang w:val="en-US"/>
              </w:rPr>
              <w:t>a</w:t>
            </w:r>
            <w:r w:rsidR="00DD59F6">
              <w:rPr>
                <w:rFonts w:eastAsia="Times New Roman" w:cs="Arial"/>
                <w:b/>
                <w:bCs/>
                <w:snapToGrid w:val="0"/>
                <w:sz w:val="20"/>
                <w:szCs w:val="20"/>
                <w:lang w:val="en-US"/>
              </w:rPr>
              <w:t>rus</w:t>
            </w:r>
          </w:p>
        </w:tc>
        <w:tc>
          <w:tcPr>
            <w:tcW w:w="2977" w:type="dxa"/>
          </w:tcPr>
          <w:p w:rsidR="00D8141B" w:rsidRPr="00D135A5" w:rsidRDefault="00D8141B" w:rsidP="008148CB">
            <w:pPr>
              <w:keepNext/>
              <w:keepLines/>
              <w:spacing w:after="0" w:line="240" w:lineRule="auto"/>
              <w:jc w:val="center"/>
              <w:rPr>
                <w:rFonts w:eastAsia="Times New Roman" w:cs="Arial"/>
                <w:snapToGrid w:val="0"/>
                <w:sz w:val="20"/>
                <w:szCs w:val="20"/>
                <w:lang w:val="en-US"/>
              </w:rPr>
            </w:pP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20</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3 points per degree</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0</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3 points per degree</w:t>
            </w:r>
          </w:p>
          <w:p w:rsidR="00D8141B" w:rsidRPr="00D135A5" w:rsidRDefault="00D8141B" w:rsidP="008148CB">
            <w:pPr>
              <w:keepNext/>
              <w:keepLines/>
              <w:spacing w:after="0" w:line="240" w:lineRule="auto"/>
              <w:rPr>
                <w:rFonts w:eastAsia="Times New Roman" w:cs="Arial"/>
                <w:snapToGrid w:val="0"/>
                <w:sz w:val="20"/>
                <w:szCs w:val="20"/>
                <w:lang w:val="en-US"/>
              </w:rPr>
            </w:pPr>
            <w:r w:rsidRPr="00D135A5">
              <w:rPr>
                <w:rFonts w:eastAsia="Times New Roman" w:cs="Arial"/>
                <w:snapToGrid w:val="0"/>
                <w:sz w:val="20"/>
                <w:szCs w:val="20"/>
                <w:lang w:val="en-US"/>
              </w:rPr>
              <w:t>20</w:t>
            </w:r>
          </w:p>
        </w:tc>
      </w:tr>
      <w:tr w:rsidR="00D8141B" w:rsidRPr="00D135A5" w:rsidTr="00D135A5">
        <w:trPr>
          <w:trHeight w:val="70"/>
        </w:trPr>
        <w:tc>
          <w:tcPr>
            <w:tcW w:w="5103" w:type="dxa"/>
          </w:tcPr>
          <w:p w:rsidR="00D8141B" w:rsidRPr="00D135A5" w:rsidRDefault="00D8141B" w:rsidP="008148CB">
            <w:pPr>
              <w:keepNext/>
              <w:keepLines/>
              <w:spacing w:after="0" w:line="240" w:lineRule="auto"/>
              <w:ind w:left="459" w:hanging="383"/>
              <w:rPr>
                <w:rFonts w:eastAsia="Times New Roman" w:cs="Arial"/>
                <w:b/>
                <w:bCs/>
                <w:snapToGrid w:val="0"/>
                <w:sz w:val="20"/>
                <w:szCs w:val="20"/>
                <w:lang w:val="en-US"/>
              </w:rPr>
            </w:pPr>
            <w:r w:rsidRPr="00D135A5">
              <w:rPr>
                <w:rFonts w:eastAsia="Times New Roman" w:cs="Arial"/>
                <w:snapToGrid w:val="0"/>
                <w:sz w:val="20"/>
                <w:szCs w:val="20"/>
                <w:lang w:val="en-US"/>
              </w:rPr>
              <w:t>Deductions subtotal:</w:t>
            </w:r>
          </w:p>
        </w:tc>
        <w:tc>
          <w:tcPr>
            <w:tcW w:w="2977" w:type="dxa"/>
          </w:tcPr>
          <w:p w:rsidR="00D8141B" w:rsidRPr="00D135A5" w:rsidRDefault="00D8141B" w:rsidP="008148CB">
            <w:pPr>
              <w:keepNext/>
              <w:keepLines/>
              <w:spacing w:after="0" w:line="240" w:lineRule="auto"/>
              <w:jc w:val="center"/>
              <w:rPr>
                <w:rFonts w:eastAsia="Times New Roman" w:cs="Arial"/>
                <w:snapToGrid w:val="0"/>
                <w:sz w:val="20"/>
                <w:szCs w:val="20"/>
                <w:lang w:val="en-US"/>
              </w:rPr>
            </w:pPr>
          </w:p>
        </w:tc>
      </w:tr>
    </w:tbl>
    <w:p w:rsidR="00D8141B" w:rsidRPr="00D8141B" w:rsidRDefault="00D8141B" w:rsidP="00D8141B">
      <w:pPr>
        <w:spacing w:after="0" w:line="240" w:lineRule="auto"/>
        <w:ind w:left="720"/>
        <w:rPr>
          <w:rFonts w:eastAsia="Times New Roman" w:cs="Arial"/>
          <w:snapToGrid w:val="0"/>
          <w:szCs w:val="20"/>
          <w:lang w:val="en-US"/>
        </w:rPr>
      </w:pPr>
    </w:p>
    <w:p w:rsidR="00D8141B" w:rsidRPr="00D8141B" w:rsidRDefault="00D8141B" w:rsidP="00D8141B">
      <w:pPr>
        <w:spacing w:after="0" w:line="240" w:lineRule="auto"/>
        <w:ind w:left="720"/>
        <w:rPr>
          <w:rFonts w:eastAsia="Times New Roman" w:cs="Arial"/>
          <w:snapToGrid w:val="0"/>
          <w:szCs w:val="20"/>
          <w:lang w:val="en-US"/>
        </w:rPr>
      </w:pPr>
      <w:r w:rsidRPr="00D8141B">
        <w:rPr>
          <w:rFonts w:eastAsia="Times New Roman" w:cs="Arial"/>
          <w:snapToGrid w:val="0"/>
          <w:szCs w:val="20"/>
          <w:lang w:val="en-US"/>
        </w:rPr>
        <w:t>*Refer to the unaffected limb to take into account any constitutional variation.</w:t>
      </w:r>
    </w:p>
    <w:p w:rsidR="00D8141B" w:rsidRPr="00D8141B" w:rsidRDefault="00D8141B" w:rsidP="00DD59F6">
      <w:pPr>
        <w:pStyle w:val="Heading3"/>
        <w:rPr>
          <w:snapToGrid w:val="0"/>
        </w:rPr>
      </w:pPr>
      <w:bookmarkStart w:id="48" w:name="_Toc144874629"/>
      <w:bookmarkStart w:id="49" w:name="_Toc144875217"/>
      <w:r w:rsidRPr="00D8141B">
        <w:rPr>
          <w:snapToGrid w:val="0"/>
        </w:rPr>
        <w:t>Skin loss (lower extremity)</w:t>
      </w:r>
      <w:bookmarkEnd w:id="48"/>
      <w:bookmarkEnd w:id="49"/>
      <w:r w:rsidRPr="00D8141B">
        <w:rPr>
          <w:snapToGrid w:val="0"/>
        </w:rPr>
        <w:t xml:space="preserve"> </w:t>
      </w:r>
    </w:p>
    <w:p w:rsidR="00D8141B" w:rsidRPr="00D8141B" w:rsidRDefault="00D8141B" w:rsidP="00DD59F6">
      <w:pPr>
        <w:pStyle w:val="BodyText3"/>
        <w:rPr>
          <w:snapToGrid w:val="0"/>
        </w:rPr>
      </w:pPr>
      <w:r w:rsidRPr="00D8141B">
        <w:tab/>
        <w:t>Skin loss (p 550 AMA5) can only be included in the calculation of impairment if it is in certain sites and meets the criteria listed in table 17-36 (p 550 AMA5).</w:t>
      </w:r>
    </w:p>
    <w:p w:rsidR="00D8141B" w:rsidRPr="00D8141B" w:rsidRDefault="00D8141B" w:rsidP="00DD59F6">
      <w:pPr>
        <w:pStyle w:val="Heading3"/>
        <w:rPr>
          <w:snapToGrid w:val="0"/>
        </w:rPr>
      </w:pPr>
      <w:bookmarkStart w:id="50" w:name="_Toc144874630"/>
      <w:bookmarkStart w:id="51" w:name="_Toc144875218"/>
      <w:r w:rsidRPr="00D8141B">
        <w:rPr>
          <w:snapToGrid w:val="0"/>
        </w:rPr>
        <w:t>Peripheral nerve injuries (lower extremity)</w:t>
      </w:r>
      <w:bookmarkEnd w:id="50"/>
      <w:bookmarkEnd w:id="51"/>
    </w:p>
    <w:p w:rsidR="00D8141B" w:rsidRPr="00D8141B" w:rsidRDefault="00D8141B" w:rsidP="00DD59F6">
      <w:pPr>
        <w:pStyle w:val="BodyText3"/>
        <w:rPr>
          <w:snapToGrid w:val="0"/>
        </w:rPr>
      </w:pPr>
      <w:r w:rsidRPr="00D8141B">
        <w:rPr>
          <w:snapToGrid w:val="0"/>
        </w:rPr>
        <w:t>When assessing the impairment due to peripheral nerve injury (pp 550-552 AMA5) assessors should read the text in this section. Note that the separate impairments for the motor, sensory and dysaesthetic components of nerve dysfunction in table 17-37 (p 552 AMA5) are to be combined</w:t>
      </w:r>
      <w:r w:rsidRPr="00D8141B">
        <w:rPr>
          <w:i/>
          <w:snapToGrid w:val="0"/>
        </w:rPr>
        <w:t>.</w:t>
      </w:r>
    </w:p>
    <w:p w:rsidR="00D8141B" w:rsidRPr="00D8141B" w:rsidRDefault="00D8141B" w:rsidP="00DD59F6">
      <w:pPr>
        <w:pStyle w:val="BodyText3"/>
        <w:rPr>
          <w:snapToGrid w:val="0"/>
        </w:rPr>
      </w:pPr>
      <w:r w:rsidRPr="00D8141B">
        <w:rPr>
          <w:snapToGrid w:val="0"/>
        </w:rPr>
        <w:t>Note that the (posterior) tibial nerve is not included in table 17-37, but its contribution can be calculated by subtracting ratings of common  peroneal nerves from sciatic nerve ratings</w:t>
      </w:r>
    </w:p>
    <w:p w:rsidR="00D8141B" w:rsidRPr="00D8141B" w:rsidRDefault="00D8141B" w:rsidP="00DD59F6">
      <w:pPr>
        <w:pStyle w:val="BodyText3"/>
      </w:pPr>
      <w:r w:rsidRPr="00D8141B">
        <w:rPr>
          <w:snapToGrid w:val="0"/>
        </w:rPr>
        <w:lastRenderedPageBreak/>
        <w:t>Peripheral nerve injury impairments can be combined with other impairments, but not those for gait derangement, muscle atrophy, muscle strength or complex regional pain syndrome, as shown in table 17-2 (p 526 AMA5).  Motor and sensory impairments given in table 17-37 are for complete loss of function and assessors must still use table 16-10 and 16-11 in association with table 17-37</w:t>
      </w:r>
      <w:r w:rsidRPr="00D8141B">
        <w:t>.</w:t>
      </w:r>
    </w:p>
    <w:p w:rsidR="00D8141B" w:rsidRPr="00D8141B" w:rsidRDefault="00D8141B" w:rsidP="00DD59F6">
      <w:pPr>
        <w:pStyle w:val="Heading3"/>
      </w:pPr>
      <w:bookmarkStart w:id="52" w:name="_Toc144874631"/>
      <w:bookmarkStart w:id="53" w:name="_Toc144875219"/>
      <w:r w:rsidRPr="00D8141B">
        <w:t>Complex regional pain syndrome (lower extremity)</w:t>
      </w:r>
      <w:bookmarkEnd w:id="52"/>
      <w:bookmarkEnd w:id="53"/>
    </w:p>
    <w:p w:rsidR="00D8141B" w:rsidRPr="00D8141B" w:rsidRDefault="00D8141B" w:rsidP="00DD59F6">
      <w:pPr>
        <w:pStyle w:val="BodyText3"/>
        <w:rPr>
          <w:rFonts w:cs="Times New Roman"/>
          <w:sz w:val="24"/>
        </w:rPr>
      </w:pPr>
      <w:r w:rsidRPr="00D8141B">
        <w:t xml:space="preserve">Complex regional pain syndrome types 1 and 2 are to be assessed using the method in </w:t>
      </w:r>
      <w:r w:rsidRPr="00D8141B">
        <w:rPr>
          <w:u w:val="single"/>
        </w:rPr>
        <w:t>chapter 17</w:t>
      </w:r>
      <w:r w:rsidRPr="00D8141B">
        <w:t xml:space="preserve"> of the Guidelines.</w:t>
      </w:r>
    </w:p>
    <w:p w:rsidR="00D8141B" w:rsidRPr="00D8141B" w:rsidRDefault="00D8141B" w:rsidP="00DD59F6">
      <w:pPr>
        <w:pStyle w:val="Heading3"/>
        <w:rPr>
          <w:snapToGrid w:val="0"/>
        </w:rPr>
      </w:pPr>
      <w:bookmarkStart w:id="54" w:name="_Toc144874632"/>
      <w:bookmarkStart w:id="55" w:name="_Toc144875220"/>
      <w:r w:rsidRPr="00D8141B">
        <w:rPr>
          <w:snapToGrid w:val="0"/>
        </w:rPr>
        <w:t>Peripheral vascular disease (lower extremity)</w:t>
      </w:r>
      <w:bookmarkEnd w:id="54"/>
      <w:bookmarkEnd w:id="55"/>
    </w:p>
    <w:p w:rsidR="00D8141B" w:rsidRPr="00D8141B" w:rsidRDefault="00D8141B" w:rsidP="00DD59F6">
      <w:pPr>
        <w:pStyle w:val="BodyText3"/>
        <w:rPr>
          <w:snapToGrid w:val="0"/>
        </w:rPr>
      </w:pPr>
      <w:r w:rsidRPr="00D8141B">
        <w:rPr>
          <w:snapToGrid w:val="0"/>
        </w:rPr>
        <w:t>Lower extremity impairment due to vascular disorders (pp 553-554 AMA5) is evaluated using table 17-38 (p 554 AMA5).  Note that table 17-38 gives values for lower extremity not WPI. In that table there is a range of lower extremity impairments within each of the classes 1 to 5. As there is a clinical description of which conditions place a person's lower extremity in a particular class, the assessor has a choice of impairment rating within a class, the value of which is left to the clinical judgement of the assessor.</w:t>
      </w:r>
    </w:p>
    <w:p w:rsidR="00D8141B" w:rsidRPr="00D8141B" w:rsidRDefault="00D8141B" w:rsidP="00DD59F6">
      <w:pPr>
        <w:pStyle w:val="Heading3"/>
      </w:pPr>
      <w:r w:rsidRPr="00D8141B">
        <w:t>Measurement of selected joint motion</w:t>
      </w:r>
    </w:p>
    <w:p w:rsidR="00D8141B" w:rsidRPr="00D8141B" w:rsidRDefault="00D8141B" w:rsidP="00DD59F6">
      <w:pPr>
        <w:pStyle w:val="BodyText3"/>
      </w:pPr>
      <w:r w:rsidRPr="00D8141B">
        <w:t>When measuring dorsiflexion at the ankle, the test is carried out initially with the knee in extension and then repeated with the knee flexed to 45 degrees. The average of the maximum angles represents the dorsiflexion range of motion (figure 17-5, p 535 AMA5).</w:t>
      </w:r>
    </w:p>
    <w:p w:rsidR="00D8141B" w:rsidRPr="00DD59F6" w:rsidRDefault="00D8141B" w:rsidP="00DD59F6">
      <w:pPr>
        <w:keepNext/>
        <w:keepLines/>
        <w:tabs>
          <w:tab w:val="left" w:pos="720"/>
        </w:tabs>
        <w:spacing w:before="240" w:after="120" w:line="240" w:lineRule="auto"/>
        <w:jc w:val="center"/>
        <w:outlineLvl w:val="3"/>
        <w:rPr>
          <w:rFonts w:eastAsia="Times New Roman" w:cs="Arial"/>
          <w:b/>
          <w:bCs/>
          <w:sz w:val="24"/>
          <w:szCs w:val="24"/>
          <w:lang w:val="en-GB"/>
        </w:rPr>
      </w:pPr>
      <w:bookmarkStart w:id="56" w:name="_Toc144874633"/>
      <w:bookmarkStart w:id="57" w:name="_Toc144875221"/>
      <w:r w:rsidRPr="00DD59F6">
        <w:rPr>
          <w:rFonts w:eastAsia="Times New Roman" w:cs="Arial"/>
          <w:b/>
          <w:bCs/>
          <w:sz w:val="24"/>
          <w:szCs w:val="24"/>
          <w:lang w:val="en-GB"/>
        </w:rPr>
        <w:t>Table 3.5: Lower extremity worksheet</w:t>
      </w:r>
      <w:bookmarkEnd w:id="56"/>
      <w:bookmarkEnd w:id="57"/>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2977"/>
        <w:gridCol w:w="1701"/>
        <w:gridCol w:w="1417"/>
        <w:gridCol w:w="1418"/>
        <w:gridCol w:w="1417"/>
      </w:tblGrid>
      <w:tr w:rsidR="00D8141B" w:rsidRPr="00DD59F6" w:rsidTr="00286F9C">
        <w:tc>
          <w:tcPr>
            <w:tcW w:w="738" w:type="dxa"/>
            <w:shd w:val="pct10" w:color="auto" w:fill="auto"/>
            <w:vAlign w:val="center"/>
          </w:tcPr>
          <w:p w:rsidR="00D8141B" w:rsidRPr="00DD59F6" w:rsidRDefault="00D8141B" w:rsidP="00286F9C">
            <w:pPr>
              <w:keepNext/>
              <w:keepLines/>
              <w:widowControl w:val="0"/>
              <w:spacing w:before="20" w:after="20" w:line="240" w:lineRule="auto"/>
              <w:jc w:val="center"/>
              <w:rPr>
                <w:rFonts w:eastAsia="Times New Roman" w:cs="Arial"/>
                <w:b/>
                <w:bCs/>
                <w:snapToGrid w:val="0"/>
                <w:sz w:val="20"/>
                <w:szCs w:val="20"/>
                <w:lang w:val="en-GB"/>
              </w:rPr>
            </w:pPr>
            <w:r w:rsidRPr="00DD59F6">
              <w:rPr>
                <w:rFonts w:eastAsia="Times New Roman" w:cs="Arial"/>
                <w:b/>
                <w:bCs/>
                <w:snapToGrid w:val="0"/>
                <w:sz w:val="20"/>
                <w:szCs w:val="20"/>
                <w:lang w:val="en-GB"/>
              </w:rPr>
              <w:t>Item</w:t>
            </w:r>
          </w:p>
        </w:tc>
        <w:tc>
          <w:tcPr>
            <w:tcW w:w="2977" w:type="dxa"/>
            <w:shd w:val="pct10" w:color="auto" w:fill="auto"/>
            <w:vAlign w:val="center"/>
          </w:tcPr>
          <w:p w:rsidR="00D8141B" w:rsidRPr="00DD59F6" w:rsidRDefault="00D8141B" w:rsidP="00286F9C">
            <w:pPr>
              <w:keepNext/>
              <w:keepLines/>
              <w:widowControl w:val="0"/>
              <w:spacing w:before="20" w:after="20" w:line="240" w:lineRule="auto"/>
              <w:jc w:val="center"/>
              <w:rPr>
                <w:rFonts w:eastAsia="Times New Roman" w:cs="Arial"/>
                <w:b/>
                <w:bCs/>
                <w:snapToGrid w:val="0"/>
                <w:sz w:val="20"/>
                <w:szCs w:val="20"/>
                <w:lang w:val="en-GB"/>
              </w:rPr>
            </w:pPr>
            <w:r w:rsidRPr="00DD59F6">
              <w:rPr>
                <w:rFonts w:eastAsia="Times New Roman" w:cs="Arial"/>
                <w:b/>
                <w:bCs/>
                <w:snapToGrid w:val="0"/>
                <w:sz w:val="20"/>
                <w:szCs w:val="20"/>
                <w:lang w:val="en-GB"/>
              </w:rPr>
              <w:t>Impairment</w:t>
            </w:r>
          </w:p>
        </w:tc>
        <w:tc>
          <w:tcPr>
            <w:tcW w:w="1701" w:type="dxa"/>
            <w:shd w:val="pct10" w:color="auto" w:fill="auto"/>
            <w:vAlign w:val="center"/>
          </w:tcPr>
          <w:p w:rsidR="00D8141B" w:rsidRPr="00DD59F6" w:rsidRDefault="00D8141B" w:rsidP="00286F9C">
            <w:pPr>
              <w:keepNext/>
              <w:keepLines/>
              <w:widowControl w:val="0"/>
              <w:spacing w:before="20" w:after="20" w:line="240" w:lineRule="auto"/>
              <w:jc w:val="center"/>
              <w:rPr>
                <w:rFonts w:eastAsia="Times New Roman" w:cs="Arial"/>
                <w:b/>
                <w:bCs/>
                <w:snapToGrid w:val="0"/>
                <w:sz w:val="20"/>
                <w:szCs w:val="20"/>
                <w:lang w:val="en-GB"/>
              </w:rPr>
            </w:pPr>
            <w:r w:rsidRPr="00DD59F6">
              <w:rPr>
                <w:rFonts w:eastAsia="Times New Roman" w:cs="Arial"/>
                <w:b/>
                <w:bCs/>
                <w:snapToGrid w:val="0"/>
                <w:sz w:val="20"/>
                <w:szCs w:val="20"/>
                <w:lang w:val="en-GB"/>
              </w:rPr>
              <w:t>AMA5 Table</w:t>
            </w:r>
          </w:p>
        </w:tc>
        <w:tc>
          <w:tcPr>
            <w:tcW w:w="1417" w:type="dxa"/>
            <w:shd w:val="pct10" w:color="auto" w:fill="auto"/>
            <w:vAlign w:val="center"/>
          </w:tcPr>
          <w:p w:rsidR="00D8141B" w:rsidRPr="00DD59F6" w:rsidRDefault="00D8141B" w:rsidP="00286F9C">
            <w:pPr>
              <w:keepNext/>
              <w:keepLines/>
              <w:widowControl w:val="0"/>
              <w:spacing w:before="20" w:after="20" w:line="240" w:lineRule="auto"/>
              <w:jc w:val="center"/>
              <w:rPr>
                <w:rFonts w:eastAsia="Times New Roman" w:cs="Arial"/>
                <w:b/>
                <w:bCs/>
                <w:snapToGrid w:val="0"/>
                <w:sz w:val="20"/>
                <w:szCs w:val="20"/>
                <w:lang w:val="en-GB"/>
              </w:rPr>
            </w:pPr>
            <w:r w:rsidRPr="00DD59F6">
              <w:rPr>
                <w:rFonts w:eastAsia="Times New Roman" w:cs="Arial"/>
                <w:b/>
                <w:bCs/>
                <w:snapToGrid w:val="0"/>
                <w:sz w:val="20"/>
                <w:szCs w:val="20"/>
                <w:lang w:val="en-GB"/>
              </w:rPr>
              <w:t>AMA5 page</w:t>
            </w:r>
          </w:p>
        </w:tc>
        <w:tc>
          <w:tcPr>
            <w:tcW w:w="1418" w:type="dxa"/>
            <w:shd w:val="pct10" w:color="auto" w:fill="auto"/>
            <w:vAlign w:val="center"/>
          </w:tcPr>
          <w:p w:rsidR="00D8141B" w:rsidRPr="00DD59F6" w:rsidRDefault="00D8141B" w:rsidP="00286F9C">
            <w:pPr>
              <w:keepNext/>
              <w:keepLines/>
              <w:widowControl w:val="0"/>
              <w:spacing w:before="20" w:after="20" w:line="240" w:lineRule="auto"/>
              <w:jc w:val="center"/>
              <w:rPr>
                <w:rFonts w:eastAsia="Times New Roman" w:cs="Arial"/>
                <w:b/>
                <w:bCs/>
                <w:snapToGrid w:val="0"/>
                <w:sz w:val="20"/>
                <w:szCs w:val="20"/>
                <w:lang w:val="en-GB"/>
              </w:rPr>
            </w:pPr>
            <w:r w:rsidRPr="00DD59F6">
              <w:rPr>
                <w:rFonts w:eastAsia="Times New Roman" w:cs="Arial"/>
                <w:b/>
                <w:bCs/>
                <w:snapToGrid w:val="0"/>
                <w:sz w:val="20"/>
                <w:szCs w:val="20"/>
                <w:lang w:val="en-GB"/>
              </w:rPr>
              <w:t>Potential impairment</w:t>
            </w:r>
          </w:p>
        </w:tc>
        <w:tc>
          <w:tcPr>
            <w:tcW w:w="1417" w:type="dxa"/>
            <w:shd w:val="pct10" w:color="auto" w:fill="auto"/>
            <w:vAlign w:val="center"/>
          </w:tcPr>
          <w:p w:rsidR="00D8141B" w:rsidRPr="00DD59F6" w:rsidRDefault="00D8141B" w:rsidP="00286F9C">
            <w:pPr>
              <w:keepNext/>
              <w:keepLines/>
              <w:widowControl w:val="0"/>
              <w:spacing w:before="20" w:after="20" w:line="240" w:lineRule="auto"/>
              <w:jc w:val="center"/>
              <w:rPr>
                <w:rFonts w:eastAsia="Times New Roman" w:cs="Arial"/>
                <w:b/>
                <w:bCs/>
                <w:snapToGrid w:val="0"/>
                <w:sz w:val="20"/>
                <w:szCs w:val="20"/>
                <w:lang w:val="en-GB"/>
              </w:rPr>
            </w:pPr>
            <w:r w:rsidRPr="00DD59F6">
              <w:rPr>
                <w:rFonts w:eastAsia="Times New Roman" w:cs="Arial"/>
                <w:b/>
                <w:bCs/>
                <w:snapToGrid w:val="0"/>
                <w:sz w:val="20"/>
                <w:szCs w:val="20"/>
                <w:lang w:val="en-GB"/>
              </w:rPr>
              <w:t>Selected impairment</w:t>
            </w:r>
          </w:p>
        </w:tc>
      </w:tr>
      <w:tr w:rsidR="00D8141B" w:rsidRPr="00DD59F6" w:rsidTr="00286F9C">
        <w:trPr>
          <w:trHeight w:val="340"/>
        </w:trPr>
        <w:tc>
          <w:tcPr>
            <w:tcW w:w="738" w:type="dxa"/>
            <w:vAlign w:val="center"/>
          </w:tcPr>
          <w:p w:rsidR="00D8141B" w:rsidRPr="00DD59F6" w:rsidRDefault="00D8141B" w:rsidP="00286F9C">
            <w:pPr>
              <w:keepNext/>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1</w:t>
            </w:r>
          </w:p>
        </w:tc>
        <w:tc>
          <w:tcPr>
            <w:tcW w:w="297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Limb length discrepancy</w:t>
            </w:r>
          </w:p>
        </w:tc>
        <w:tc>
          <w:tcPr>
            <w:tcW w:w="1701"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17–4</w:t>
            </w: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528</w:t>
            </w:r>
          </w:p>
        </w:tc>
        <w:tc>
          <w:tcPr>
            <w:tcW w:w="1418"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Next/>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2</w:t>
            </w:r>
          </w:p>
        </w:tc>
        <w:tc>
          <w:tcPr>
            <w:tcW w:w="297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Gait derangement</w:t>
            </w:r>
          </w:p>
        </w:tc>
        <w:tc>
          <w:tcPr>
            <w:tcW w:w="1701"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17–5</w:t>
            </w: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529</w:t>
            </w:r>
          </w:p>
        </w:tc>
        <w:tc>
          <w:tcPr>
            <w:tcW w:w="1418"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Next/>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3</w:t>
            </w:r>
          </w:p>
        </w:tc>
        <w:tc>
          <w:tcPr>
            <w:tcW w:w="297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Unilateral muscle atrophy</w:t>
            </w:r>
          </w:p>
        </w:tc>
        <w:tc>
          <w:tcPr>
            <w:tcW w:w="1701"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17–6</w:t>
            </w: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530</w:t>
            </w:r>
          </w:p>
        </w:tc>
        <w:tc>
          <w:tcPr>
            <w:tcW w:w="1418"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Next/>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4</w:t>
            </w:r>
          </w:p>
        </w:tc>
        <w:tc>
          <w:tcPr>
            <w:tcW w:w="297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Muscle weakness</w:t>
            </w:r>
          </w:p>
        </w:tc>
        <w:tc>
          <w:tcPr>
            <w:tcW w:w="1701"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17–8</w:t>
            </w: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532</w:t>
            </w:r>
          </w:p>
        </w:tc>
        <w:tc>
          <w:tcPr>
            <w:tcW w:w="1418"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Next/>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5</w:t>
            </w:r>
          </w:p>
        </w:tc>
        <w:tc>
          <w:tcPr>
            <w:tcW w:w="297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Range of motion</w:t>
            </w:r>
          </w:p>
        </w:tc>
        <w:tc>
          <w:tcPr>
            <w:tcW w:w="1701"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17–9 to 17–14</w:t>
            </w: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537</w:t>
            </w:r>
          </w:p>
        </w:tc>
        <w:tc>
          <w:tcPr>
            <w:tcW w:w="1418"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Next/>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6</w:t>
            </w:r>
          </w:p>
        </w:tc>
        <w:tc>
          <w:tcPr>
            <w:tcW w:w="297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Joint ankylosis</w:t>
            </w:r>
          </w:p>
        </w:tc>
        <w:tc>
          <w:tcPr>
            <w:tcW w:w="1701"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17–15 to 17–30</w:t>
            </w: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538–543</w:t>
            </w:r>
          </w:p>
        </w:tc>
        <w:tc>
          <w:tcPr>
            <w:tcW w:w="1418"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Next/>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7</w:t>
            </w:r>
          </w:p>
        </w:tc>
        <w:tc>
          <w:tcPr>
            <w:tcW w:w="297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Arthritis</w:t>
            </w:r>
          </w:p>
        </w:tc>
        <w:tc>
          <w:tcPr>
            <w:tcW w:w="1701"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17–31</w:t>
            </w: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544</w:t>
            </w:r>
          </w:p>
        </w:tc>
        <w:tc>
          <w:tcPr>
            <w:tcW w:w="1418"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Next/>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8</w:t>
            </w:r>
          </w:p>
        </w:tc>
        <w:tc>
          <w:tcPr>
            <w:tcW w:w="297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Amputation</w:t>
            </w:r>
          </w:p>
        </w:tc>
        <w:tc>
          <w:tcPr>
            <w:tcW w:w="1701"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17–32</w:t>
            </w: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545</w:t>
            </w:r>
          </w:p>
        </w:tc>
        <w:tc>
          <w:tcPr>
            <w:tcW w:w="1418"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Next/>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9</w:t>
            </w:r>
          </w:p>
        </w:tc>
        <w:tc>
          <w:tcPr>
            <w:tcW w:w="297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Diagnosis-based estimates</w:t>
            </w:r>
          </w:p>
        </w:tc>
        <w:tc>
          <w:tcPr>
            <w:tcW w:w="1701"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17–33 to 17–35</w:t>
            </w: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546–549</w:t>
            </w:r>
          </w:p>
        </w:tc>
        <w:tc>
          <w:tcPr>
            <w:tcW w:w="1418"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Next/>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10</w:t>
            </w:r>
          </w:p>
        </w:tc>
        <w:tc>
          <w:tcPr>
            <w:tcW w:w="297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Skin loss</w:t>
            </w:r>
          </w:p>
        </w:tc>
        <w:tc>
          <w:tcPr>
            <w:tcW w:w="1701"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17–36</w:t>
            </w: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550</w:t>
            </w:r>
          </w:p>
        </w:tc>
        <w:tc>
          <w:tcPr>
            <w:tcW w:w="1418"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Next/>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11</w:t>
            </w:r>
          </w:p>
        </w:tc>
        <w:tc>
          <w:tcPr>
            <w:tcW w:w="2977"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Peripheral nerve deficit</w:t>
            </w:r>
          </w:p>
        </w:tc>
        <w:tc>
          <w:tcPr>
            <w:tcW w:w="1701"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17–37</w:t>
            </w:r>
          </w:p>
        </w:tc>
        <w:tc>
          <w:tcPr>
            <w:tcW w:w="1417"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552</w:t>
            </w:r>
          </w:p>
        </w:tc>
        <w:tc>
          <w:tcPr>
            <w:tcW w:w="1418"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12</w:t>
            </w:r>
          </w:p>
        </w:tc>
        <w:tc>
          <w:tcPr>
            <w:tcW w:w="2977"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Complex regional pain syndrome</w:t>
            </w:r>
          </w:p>
        </w:tc>
        <w:tc>
          <w:tcPr>
            <w:tcW w:w="1701"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Section 16.5e</w:t>
            </w:r>
          </w:p>
        </w:tc>
        <w:tc>
          <w:tcPr>
            <w:tcW w:w="1417"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495–497</w:t>
            </w:r>
          </w:p>
        </w:tc>
        <w:tc>
          <w:tcPr>
            <w:tcW w:w="1418"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p>
        </w:tc>
      </w:tr>
      <w:tr w:rsidR="00D8141B" w:rsidRPr="00DD59F6" w:rsidTr="00286F9C">
        <w:trPr>
          <w:trHeight w:val="340"/>
        </w:trPr>
        <w:tc>
          <w:tcPr>
            <w:tcW w:w="738" w:type="dxa"/>
            <w:vAlign w:val="center"/>
          </w:tcPr>
          <w:p w:rsidR="00D8141B" w:rsidRPr="00DD59F6" w:rsidRDefault="00D8141B" w:rsidP="00286F9C">
            <w:pPr>
              <w:keepLines/>
              <w:widowControl w:val="0"/>
              <w:spacing w:before="20" w:after="20" w:line="240" w:lineRule="auto"/>
              <w:ind w:left="120"/>
              <w:rPr>
                <w:rFonts w:eastAsia="Times New Roman" w:cs="Arial"/>
                <w:snapToGrid w:val="0"/>
                <w:sz w:val="20"/>
                <w:szCs w:val="20"/>
                <w:lang w:val="en-GB"/>
              </w:rPr>
            </w:pPr>
            <w:r w:rsidRPr="00DD59F6">
              <w:rPr>
                <w:rFonts w:eastAsia="Times New Roman" w:cs="Arial"/>
                <w:snapToGrid w:val="0"/>
                <w:sz w:val="20"/>
                <w:szCs w:val="20"/>
                <w:lang w:val="en-GB"/>
              </w:rPr>
              <w:t>13</w:t>
            </w:r>
          </w:p>
        </w:tc>
        <w:tc>
          <w:tcPr>
            <w:tcW w:w="2977"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Vascular disorders</w:t>
            </w:r>
          </w:p>
        </w:tc>
        <w:tc>
          <w:tcPr>
            <w:tcW w:w="1701"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17–38</w:t>
            </w:r>
          </w:p>
        </w:tc>
        <w:tc>
          <w:tcPr>
            <w:tcW w:w="1417"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r w:rsidRPr="00DD59F6">
              <w:rPr>
                <w:rFonts w:eastAsia="Times New Roman" w:cs="Arial"/>
                <w:snapToGrid w:val="0"/>
                <w:sz w:val="20"/>
                <w:szCs w:val="20"/>
                <w:lang w:val="en-GB"/>
              </w:rPr>
              <w:t>554</w:t>
            </w:r>
          </w:p>
        </w:tc>
        <w:tc>
          <w:tcPr>
            <w:tcW w:w="1418"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p>
        </w:tc>
        <w:tc>
          <w:tcPr>
            <w:tcW w:w="1417" w:type="dxa"/>
            <w:vAlign w:val="center"/>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p>
        </w:tc>
      </w:tr>
      <w:tr w:rsidR="00D8141B" w:rsidRPr="00DD59F6" w:rsidTr="00286F9C">
        <w:trPr>
          <w:cantSplit/>
        </w:trPr>
        <w:tc>
          <w:tcPr>
            <w:tcW w:w="6833" w:type="dxa"/>
            <w:gridSpan w:val="4"/>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r w:rsidRPr="00DD59F6">
              <w:rPr>
                <w:rFonts w:eastAsia="Times New Roman" w:cs="Arial"/>
                <w:b/>
                <w:bCs/>
                <w:snapToGrid w:val="0"/>
                <w:sz w:val="20"/>
                <w:szCs w:val="20"/>
                <w:lang w:val="en-GB"/>
              </w:rPr>
              <w:t xml:space="preserve">Combined impairment rating </w:t>
            </w:r>
            <w:r w:rsidRPr="00DD59F6">
              <w:rPr>
                <w:rFonts w:eastAsia="Times New Roman" w:cs="Arial"/>
                <w:snapToGrid w:val="0"/>
                <w:sz w:val="20"/>
                <w:szCs w:val="20"/>
                <w:lang w:val="en-GB"/>
              </w:rPr>
              <w:br/>
              <w:t>(refer to Table 17–2, p 526 AMA5 for permissible combinations)</w:t>
            </w:r>
          </w:p>
        </w:tc>
        <w:tc>
          <w:tcPr>
            <w:tcW w:w="2835" w:type="dxa"/>
            <w:gridSpan w:val="2"/>
          </w:tcPr>
          <w:p w:rsidR="00D8141B" w:rsidRPr="00DD59F6" w:rsidRDefault="00D8141B" w:rsidP="00286F9C">
            <w:pPr>
              <w:keepLines/>
              <w:widowControl w:val="0"/>
              <w:spacing w:before="20" w:after="20" w:line="240" w:lineRule="auto"/>
              <w:rPr>
                <w:rFonts w:eastAsia="Times New Roman" w:cs="Arial"/>
                <w:snapToGrid w:val="0"/>
                <w:sz w:val="20"/>
                <w:szCs w:val="20"/>
                <w:lang w:val="en-GB"/>
              </w:rPr>
            </w:pPr>
          </w:p>
        </w:tc>
      </w:tr>
    </w:tbl>
    <w:p w:rsidR="00D8141B" w:rsidRPr="00D8141B" w:rsidRDefault="00D8141B" w:rsidP="00DF788A">
      <w:pPr>
        <w:pStyle w:val="BodyText3"/>
        <w:numPr>
          <w:ilvl w:val="0"/>
          <w:numId w:val="0"/>
        </w:numPr>
        <w:tabs>
          <w:tab w:val="clear" w:pos="709"/>
        </w:tabs>
        <w:spacing w:before="240"/>
      </w:pPr>
      <w:r w:rsidRPr="00D8141B">
        <w:t>Potential impairment is the impairment percentage for that method of assessment. Selected impairment is the impairment, or impairments selected, that can be legitimately combined with other lower extremity impairments to give a final lower extremity impairment rating.</w:t>
      </w:r>
    </w:p>
    <w:p w:rsidR="00DF788A" w:rsidRDefault="00DF788A" w:rsidP="00DF788A">
      <w:pPr>
        <w:pStyle w:val="Heading1"/>
        <w:sectPr w:rsidR="00DF788A" w:rsidSect="002947BC">
          <w:pgSz w:w="11906" w:h="16838" w:code="9"/>
          <w:pgMar w:top="1134" w:right="1134" w:bottom="1134" w:left="1134" w:header="0" w:footer="720" w:gutter="0"/>
          <w:cols w:space="720"/>
          <w:titlePg/>
        </w:sectPr>
      </w:pPr>
      <w:bookmarkStart w:id="58" w:name="_Toc422836860"/>
      <w:bookmarkStart w:id="59" w:name="_Toc144874634"/>
    </w:p>
    <w:p w:rsidR="00D8141B" w:rsidRPr="00551741" w:rsidRDefault="00D8141B" w:rsidP="00DF788A">
      <w:pPr>
        <w:pStyle w:val="Heading1"/>
        <w:tabs>
          <w:tab w:val="clear" w:pos="567"/>
          <w:tab w:val="left" w:pos="709"/>
        </w:tabs>
        <w:ind w:hanging="720"/>
      </w:pPr>
      <w:bookmarkStart w:id="60" w:name="_Toc487809947"/>
      <w:r w:rsidRPr="00551741">
        <w:lastRenderedPageBreak/>
        <w:t>The spine</w:t>
      </w:r>
      <w:bookmarkEnd w:id="58"/>
      <w:bookmarkEnd w:id="60"/>
      <w:r w:rsidRPr="00551741">
        <w:t xml:space="preserve"> </w:t>
      </w:r>
      <w:bookmarkEnd w:id="59"/>
    </w:p>
    <w:p w:rsidR="00D8141B" w:rsidRPr="00773899" w:rsidRDefault="00D8141B" w:rsidP="00DB153B">
      <w:pPr>
        <w:pStyle w:val="BodyText4"/>
        <w:numPr>
          <w:ilvl w:val="0"/>
          <w:numId w:val="0"/>
        </w:numPr>
        <w:tabs>
          <w:tab w:val="clear" w:pos="709"/>
        </w:tabs>
        <w:spacing w:after="120"/>
        <w:rPr>
          <w:rFonts w:cs="Times New Roman"/>
          <w:b/>
        </w:rPr>
      </w:pPr>
      <w:bookmarkStart w:id="61" w:name="_Toc144874635"/>
      <w:bookmarkStart w:id="62" w:name="_Toc144875223"/>
      <w:r w:rsidRPr="00773899">
        <w:rPr>
          <w:b/>
        </w:rPr>
        <w:t>Chapter 15, AMA5 (page 373) applies to the assessment of permanent impairment of the spine, subject to the modifications set out below.</w:t>
      </w:r>
      <w:bookmarkEnd w:id="61"/>
      <w:bookmarkEnd w:id="62"/>
      <w:r w:rsidRPr="00773899">
        <w:rPr>
          <w:b/>
        </w:rPr>
        <w:t xml:space="preserve"> Before undertaking an impai</w:t>
      </w:r>
      <w:r w:rsidR="004A5BE6" w:rsidRPr="00773899">
        <w:rPr>
          <w:b/>
        </w:rPr>
        <w:t>rment assessment, users of the</w:t>
      </w:r>
      <w:r w:rsidRPr="00773899">
        <w:rPr>
          <w:b/>
        </w:rPr>
        <w:t xml:space="preserve"> Guidelines must be familiar with the</w:t>
      </w:r>
      <w:r w:rsidRPr="00773899">
        <w:rPr>
          <w:rFonts w:cs="Times New Roman"/>
          <w:b/>
        </w:rPr>
        <w:t xml:space="preserve"> following:</w:t>
      </w:r>
    </w:p>
    <w:p w:rsidR="00D8141B" w:rsidRPr="003F702E" w:rsidRDefault="004A5BE6" w:rsidP="00DB153B">
      <w:pPr>
        <w:pStyle w:val="Bulletpoint"/>
        <w:tabs>
          <w:tab w:val="left" w:pos="1134"/>
        </w:tabs>
        <w:ind w:left="1134"/>
        <w:rPr>
          <w:rFonts w:eastAsia="Calibri"/>
          <w:lang w:val="en-US"/>
        </w:rPr>
      </w:pPr>
      <w:r>
        <w:rPr>
          <w:rFonts w:eastAsia="Calibri"/>
          <w:lang w:val="en-US"/>
        </w:rPr>
        <w:t>The Introduction in the</w:t>
      </w:r>
      <w:r w:rsidR="00D8141B" w:rsidRPr="003F702E">
        <w:rPr>
          <w:rFonts w:eastAsia="Calibri"/>
          <w:lang w:val="en-US"/>
        </w:rPr>
        <w:t xml:space="preserve"> Guidelines</w:t>
      </w:r>
    </w:p>
    <w:p w:rsidR="00D8141B" w:rsidRPr="003F702E" w:rsidRDefault="00D8141B" w:rsidP="00DB153B">
      <w:pPr>
        <w:pStyle w:val="Bulletpoint"/>
        <w:tabs>
          <w:tab w:val="left" w:pos="1134"/>
        </w:tabs>
        <w:ind w:left="1134"/>
        <w:rPr>
          <w:rFonts w:eastAsia="Calibri"/>
          <w:lang w:val="en-US"/>
        </w:rPr>
      </w:pPr>
      <w:r w:rsidRPr="003F702E">
        <w:rPr>
          <w:rFonts w:eastAsia="Calibri"/>
          <w:lang w:val="en-US"/>
        </w:rPr>
        <w:t>Chapters 1 and 2 of AMA5</w:t>
      </w:r>
    </w:p>
    <w:p w:rsidR="00D8141B" w:rsidRPr="003F702E" w:rsidRDefault="00D8141B" w:rsidP="00DB153B">
      <w:pPr>
        <w:pStyle w:val="Bulletpoint"/>
        <w:tabs>
          <w:tab w:val="left" w:pos="1134"/>
        </w:tabs>
        <w:ind w:left="1134"/>
        <w:rPr>
          <w:rFonts w:eastAsia="Calibri"/>
          <w:lang w:val="en-US"/>
        </w:rPr>
      </w:pPr>
      <w:r w:rsidRPr="003F702E">
        <w:rPr>
          <w:rFonts w:eastAsia="Calibri"/>
          <w:lang w:val="en-US"/>
        </w:rPr>
        <w:t>Th</w:t>
      </w:r>
      <w:r w:rsidR="004A5BE6">
        <w:rPr>
          <w:rFonts w:eastAsia="Calibri"/>
          <w:lang w:val="en-US"/>
        </w:rPr>
        <w:t>e appropriate chapter/s of the</w:t>
      </w:r>
      <w:r w:rsidRPr="003F702E">
        <w:rPr>
          <w:rFonts w:eastAsia="Calibri"/>
          <w:lang w:val="en-US"/>
        </w:rPr>
        <w:t xml:space="preserve"> Guidelines for the body system they are assessing.</w:t>
      </w:r>
    </w:p>
    <w:p w:rsidR="00D8141B" w:rsidRPr="003F702E" w:rsidRDefault="00D8141B" w:rsidP="00DB153B">
      <w:pPr>
        <w:pStyle w:val="Bulletpoint"/>
        <w:tabs>
          <w:tab w:val="left" w:pos="1134"/>
        </w:tabs>
        <w:ind w:left="1134"/>
        <w:rPr>
          <w:rFonts w:eastAsia="Calibri"/>
          <w:lang w:val="en-US"/>
        </w:rPr>
      </w:pPr>
      <w:r w:rsidRPr="003F702E">
        <w:rPr>
          <w:rFonts w:eastAsia="Calibri"/>
          <w:lang w:val="en-US"/>
        </w:rPr>
        <w:t>The appropriate chapter/s of AMA5 for the body system they are assessing.</w:t>
      </w:r>
    </w:p>
    <w:p w:rsidR="00D8141B" w:rsidRPr="003F702E" w:rsidRDefault="004A5BE6" w:rsidP="00773899">
      <w:pPr>
        <w:pStyle w:val="BodyText4"/>
        <w:numPr>
          <w:ilvl w:val="0"/>
          <w:numId w:val="0"/>
        </w:numPr>
        <w:spacing w:before="240"/>
        <w:ind w:left="709" w:hanging="709"/>
        <w:rPr>
          <w:bCs/>
        </w:rPr>
      </w:pPr>
      <w:r>
        <w:rPr>
          <w:rFonts w:eastAsia="Calibri"/>
        </w:rPr>
        <w:t>The</w:t>
      </w:r>
      <w:r w:rsidR="00D8141B" w:rsidRPr="003F702E">
        <w:rPr>
          <w:rFonts w:eastAsia="Calibri"/>
        </w:rPr>
        <w:t xml:space="preserve"> Guidelines take precedence over AMA5</w:t>
      </w:r>
      <w:r w:rsidR="00D8141B" w:rsidRPr="003F702E">
        <w:rPr>
          <w:rFonts w:ascii="Calibri" w:eastAsia="Calibri" w:hAnsi="Calibri" w:cs="Calibri"/>
          <w:sz w:val="20"/>
        </w:rPr>
        <w:t>.</w:t>
      </w:r>
    </w:p>
    <w:p w:rsidR="00D8141B" w:rsidRPr="00D8141B" w:rsidRDefault="00D8141B" w:rsidP="00DF788A">
      <w:pPr>
        <w:pStyle w:val="Heading3"/>
      </w:pPr>
      <w:bookmarkStart w:id="63" w:name="_Toc144874636"/>
      <w:bookmarkStart w:id="64" w:name="_Toc144875224"/>
      <w:r w:rsidRPr="00D8141B">
        <w:t>Introduction</w:t>
      </w:r>
      <w:bookmarkEnd w:id="63"/>
      <w:bookmarkEnd w:id="64"/>
    </w:p>
    <w:p w:rsidR="00D8141B" w:rsidRPr="00D8141B" w:rsidRDefault="00D8141B" w:rsidP="00DF788A">
      <w:pPr>
        <w:pStyle w:val="BodyText4"/>
      </w:pPr>
      <w:r w:rsidRPr="00D8141B">
        <w:t>The spine is discussed in chapter 15 (pp 373-431 AMA5).  That chapter presents two methods of assessment, the diagnosis-related estimates method and the range of motion method. Evaluation of impairment of the spine is only to be done using diagnosis-related estimates (DREs).</w:t>
      </w:r>
    </w:p>
    <w:p w:rsidR="00D8141B" w:rsidRPr="00D8141B" w:rsidRDefault="00D8141B" w:rsidP="00DF788A">
      <w:pPr>
        <w:pStyle w:val="BodyText4"/>
        <w:rPr>
          <w:snapToGrid w:val="0"/>
        </w:rPr>
      </w:pPr>
      <w:r w:rsidRPr="00D8141B">
        <w:rPr>
          <w:snapToGrid w:val="0"/>
        </w:rPr>
        <w:t>The DRE method relies especially on evidence of neurological deficits and less common, adverse structural changes, such as fractures and dislocations. Using this method, DREs are differentiated according to clinical findings that can be verified by standard medical procedures.</w:t>
      </w:r>
    </w:p>
    <w:p w:rsidR="00D8141B" w:rsidRPr="00D8141B" w:rsidRDefault="00D8141B" w:rsidP="00DF788A">
      <w:pPr>
        <w:pStyle w:val="BodyText4"/>
        <w:rPr>
          <w:snapToGrid w:val="0"/>
        </w:rPr>
      </w:pPr>
      <w:r w:rsidRPr="00D8141B">
        <w:rPr>
          <w:snapToGrid w:val="0"/>
        </w:rPr>
        <w:t>The assessment of spinal impairment is made when the person's condition has stabilised and has reached maximum medical improvement. This is considered to occur when the worker's condition is well stabilised and unlikely to change substantially in the next year with or without medical treatment. If surgery has been performed, the outcome of the surgery as well as structural inclusions must be taken into consideration when making the assessment.</w:t>
      </w:r>
    </w:p>
    <w:p w:rsidR="00D8141B" w:rsidRPr="00D8141B" w:rsidRDefault="00D8141B" w:rsidP="00DF788A">
      <w:pPr>
        <w:pStyle w:val="Heading3"/>
        <w:rPr>
          <w:sz w:val="40"/>
        </w:rPr>
      </w:pPr>
      <w:bookmarkStart w:id="65" w:name="_Toc144874637"/>
      <w:bookmarkStart w:id="66" w:name="_Toc144875225"/>
      <w:r w:rsidRPr="00D8141B">
        <w:t>Assessment of the spine</w:t>
      </w:r>
      <w:bookmarkEnd w:id="65"/>
      <w:bookmarkEnd w:id="66"/>
    </w:p>
    <w:p w:rsidR="00D8141B" w:rsidRPr="00D8141B" w:rsidRDefault="00D8141B" w:rsidP="00DF788A">
      <w:pPr>
        <w:pStyle w:val="BodyText4"/>
      </w:pPr>
      <w:r w:rsidRPr="00D8141B">
        <w:t>The assessment should include a comprehensive, accurate history, a review of all pertinent records available at the assessment, a comprehensive description of the individual's current symptoms and their relationship to daily activities, a careful and thorough physical examination, and all findings of relevant laboratory, imaging, diagnostic and ancillary tests available at the assessment. Imaging findings that are used to support the impairment rating should be concordant with symptoms and findings on examination. The assessor should record whether diagnostic tests and radiographs were seen or whether they relied solely on reports.</w:t>
      </w:r>
    </w:p>
    <w:p w:rsidR="00D8141B" w:rsidRPr="00D8141B" w:rsidRDefault="00D8141B" w:rsidP="00DF788A">
      <w:pPr>
        <w:pStyle w:val="BodyText4"/>
        <w:rPr>
          <w:snapToGrid w:val="0"/>
        </w:rPr>
      </w:pPr>
      <w:r w:rsidRPr="00D8141B">
        <w:t>The DRE model for assessment of spinal impairment should be used. The range of motion model (sections 15.8-15.13 inclusive, AMA5 pp 398-427) should not be used</w:t>
      </w:r>
      <w:r w:rsidRPr="00D8141B">
        <w:rPr>
          <w:snapToGrid w:val="0"/>
        </w:rPr>
        <w:t xml:space="preserve">. </w:t>
      </w:r>
    </w:p>
    <w:p w:rsidR="00D8141B" w:rsidRPr="00D8141B" w:rsidRDefault="00D8141B" w:rsidP="00DF788A">
      <w:pPr>
        <w:pStyle w:val="BodyText4"/>
        <w:rPr>
          <w:i/>
          <w:snapToGrid w:val="0"/>
          <w:u w:val="single"/>
        </w:rPr>
      </w:pPr>
      <w:r w:rsidRPr="00D8141B">
        <w:rPr>
          <w:rFonts w:cs="Times New Roman"/>
        </w:rPr>
        <w:t>If a person has spinal cord or cauda equina damage, including bowel, bladder and/or sexual dysfunction, he or she is assessed according to the method described in section 15.7 and table 15.6 (a) to (g) (pp 395-398  AMA5).</w:t>
      </w:r>
    </w:p>
    <w:p w:rsidR="00D8141B" w:rsidRPr="00D8141B" w:rsidRDefault="00D8141B" w:rsidP="00DF788A">
      <w:pPr>
        <w:pStyle w:val="BodyText4"/>
      </w:pPr>
      <w:r w:rsidRPr="00D8141B">
        <w:t>If an assessor is unable to distinguish between two DRE categories, then the higher of those two categories should apply. The reasons for the inability to differentiate should be noted in the assessor's report.</w:t>
      </w:r>
    </w:p>
    <w:p w:rsidR="00D8141B" w:rsidRPr="00D8141B" w:rsidRDefault="00D8141B" w:rsidP="00DF788A">
      <w:pPr>
        <w:pStyle w:val="BodyText4"/>
      </w:pPr>
      <w:r w:rsidRPr="00D8141B">
        <w:t xml:space="preserve">Possible influence of future treatment should not form part of the impairment assessment. The assessment should be made on the basis of the person's status at the time of interview </w:t>
      </w:r>
      <w:r w:rsidRPr="00D8141B">
        <w:lastRenderedPageBreak/>
        <w:t>and examination, if the assessor is convinced that the condition is stable and permanent. Likewise, the possibility of subsequent deterioration, as a consequence of the underlying condition, should not be factored into the impairment evaluation. Commentary can be made regarding the possible influence, potential or requirements for further treatment, but this does not affect the assessment of the individual at the time of impairment evaluation.</w:t>
      </w:r>
    </w:p>
    <w:p w:rsidR="00D8141B" w:rsidRPr="00D8141B" w:rsidRDefault="00D8141B" w:rsidP="00DF788A">
      <w:pPr>
        <w:pStyle w:val="BodyText4"/>
      </w:pPr>
      <w:r w:rsidRPr="00D8141B">
        <w:t>All spinal impairments are to be expressed as a percentage of WPI.</w:t>
      </w:r>
    </w:p>
    <w:p w:rsidR="00D8141B" w:rsidRPr="00D8141B" w:rsidRDefault="00D8141B" w:rsidP="00DF788A">
      <w:pPr>
        <w:pStyle w:val="BodyText4"/>
        <w:rPr>
          <w:snapToGrid w:val="0"/>
        </w:rPr>
      </w:pPr>
      <w:r w:rsidRPr="00D8141B">
        <w:rPr>
          <w:snapToGrid w:val="0"/>
        </w:rPr>
        <w:t>Section 15.1a (pp 374-377 AMA5) is a valuable summary of history and physical examination, and should be thoroughly familiar to all assessors</w:t>
      </w:r>
    </w:p>
    <w:p w:rsidR="00D8141B" w:rsidRPr="00D8141B" w:rsidRDefault="00D8141B" w:rsidP="00DF788A">
      <w:pPr>
        <w:pStyle w:val="BodyText4"/>
        <w:rPr>
          <w:snapToGrid w:val="0"/>
        </w:rPr>
      </w:pPr>
      <w:r w:rsidRPr="00D8141B">
        <w:rPr>
          <w:snapToGrid w:val="0"/>
        </w:rPr>
        <w:t>The assessor should include in the report a description of how the impairment rating was calculated, with reference to the relev</w:t>
      </w:r>
      <w:r w:rsidR="00DF788A">
        <w:rPr>
          <w:snapToGrid w:val="0"/>
        </w:rPr>
        <w:t>ant tables and/or figures used.</w:t>
      </w:r>
    </w:p>
    <w:p w:rsidR="00D8141B" w:rsidRPr="00D8141B" w:rsidRDefault="00D8141B" w:rsidP="00DF788A">
      <w:pPr>
        <w:pStyle w:val="BodyText4"/>
      </w:pPr>
      <w:r w:rsidRPr="00D8141B">
        <w:rPr>
          <w:rFonts w:cs="Times New Roman"/>
        </w:rPr>
        <w:t>The optimal method to measure the percentage compression of a vertebral body is a well centred plain x-ray. Assessors should state the method they have used. The loss of vertebral height should be measured at the most compressed part and must be documented in the impairment evaluation report. The estimated normal height of the compressed vertebra should be determined where possible by averaging the heights of the two adjacent (unaffected and normal) vertebrae.</w:t>
      </w:r>
    </w:p>
    <w:p w:rsidR="00D8141B" w:rsidRPr="00D8141B" w:rsidRDefault="00D8141B" w:rsidP="00DF788A">
      <w:pPr>
        <w:pStyle w:val="Heading3"/>
        <w:rPr>
          <w:snapToGrid w:val="0"/>
        </w:rPr>
      </w:pPr>
      <w:bookmarkStart w:id="67" w:name="_Toc144874638"/>
      <w:bookmarkStart w:id="68" w:name="_Toc144875226"/>
      <w:r w:rsidRPr="00D8141B">
        <w:rPr>
          <w:snapToGrid w:val="0"/>
        </w:rPr>
        <w:t>Specific interpretation of AMA5</w:t>
      </w:r>
      <w:bookmarkEnd w:id="67"/>
      <w:bookmarkEnd w:id="68"/>
    </w:p>
    <w:p w:rsidR="00D8141B" w:rsidRPr="00D8141B" w:rsidRDefault="00D8141B" w:rsidP="00DF788A">
      <w:pPr>
        <w:pStyle w:val="BodyText4"/>
      </w:pPr>
      <w:r w:rsidRPr="00D8141B">
        <w:rPr>
          <w:snapToGrid w:val="0"/>
        </w:rPr>
        <w:t>The range-of-motion (ROM) method is not used, hence any reference to this is omitted (including table 15-7, p 404</w:t>
      </w:r>
      <w:r w:rsidR="00B67C22">
        <w:rPr>
          <w:snapToGrid w:val="0"/>
        </w:rPr>
        <w:t xml:space="preserve"> </w:t>
      </w:r>
      <w:r w:rsidRPr="00D8141B">
        <w:rPr>
          <w:snapToGrid w:val="0"/>
        </w:rPr>
        <w:t>AMA5).</w:t>
      </w:r>
    </w:p>
    <w:p w:rsidR="00D8141B" w:rsidRPr="00D8141B" w:rsidRDefault="00D8141B" w:rsidP="00DF788A">
      <w:pPr>
        <w:pStyle w:val="BodyText4"/>
      </w:pPr>
      <w:r w:rsidRPr="00D8141B">
        <w:t>Motion segment integrity alteration can be either increased translational or angular motion, or decreased motion resulting from developmental changes, fusion, fracture healing, healed infection or surgical arthrodesis. Motion of the individual spine segments cannot be determined by a physical examination, but is evaluated with flexion and extension radiography.</w:t>
      </w:r>
    </w:p>
    <w:p w:rsidR="00D8141B" w:rsidRPr="00D8141B" w:rsidRDefault="00D8141B" w:rsidP="00DF788A">
      <w:pPr>
        <w:pStyle w:val="BodyText4"/>
      </w:pPr>
      <w:r w:rsidRPr="00D8141B">
        <w:t>The assessment of altered motion segment integrity is to be based upon a report of trauma resulting in an injury, and not on developmental or degenerative changes.</w:t>
      </w:r>
    </w:p>
    <w:p w:rsidR="00D8141B" w:rsidRPr="00D8141B" w:rsidRDefault="00D8141B" w:rsidP="00DF788A">
      <w:pPr>
        <w:pStyle w:val="BodyText4"/>
      </w:pPr>
      <w:r w:rsidRPr="00D8141B">
        <w:t xml:space="preserve">When routine imaging is normal and severe trauma is absent, motion segment disturbance is rare. Thus, flexion and extension imaging is indicated only when a history of trauma or other imaging leads the physician to suspect alteration of motion segment integrity. </w:t>
      </w:r>
    </w:p>
    <w:p w:rsidR="00D8141B" w:rsidRPr="00D8141B" w:rsidRDefault="00D8141B" w:rsidP="00DF788A">
      <w:pPr>
        <w:pStyle w:val="Heading3"/>
        <w:rPr>
          <w:snapToGrid w:val="0"/>
        </w:rPr>
      </w:pPr>
      <w:bookmarkStart w:id="69" w:name="_Toc144874639"/>
      <w:bookmarkStart w:id="70" w:name="_Toc144875227"/>
      <w:r w:rsidRPr="00D8141B">
        <w:rPr>
          <w:snapToGrid w:val="0"/>
        </w:rPr>
        <w:t>DRE definitions of clinical findings</w:t>
      </w:r>
      <w:bookmarkEnd w:id="69"/>
      <w:bookmarkEnd w:id="70"/>
    </w:p>
    <w:p w:rsidR="00D8141B" w:rsidRPr="00D8141B" w:rsidRDefault="00D8141B" w:rsidP="00DF788A">
      <w:pPr>
        <w:pStyle w:val="BodyText4"/>
        <w:rPr>
          <w:szCs w:val="20"/>
        </w:rPr>
      </w:pPr>
      <w:r w:rsidRPr="00D8141B">
        <w:t>The preferred method for recording of the range of motion is as a fraction or percent of the range or loss of the range. For example, either 'cervical movement was one half (or 50 per cent) of the normal range of motion' or 'there was a loss of one half (or 50 per cent) of the normal range of movement of the cervical spine'.</w:t>
      </w:r>
    </w:p>
    <w:p w:rsidR="00D8141B" w:rsidRPr="00D8141B" w:rsidRDefault="00D8141B" w:rsidP="00DF788A">
      <w:pPr>
        <w:pStyle w:val="BodyText4"/>
        <w:rPr>
          <w:szCs w:val="20"/>
        </w:rPr>
      </w:pPr>
      <w:r w:rsidRPr="000E209C">
        <w:rPr>
          <w:szCs w:val="20"/>
        </w:rPr>
        <w:t>DRE II is a clinical diagnosis based upon the features of the history of the injury and clinical features.</w:t>
      </w:r>
      <w:r w:rsidRPr="000E209C">
        <w:rPr>
          <w:rFonts w:ascii="Calibri" w:eastAsia="Calibri" w:hAnsi="Calibri" w:cs="Calibri"/>
          <w:bCs/>
          <w:sz w:val="20"/>
          <w:szCs w:val="20"/>
        </w:rPr>
        <w:t xml:space="preserve"> </w:t>
      </w:r>
      <w:r w:rsidR="000E209C" w:rsidRPr="000E209C">
        <w:rPr>
          <w:bCs/>
          <w:szCs w:val="20"/>
        </w:rPr>
        <w:t xml:space="preserve">Clinical features which are consistent with DRE II and which are present at the time of assessment include </w:t>
      </w:r>
      <w:r w:rsidR="000E209C" w:rsidRPr="000E209C">
        <w:rPr>
          <w:bCs/>
          <w:iCs/>
          <w:szCs w:val="20"/>
        </w:rPr>
        <w:t xml:space="preserve">radicular symptoms in the absence of clinical signs (that is, non-verifiable radicular complaints), </w:t>
      </w:r>
      <w:r w:rsidR="000E209C" w:rsidRPr="000E209C">
        <w:rPr>
          <w:bCs/>
          <w:szCs w:val="20"/>
        </w:rPr>
        <w:t>muscle guarding or spasm, or asymmetric loss of range of movement</w:t>
      </w:r>
      <w:r w:rsidRPr="000E209C">
        <w:rPr>
          <w:szCs w:val="20"/>
        </w:rPr>
        <w:t xml:space="preserve">. Localised (not generalised) tenderness may be present. In the lumbar spine additional features include a reversal of the lumbosacral rhythm when straightening from the flexed position and </w:t>
      </w:r>
      <w:r w:rsidRPr="00D8141B">
        <w:rPr>
          <w:szCs w:val="20"/>
        </w:rPr>
        <w:t xml:space="preserve">compensatory movement for an immobile spine such as flexion from the hips. In assigning category DRE II, the assessor must provide detailed reasons why the category was chosen.   </w:t>
      </w:r>
    </w:p>
    <w:p w:rsidR="00D8141B" w:rsidRPr="00D8141B" w:rsidRDefault="00D8141B" w:rsidP="00DF788A">
      <w:pPr>
        <w:pStyle w:val="BodyText4"/>
        <w:rPr>
          <w:szCs w:val="20"/>
        </w:rPr>
      </w:pPr>
      <w:r w:rsidRPr="00D8141B">
        <w:rPr>
          <w:szCs w:val="20"/>
        </w:rPr>
        <w:t xml:space="preserve">Asymmetric or non-uniform loss of range of motion may be present in any of the three planes of spinal movement. Asymmetry during motion caused by muscle guarding or spasm is included in the definition. </w:t>
      </w:r>
    </w:p>
    <w:p w:rsidR="00D8141B" w:rsidRPr="00D8141B" w:rsidRDefault="00D8141B" w:rsidP="00DF788A">
      <w:pPr>
        <w:pStyle w:val="BodyText4"/>
        <w:numPr>
          <w:ilvl w:val="0"/>
          <w:numId w:val="0"/>
        </w:numPr>
        <w:ind w:left="709"/>
      </w:pPr>
      <w:r w:rsidRPr="00D8141B">
        <w:lastRenderedPageBreak/>
        <w:t>Asymmetric loss of range of motion may be present for flexion and extension. For example, if cervical flexion is half the normal range (loss of half the normal range) and cervical extension is one third of the normal range (loss of two-thirds of the range), asymmetric loss of range of motion may be considered to be present.</w:t>
      </w:r>
    </w:p>
    <w:p w:rsidR="00D8141B" w:rsidRPr="001936FF" w:rsidRDefault="00D8141B" w:rsidP="00DF788A">
      <w:pPr>
        <w:pStyle w:val="BodyText4"/>
        <w:rPr>
          <w:spacing w:val="-4"/>
        </w:rPr>
      </w:pPr>
      <w:r w:rsidRPr="001936FF">
        <w:rPr>
          <w:spacing w:val="-4"/>
        </w:rPr>
        <w:t>While imaging and other studies may assist medical assessors in making a diagnosis, the presence of a morphological variation from 'normal' in an imaging study does not confirm the diagnosis. To be of diagnostic value, imaging studies must be concordant with clinical symptoms and signs. In other words, an imaging test is useful to confirm a diagnosis, but an imaging study alone is insufficient to qualify for a DRE category (excepting spinal fractures).</w:t>
      </w:r>
    </w:p>
    <w:p w:rsidR="00D8141B" w:rsidRPr="00D8141B" w:rsidRDefault="00D8141B" w:rsidP="00DF788A">
      <w:pPr>
        <w:pStyle w:val="BodyText4"/>
        <w:rPr>
          <w:szCs w:val="20"/>
        </w:rPr>
      </w:pPr>
      <w:r w:rsidRPr="00D8141B">
        <w:rPr>
          <w:szCs w:val="20"/>
        </w:rPr>
        <w:t>The clinical findings used to place an individual in a DRE category are described in box 15-1 (pp 382-383 AMA5).</w:t>
      </w:r>
    </w:p>
    <w:p w:rsidR="00D8141B" w:rsidRPr="00D8141B" w:rsidRDefault="00D8141B" w:rsidP="00DF788A">
      <w:pPr>
        <w:pStyle w:val="BodyText4"/>
        <w:numPr>
          <w:ilvl w:val="0"/>
          <w:numId w:val="0"/>
        </w:numPr>
        <w:ind w:left="709"/>
        <w:rPr>
          <w:szCs w:val="20"/>
        </w:rPr>
      </w:pPr>
      <w:r w:rsidRPr="00D8141B">
        <w:rPr>
          <w:szCs w:val="20"/>
        </w:rPr>
        <w:t>The reference to 'electro-diagnostic verification of radiculopathy' should be disregarded.</w:t>
      </w:r>
    </w:p>
    <w:p w:rsidR="006B1515" w:rsidRDefault="00D8141B" w:rsidP="00DF788A">
      <w:pPr>
        <w:pStyle w:val="BodyText4"/>
        <w:numPr>
          <w:ilvl w:val="0"/>
          <w:numId w:val="0"/>
        </w:numPr>
        <w:ind w:left="709"/>
        <w:rPr>
          <w:snapToGrid w:val="0"/>
        </w:rPr>
      </w:pPr>
      <w:r w:rsidRPr="00D8141B">
        <w:rPr>
          <w:snapToGrid w:val="0"/>
        </w:rPr>
        <w:t>(The use of electro-diagnostic procedures such as electromyography is proscribed as an assessment aid for decisions about the category of impairment into which a person should be placed. It is considered that competent assessors can make decisions about which ORE category a person should be placed in from the clinical features alone. The use of electro-diagnostic differentiators is generally unnecessary).</w:t>
      </w:r>
    </w:p>
    <w:p w:rsidR="00D8141B" w:rsidRPr="00D8141B" w:rsidRDefault="00D8141B" w:rsidP="00DF788A">
      <w:pPr>
        <w:pStyle w:val="BodyText4"/>
        <w:rPr>
          <w:snapToGrid w:val="0"/>
        </w:rPr>
      </w:pPr>
      <w:r w:rsidRPr="00D8141B">
        <w:rPr>
          <w:snapToGrid w:val="0"/>
        </w:rPr>
        <w:t xml:space="preserve">The cauda equina syndrome is defined in AMA5 (Chapter 15, p 383, Box 15.1) as 'manifested by bowel or bladder dysfunction, saddle anaesthesia and variable loss of motor and sensory function in the lower limbs'. For a cauda syndrome to be </w:t>
      </w:r>
      <w:r w:rsidR="00555C75" w:rsidRPr="00D8141B">
        <w:rPr>
          <w:snapToGrid w:val="0"/>
        </w:rPr>
        <w:t>present</w:t>
      </w:r>
      <w:r w:rsidRPr="00D8141B">
        <w:rPr>
          <w:snapToGrid w:val="0"/>
        </w:rPr>
        <w:t xml:space="preserve"> there must be bilateral neurological signs in the lower limbs and sacral region. Additionally, there must be a radiological study which demonstrates a lesion in the spinal canal causing a mass effect on the cauda equina with compression of multiple nerve roots. The mass effect would be expected to be large and significant. A lumbar MRI scan is the diagnostic investigation of choice for this condition. A cauda equina syndrome may occasionally complicate lumbar spine surgery when a mass lesion will not be present in the spinal canal on radiological examination</w:t>
      </w:r>
    </w:p>
    <w:p w:rsidR="00D8141B" w:rsidRPr="00D8141B" w:rsidRDefault="00D8141B" w:rsidP="00DF788A">
      <w:pPr>
        <w:pStyle w:val="BodyText4"/>
        <w:rPr>
          <w:snapToGrid w:val="0"/>
        </w:rPr>
      </w:pPr>
      <w:r w:rsidRPr="00D8141B">
        <w:rPr>
          <w:snapToGrid w:val="0"/>
        </w:rPr>
        <w:t>The cauda equina syndrome and neurogenic bladder disorder are to be assessed by the method prescribed in the spine chapter of AMA5, section 15.7, pp 395-398. For an assessment of neurological impairment of bowel or bladder, there must be objective evidence of spinal cord, or cauda equina injury.</w:t>
      </w:r>
    </w:p>
    <w:p w:rsidR="00D8141B" w:rsidRPr="00D8141B" w:rsidRDefault="00D8141B" w:rsidP="00DF788A">
      <w:pPr>
        <w:pStyle w:val="Heading3"/>
      </w:pPr>
      <w:bookmarkStart w:id="71" w:name="_Toc144874640"/>
      <w:bookmarkStart w:id="72" w:name="_Toc144875228"/>
      <w:r w:rsidRPr="00D8141B">
        <w:t>Applying the DRE method</w:t>
      </w:r>
      <w:bookmarkEnd w:id="71"/>
      <w:bookmarkEnd w:id="72"/>
    </w:p>
    <w:p w:rsidR="00D8141B" w:rsidRPr="00D8141B" w:rsidRDefault="00D8141B" w:rsidP="00DF788A">
      <w:pPr>
        <w:pStyle w:val="BodyText4"/>
        <w:rPr>
          <w:sz w:val="24"/>
        </w:rPr>
      </w:pPr>
      <w:r w:rsidRPr="00D8141B">
        <w:t xml:space="preserve">The specific procedures and directions section of AMA5 (section 15.2a, pp 380-381) indicates the steps that should be followed to evaluate impairment of the spine (excluding references to the ROM method). </w:t>
      </w:r>
      <w:r w:rsidRPr="00D8141B">
        <w:rPr>
          <w:u w:val="single"/>
        </w:rPr>
        <w:t>Table 4.1</w:t>
      </w:r>
      <w:r w:rsidRPr="00D8141B">
        <w:t xml:space="preserve"> is a simplified version of that section, incorporating the amendments listed above</w:t>
      </w:r>
    </w:p>
    <w:p w:rsidR="00D8141B" w:rsidRDefault="00D8141B" w:rsidP="00DB153B">
      <w:pPr>
        <w:pStyle w:val="BodyText4"/>
        <w:numPr>
          <w:ilvl w:val="0"/>
          <w:numId w:val="0"/>
        </w:numPr>
        <w:spacing w:after="60"/>
        <w:ind w:left="709"/>
        <w:jc w:val="center"/>
        <w:rPr>
          <w:b/>
          <w:snapToGrid w:val="0"/>
          <w:sz w:val="24"/>
          <w:szCs w:val="24"/>
        </w:rPr>
      </w:pPr>
      <w:bookmarkStart w:id="73" w:name="_Toc144874641"/>
      <w:bookmarkStart w:id="74" w:name="_Toc144875229"/>
      <w:r w:rsidRPr="00DF788A">
        <w:rPr>
          <w:b/>
          <w:snapToGrid w:val="0"/>
          <w:sz w:val="24"/>
          <w:szCs w:val="24"/>
        </w:rPr>
        <w:t>Table 4.1: Procedures in evaluating impairment of the spine</w:t>
      </w:r>
      <w:bookmarkEnd w:id="73"/>
      <w:bookmarkEnd w:id="74"/>
    </w:p>
    <w:tbl>
      <w:tblPr>
        <w:tblStyle w:val="TableGrid"/>
        <w:tblW w:w="0" w:type="auto"/>
        <w:tblInd w:w="709" w:type="dxa"/>
        <w:tblLook w:val="04A0" w:firstRow="1" w:lastRow="0" w:firstColumn="1" w:lastColumn="0" w:noHBand="0" w:noVBand="1"/>
      </w:tblPr>
      <w:tblGrid>
        <w:gridCol w:w="8919"/>
      </w:tblGrid>
      <w:tr w:rsidR="00EC2E94" w:rsidRPr="00EC2E94" w:rsidTr="00EC2E94">
        <w:tc>
          <w:tcPr>
            <w:tcW w:w="9628" w:type="dxa"/>
          </w:tcPr>
          <w:p w:rsidR="00EC2E94" w:rsidRPr="001936FF" w:rsidRDefault="00EC2E94" w:rsidP="00EC2E94">
            <w:pPr>
              <w:pStyle w:val="BodyText4"/>
              <w:numPr>
                <w:ilvl w:val="0"/>
                <w:numId w:val="0"/>
              </w:numPr>
              <w:spacing w:before="20" w:after="20"/>
              <w:jc w:val="center"/>
              <w:rPr>
                <w:b/>
                <w:snapToGrid w:val="0"/>
              </w:rPr>
            </w:pPr>
            <w:r w:rsidRPr="001936FF">
              <w:rPr>
                <w:b/>
                <w:snapToGrid w:val="0"/>
              </w:rPr>
              <w:t>History</w:t>
            </w:r>
          </w:p>
          <w:p w:rsidR="00EC2E94" w:rsidRPr="001936FF" w:rsidRDefault="00EC2E94" w:rsidP="00EC2E94">
            <w:pPr>
              <w:pStyle w:val="BodyText4"/>
              <w:numPr>
                <w:ilvl w:val="0"/>
                <w:numId w:val="0"/>
              </w:numPr>
              <w:spacing w:before="20" w:after="20"/>
              <w:jc w:val="center"/>
              <w:rPr>
                <w:b/>
                <w:snapToGrid w:val="0"/>
              </w:rPr>
            </w:pPr>
            <w:r w:rsidRPr="001936FF">
              <w:rPr>
                <w:b/>
                <w:snapToGrid w:val="0"/>
              </w:rPr>
              <w:t>Physical examination</w:t>
            </w:r>
          </w:p>
          <w:p w:rsidR="00EC2E94" w:rsidRPr="001936FF" w:rsidRDefault="00EC2E94" w:rsidP="00EC2E94">
            <w:pPr>
              <w:pStyle w:val="BodyText4"/>
              <w:numPr>
                <w:ilvl w:val="0"/>
                <w:numId w:val="0"/>
              </w:numPr>
              <w:spacing w:before="20" w:after="20"/>
              <w:jc w:val="center"/>
              <w:rPr>
                <w:b/>
                <w:snapToGrid w:val="0"/>
              </w:rPr>
            </w:pPr>
            <w:r w:rsidRPr="001936FF">
              <w:rPr>
                <w:b/>
                <w:bCs/>
                <w:snapToGrid w:val="0"/>
                <w:lang w:val="en-GB"/>
              </w:rPr>
              <w:sym w:font="Symbol" w:char="F0DF"/>
            </w:r>
          </w:p>
          <w:p w:rsidR="00EC2E94" w:rsidRPr="001936FF" w:rsidRDefault="00EC2E94" w:rsidP="00EC2E94">
            <w:pPr>
              <w:pStyle w:val="BodyText4"/>
              <w:numPr>
                <w:ilvl w:val="0"/>
                <w:numId w:val="0"/>
              </w:numPr>
              <w:spacing w:before="20" w:after="20"/>
              <w:jc w:val="center"/>
              <w:rPr>
                <w:b/>
                <w:snapToGrid w:val="0"/>
              </w:rPr>
            </w:pPr>
            <w:r w:rsidRPr="001936FF">
              <w:rPr>
                <w:b/>
                <w:snapToGrid w:val="0"/>
              </w:rPr>
              <w:t>Diagnosis</w:t>
            </w:r>
          </w:p>
          <w:p w:rsidR="00EC2E94" w:rsidRPr="001936FF" w:rsidRDefault="00EC2E94" w:rsidP="00EC2E94">
            <w:pPr>
              <w:pStyle w:val="BodyText4"/>
              <w:numPr>
                <w:ilvl w:val="0"/>
                <w:numId w:val="0"/>
              </w:numPr>
              <w:spacing w:before="20" w:after="20"/>
              <w:jc w:val="center"/>
              <w:rPr>
                <w:b/>
                <w:snapToGrid w:val="0"/>
              </w:rPr>
            </w:pPr>
            <w:r w:rsidRPr="001936FF">
              <w:rPr>
                <w:b/>
                <w:bCs/>
                <w:snapToGrid w:val="0"/>
                <w:lang w:val="en-GB"/>
              </w:rPr>
              <w:sym w:font="Symbol" w:char="F0DF"/>
            </w:r>
          </w:p>
          <w:p w:rsidR="00EC2E94" w:rsidRPr="001936FF" w:rsidRDefault="00EC2E94" w:rsidP="00EC2E94">
            <w:pPr>
              <w:pStyle w:val="BodyText4"/>
              <w:numPr>
                <w:ilvl w:val="0"/>
                <w:numId w:val="0"/>
              </w:numPr>
              <w:spacing w:before="20" w:after="20"/>
              <w:jc w:val="center"/>
              <w:rPr>
                <w:b/>
                <w:snapToGrid w:val="0"/>
              </w:rPr>
            </w:pPr>
            <w:r w:rsidRPr="001936FF">
              <w:rPr>
                <w:b/>
                <w:snapToGrid w:val="0"/>
              </w:rPr>
              <w:t>Use clinical findings to place an individual’s condition</w:t>
            </w:r>
            <w:r w:rsidRPr="001936FF">
              <w:rPr>
                <w:b/>
                <w:snapToGrid w:val="0"/>
              </w:rPr>
              <w:br/>
              <w:t>in a DRE category according to Box 15.1, AMA5 pp 382-383</w:t>
            </w:r>
          </w:p>
          <w:p w:rsidR="00EC2E94" w:rsidRPr="001936FF" w:rsidRDefault="00EC2E94" w:rsidP="00EC2E94">
            <w:pPr>
              <w:pStyle w:val="BodyText4"/>
              <w:numPr>
                <w:ilvl w:val="0"/>
                <w:numId w:val="0"/>
              </w:numPr>
              <w:spacing w:before="20" w:after="20"/>
              <w:jc w:val="center"/>
              <w:rPr>
                <w:b/>
                <w:snapToGrid w:val="0"/>
              </w:rPr>
            </w:pPr>
            <w:r w:rsidRPr="001936FF">
              <w:rPr>
                <w:b/>
                <w:bCs/>
                <w:snapToGrid w:val="0"/>
                <w:lang w:val="en-GB"/>
              </w:rPr>
              <w:sym w:font="Symbol" w:char="F0DF"/>
            </w:r>
          </w:p>
          <w:p w:rsidR="00EC2E94" w:rsidRPr="001936FF" w:rsidRDefault="00EC2E94" w:rsidP="00EC2E94">
            <w:pPr>
              <w:pStyle w:val="BodyText4"/>
              <w:numPr>
                <w:ilvl w:val="0"/>
                <w:numId w:val="0"/>
              </w:numPr>
              <w:spacing w:before="20" w:after="20"/>
              <w:jc w:val="center"/>
              <w:rPr>
                <w:b/>
                <w:snapToGrid w:val="0"/>
              </w:rPr>
            </w:pPr>
            <w:r w:rsidRPr="001936FF">
              <w:rPr>
                <w:b/>
                <w:snapToGrid w:val="0"/>
              </w:rPr>
              <w:t>Choose the category that determines the percentage impairment:</w:t>
            </w:r>
          </w:p>
          <w:p w:rsidR="00EC2E94" w:rsidRPr="00EC2E94" w:rsidRDefault="00EC2E94" w:rsidP="001936FF">
            <w:pPr>
              <w:pStyle w:val="BodyText4"/>
              <w:numPr>
                <w:ilvl w:val="0"/>
                <w:numId w:val="0"/>
              </w:numPr>
              <w:tabs>
                <w:tab w:val="clear" w:pos="709"/>
              </w:tabs>
              <w:spacing w:before="20" w:after="20"/>
              <w:jc w:val="center"/>
              <w:rPr>
                <w:snapToGrid w:val="0"/>
                <w:sz w:val="22"/>
                <w:szCs w:val="22"/>
              </w:rPr>
            </w:pPr>
            <w:r w:rsidRPr="001936FF">
              <w:rPr>
                <w:b/>
                <w:bCs/>
                <w:snapToGrid w:val="0"/>
                <w:lang w:val="en-GB"/>
              </w:rPr>
              <w:t>Lumbar region</w:t>
            </w:r>
            <w:r w:rsidRPr="001936FF">
              <w:rPr>
                <w:b/>
                <w:bCs/>
                <w:snapToGrid w:val="0"/>
                <w:lang w:val="en-GB"/>
              </w:rPr>
              <w:tab/>
            </w:r>
            <w:r w:rsidRPr="001936FF">
              <w:rPr>
                <w:rFonts w:ascii="TradeGothic Bold" w:hAnsi="TradeGothic Bold"/>
                <w:b/>
                <w:bCs/>
                <w:snapToGrid w:val="0"/>
                <w:color w:val="000000"/>
                <w:lang w:val="en-GB"/>
              </w:rPr>
              <w:tab/>
            </w:r>
            <w:r w:rsidR="001936FF" w:rsidRPr="001936FF">
              <w:rPr>
                <w:b/>
                <w:bCs/>
                <w:snapToGrid w:val="0"/>
                <w:color w:val="000000"/>
                <w:lang w:val="en-GB"/>
              </w:rPr>
              <w:t>A</w:t>
            </w:r>
            <w:r w:rsidRPr="001936FF">
              <w:rPr>
                <w:b/>
                <w:bCs/>
                <w:snapToGrid w:val="0"/>
                <w:lang w:val="en-GB"/>
              </w:rPr>
              <w:t>MA5 Table 15–3, p 384</w:t>
            </w:r>
            <w:r w:rsidRPr="001936FF">
              <w:rPr>
                <w:b/>
                <w:bCs/>
                <w:snapToGrid w:val="0"/>
                <w:lang w:val="en-GB"/>
              </w:rPr>
              <w:br/>
            </w:r>
            <w:r w:rsidR="001936FF" w:rsidRPr="001936FF">
              <w:rPr>
                <w:b/>
                <w:bCs/>
                <w:snapToGrid w:val="0"/>
                <w:lang w:val="en-GB"/>
              </w:rPr>
              <w:t>Thoracic region</w:t>
            </w:r>
            <w:r w:rsidR="001936FF" w:rsidRPr="001936FF">
              <w:rPr>
                <w:b/>
                <w:bCs/>
                <w:snapToGrid w:val="0"/>
                <w:lang w:val="en-GB"/>
              </w:rPr>
              <w:tab/>
            </w:r>
            <w:r w:rsidRPr="001936FF">
              <w:rPr>
                <w:b/>
                <w:bCs/>
                <w:snapToGrid w:val="0"/>
                <w:lang w:val="en-GB"/>
              </w:rPr>
              <w:t>AMA5 Table 15–4, p 389</w:t>
            </w:r>
            <w:r w:rsidRPr="001936FF">
              <w:rPr>
                <w:b/>
                <w:bCs/>
                <w:snapToGrid w:val="0"/>
                <w:lang w:val="en-GB"/>
              </w:rPr>
              <w:br/>
            </w:r>
            <w:r w:rsidR="001936FF" w:rsidRPr="001936FF">
              <w:rPr>
                <w:b/>
                <w:snapToGrid w:val="0"/>
              </w:rPr>
              <w:t>Cervical region</w:t>
            </w:r>
            <w:r w:rsidR="001936FF" w:rsidRPr="001936FF">
              <w:rPr>
                <w:b/>
                <w:snapToGrid w:val="0"/>
              </w:rPr>
              <w:tab/>
              <w:t>AMA5 Table 15-5, p 392</w:t>
            </w:r>
          </w:p>
        </w:tc>
      </w:tr>
    </w:tbl>
    <w:p w:rsidR="00D8141B" w:rsidRPr="00D8141B" w:rsidRDefault="00D8141B" w:rsidP="001936FF">
      <w:pPr>
        <w:pStyle w:val="BodyText4"/>
        <w:rPr>
          <w:snapToGrid w:val="0"/>
        </w:rPr>
      </w:pPr>
      <w:r w:rsidRPr="00D8141B">
        <w:lastRenderedPageBreak/>
        <w:t>Common developmental findings, spondylosis, spondylolisthesis and disc protrusions without radiculopathy occur in seven per cent, three per cent, and up to 30 per cent respectively in individuals up to the age of 40 (p 383 AMA5).  Their presence does not of itself mean that the individual has an impairment due to injury</w:t>
      </w:r>
      <w:r w:rsidRPr="00D8141B">
        <w:rPr>
          <w:snapToGrid w:val="0"/>
        </w:rPr>
        <w:t>.</w:t>
      </w:r>
    </w:p>
    <w:p w:rsidR="00D8141B" w:rsidRPr="00D8141B" w:rsidRDefault="00D8141B" w:rsidP="001936FF">
      <w:pPr>
        <w:pStyle w:val="BodyText4"/>
        <w:rPr>
          <w:snapToGrid w:val="0"/>
        </w:rPr>
      </w:pPr>
      <w:r w:rsidRPr="00D8141B">
        <w:rPr>
          <w:bCs/>
        </w:rPr>
        <w:t>Loss of sexual function</w:t>
      </w:r>
      <w:r w:rsidRPr="00D8141B">
        <w:t xml:space="preserve"> should only be assessed where there is other objective evidence of spinal cord, cauda equina or bilateral nerve root dysfunction. The ratings are described in table 15-6 (pp 396-397 AMA5). There is no additional impairment rating system for loss of sexual function in the absence of objective neurological findings. Loss of sexual function is not assessed as an ADL</w:t>
      </w:r>
      <w:r w:rsidR="001936FF">
        <w:t>.</w:t>
      </w:r>
    </w:p>
    <w:p w:rsidR="00D8141B" w:rsidRPr="00D8141B" w:rsidRDefault="00D8141B" w:rsidP="001936FF">
      <w:pPr>
        <w:pStyle w:val="BodyText4"/>
        <w:rPr>
          <w:snapToGrid w:val="0"/>
        </w:rPr>
      </w:pPr>
      <w:r w:rsidRPr="00130001">
        <w:rPr>
          <w:bCs/>
        </w:rPr>
        <w:t>Radiculopathy</w:t>
      </w:r>
      <w:r w:rsidRPr="00D8141B">
        <w:t xml:space="preserve"> is the impairment caused by malfunction of a spinal nerve root or nerve roots. In general, in order to conclude that radiculopathy is present, two or more of the following criteria should be found, one of which must be major (major criteria in bold):</w:t>
      </w:r>
    </w:p>
    <w:p w:rsidR="00D8141B" w:rsidRPr="001936FF" w:rsidRDefault="00D8141B" w:rsidP="001936FF">
      <w:pPr>
        <w:pStyle w:val="Bulletpoint"/>
        <w:ind w:left="1134"/>
        <w:rPr>
          <w:b/>
          <w:lang w:val="en-US"/>
        </w:rPr>
      </w:pPr>
      <w:r w:rsidRPr="001936FF">
        <w:rPr>
          <w:b/>
          <w:lang w:val="en-US"/>
        </w:rPr>
        <w:t>Loss or asymmetry of reflexes</w:t>
      </w:r>
    </w:p>
    <w:p w:rsidR="00D8141B" w:rsidRPr="001936FF" w:rsidRDefault="00D8141B" w:rsidP="001936FF">
      <w:pPr>
        <w:pStyle w:val="Bulletpoint"/>
        <w:ind w:left="1134"/>
        <w:rPr>
          <w:b/>
          <w:lang w:val="en-US"/>
        </w:rPr>
      </w:pPr>
      <w:r w:rsidRPr="001936FF">
        <w:rPr>
          <w:b/>
          <w:lang w:val="en-US"/>
        </w:rPr>
        <w:t>Muscle weakness that is anatomically localised to an appropriate spinal nerve root distribution</w:t>
      </w:r>
    </w:p>
    <w:p w:rsidR="00D8141B" w:rsidRPr="001936FF" w:rsidRDefault="00D8141B" w:rsidP="001936FF">
      <w:pPr>
        <w:pStyle w:val="Bulletpoint"/>
        <w:ind w:left="1134"/>
        <w:rPr>
          <w:b/>
          <w:lang w:val="en-US"/>
        </w:rPr>
      </w:pPr>
      <w:r w:rsidRPr="001936FF">
        <w:rPr>
          <w:b/>
          <w:lang w:val="en-US"/>
        </w:rPr>
        <w:t>Reproducible impairment of sensation that is anatomically localised to an appropriate spinal nerve root distribution</w:t>
      </w:r>
    </w:p>
    <w:p w:rsidR="00D8141B" w:rsidRPr="00D8141B" w:rsidRDefault="00D8141B" w:rsidP="001936FF">
      <w:pPr>
        <w:pStyle w:val="Bulletpoint"/>
        <w:ind w:left="1134"/>
        <w:rPr>
          <w:lang w:val="en-US"/>
        </w:rPr>
      </w:pPr>
      <w:r w:rsidRPr="00D8141B">
        <w:rPr>
          <w:lang w:val="en-US"/>
        </w:rPr>
        <w:t>Positive nerve root tension (Box 15-1, p382 AMA5)</w:t>
      </w:r>
    </w:p>
    <w:p w:rsidR="00D8141B" w:rsidRPr="00D8141B" w:rsidRDefault="00D8141B" w:rsidP="001936FF">
      <w:pPr>
        <w:pStyle w:val="Bulletpoint"/>
        <w:ind w:left="1134"/>
        <w:rPr>
          <w:lang w:val="en-US"/>
        </w:rPr>
      </w:pPr>
      <w:r w:rsidRPr="00D8141B">
        <w:rPr>
          <w:lang w:val="en-US"/>
        </w:rPr>
        <w:t>Muscle wasting – atrophy (Box 15-1, p382 AMA5)</w:t>
      </w:r>
    </w:p>
    <w:p w:rsidR="00D8141B" w:rsidRPr="001936FF" w:rsidRDefault="00D8141B" w:rsidP="001936FF">
      <w:pPr>
        <w:pStyle w:val="BodyText4"/>
        <w:rPr>
          <w:snapToGrid w:val="0"/>
        </w:rPr>
      </w:pPr>
      <w:r w:rsidRPr="001936FF">
        <w:rPr>
          <w:rFonts w:cs="Times New Roman"/>
        </w:rPr>
        <w:t>Findings on an imaging study consistent with the clinical signs (p382 AMA5)</w:t>
      </w:r>
      <w:r w:rsidRPr="001936FF">
        <w:rPr>
          <w:rFonts w:cs="Times New Roman"/>
        </w:rPr>
        <w:br/>
      </w:r>
      <w:r w:rsidRPr="001936FF">
        <w:rPr>
          <w:snapToGrid w:val="0"/>
        </w:rPr>
        <w:t>Radicular complaints of pain or sensory features that follow anatomical pathways but cannot be verified by neurological findings (somatic pain, non-verifiable radicular pain) do not alone constitute radiculopathy.</w:t>
      </w:r>
    </w:p>
    <w:p w:rsidR="00D8141B" w:rsidRPr="00D8141B" w:rsidRDefault="00D8141B" w:rsidP="001936FF">
      <w:pPr>
        <w:pStyle w:val="BodyText4"/>
        <w:rPr>
          <w:snapToGrid w:val="0"/>
        </w:rPr>
      </w:pPr>
      <w:r w:rsidRPr="00D8141B">
        <w:rPr>
          <w:snapToGrid w:val="0"/>
        </w:rPr>
        <w:t>Global weakness of a limb related to pain or inhibition or other factors does not constitute weakness due to spinal nerve malfunction.</w:t>
      </w:r>
    </w:p>
    <w:p w:rsidR="00D8141B" w:rsidRPr="00D8141B" w:rsidRDefault="00D8141B" w:rsidP="001936FF">
      <w:pPr>
        <w:pStyle w:val="BodyText4"/>
        <w:rPr>
          <w:b/>
          <w:bCs/>
          <w:snapToGrid w:val="0"/>
        </w:rPr>
      </w:pPr>
      <w:r w:rsidRPr="00D8141B">
        <w:rPr>
          <w:snapToGrid w:val="0"/>
        </w:rPr>
        <w:t xml:space="preserve">Vertebral body fractures and/or dislocations at more than one vertebral level are to be assessed as follows: </w:t>
      </w:r>
    </w:p>
    <w:p w:rsidR="00D8141B" w:rsidRPr="00D8141B" w:rsidRDefault="00D8141B" w:rsidP="001936FF">
      <w:pPr>
        <w:pStyle w:val="Bulletpoint"/>
        <w:ind w:left="1276"/>
        <w:rPr>
          <w:snapToGrid w:val="0"/>
          <w:lang w:val="en-US"/>
        </w:rPr>
      </w:pPr>
      <w:r w:rsidRPr="00D8141B">
        <w:rPr>
          <w:snapToGrid w:val="0"/>
          <w:lang w:val="en-US"/>
        </w:rPr>
        <w:t>Measure the percentage loss of vertebral height at the most compressed part for each vertebra, then</w:t>
      </w:r>
    </w:p>
    <w:p w:rsidR="00D8141B" w:rsidRPr="00D8141B" w:rsidRDefault="00D8141B" w:rsidP="001936FF">
      <w:pPr>
        <w:pStyle w:val="Bulletpoint"/>
        <w:ind w:left="1276"/>
        <w:rPr>
          <w:snapToGrid w:val="0"/>
          <w:lang w:val="en-US"/>
        </w:rPr>
      </w:pPr>
      <w:r w:rsidRPr="00D8141B">
        <w:rPr>
          <w:snapToGrid w:val="0"/>
          <w:lang w:val="en-US"/>
        </w:rPr>
        <w:t>Add the percentage loss at each level:</w:t>
      </w:r>
    </w:p>
    <w:p w:rsidR="00D8141B" w:rsidRPr="00D8141B" w:rsidRDefault="00D8141B" w:rsidP="0081060E">
      <w:pPr>
        <w:pStyle w:val="Bulletpoint"/>
        <w:numPr>
          <w:ilvl w:val="1"/>
          <w:numId w:val="33"/>
        </w:numPr>
        <w:tabs>
          <w:tab w:val="left" w:pos="1701"/>
        </w:tabs>
        <w:ind w:left="1701" w:hanging="425"/>
        <w:rPr>
          <w:snapToGrid w:val="0"/>
          <w:lang w:val="en-US"/>
        </w:rPr>
      </w:pPr>
      <w:r w:rsidRPr="00D8141B">
        <w:rPr>
          <w:snapToGrid w:val="0"/>
          <w:lang w:val="en-US"/>
        </w:rPr>
        <w:t>Total loss of more than 50% = DRE IV</w:t>
      </w:r>
    </w:p>
    <w:p w:rsidR="00D8141B" w:rsidRPr="00D8141B" w:rsidRDefault="00D8141B" w:rsidP="0081060E">
      <w:pPr>
        <w:pStyle w:val="Bulletpoint"/>
        <w:numPr>
          <w:ilvl w:val="1"/>
          <w:numId w:val="33"/>
        </w:numPr>
        <w:tabs>
          <w:tab w:val="left" w:pos="1701"/>
        </w:tabs>
        <w:ind w:left="1701" w:hanging="425"/>
        <w:rPr>
          <w:snapToGrid w:val="0"/>
          <w:lang w:val="en-US"/>
        </w:rPr>
      </w:pPr>
      <w:r w:rsidRPr="00D8141B">
        <w:rPr>
          <w:snapToGrid w:val="0"/>
          <w:lang w:val="en-US"/>
        </w:rPr>
        <w:t>Total loss of 25% to 50% = DRE III</w:t>
      </w:r>
    </w:p>
    <w:p w:rsidR="00D8141B" w:rsidRPr="00D8141B" w:rsidRDefault="00D8141B" w:rsidP="0081060E">
      <w:pPr>
        <w:pStyle w:val="Bulletpoint"/>
        <w:numPr>
          <w:ilvl w:val="1"/>
          <w:numId w:val="33"/>
        </w:numPr>
        <w:tabs>
          <w:tab w:val="left" w:pos="1701"/>
        </w:tabs>
        <w:ind w:left="1701" w:hanging="425"/>
        <w:rPr>
          <w:snapToGrid w:val="0"/>
          <w:lang w:val="en-US"/>
        </w:rPr>
      </w:pPr>
      <w:r w:rsidRPr="00D8141B">
        <w:rPr>
          <w:snapToGrid w:val="0"/>
          <w:lang w:val="en-US"/>
        </w:rPr>
        <w:t>Total loss of less than 25% = DRE II</w:t>
      </w:r>
    </w:p>
    <w:p w:rsidR="00D8141B" w:rsidRPr="00D8141B" w:rsidRDefault="00D8141B" w:rsidP="001936FF">
      <w:pPr>
        <w:pStyle w:val="Bulletpoint"/>
        <w:spacing w:after="240"/>
        <w:ind w:left="1276"/>
        <w:rPr>
          <w:snapToGrid w:val="0"/>
          <w:lang w:val="en-US"/>
        </w:rPr>
      </w:pPr>
      <w:r w:rsidRPr="00D8141B">
        <w:rPr>
          <w:snapToGrid w:val="0"/>
          <w:lang w:val="en-US"/>
        </w:rPr>
        <w:t>If radiculopathy is present then the person is assigned one DRE category higher</w:t>
      </w:r>
    </w:p>
    <w:p w:rsidR="00D8141B" w:rsidRPr="00D8141B" w:rsidRDefault="00D8141B" w:rsidP="001936FF">
      <w:pPr>
        <w:pStyle w:val="BodyText4"/>
        <w:numPr>
          <w:ilvl w:val="0"/>
          <w:numId w:val="0"/>
        </w:numPr>
        <w:ind w:left="709"/>
        <w:rPr>
          <w:snapToGrid w:val="0"/>
        </w:rPr>
      </w:pPr>
      <w:r w:rsidRPr="00D8141B">
        <w:rPr>
          <w:snapToGrid w:val="0"/>
        </w:rPr>
        <w:t>One or more end plate fractures in a single spinal region without measurable compression of the vertebral body are assessed as DRE category II.</w:t>
      </w:r>
    </w:p>
    <w:p w:rsidR="00D8141B" w:rsidRPr="00D8141B" w:rsidRDefault="00D8141B" w:rsidP="001936FF">
      <w:pPr>
        <w:pStyle w:val="BodyText4"/>
        <w:numPr>
          <w:ilvl w:val="0"/>
          <w:numId w:val="0"/>
        </w:numPr>
        <w:ind w:left="709"/>
        <w:rPr>
          <w:snapToGrid w:val="0"/>
        </w:rPr>
      </w:pPr>
      <w:r w:rsidRPr="00D8141B">
        <w:rPr>
          <w:snapToGrid w:val="0"/>
        </w:rPr>
        <w:t xml:space="preserve">Posterior element fractures (excludes fractures of transverse processes and spinous processes) at multiple levels are assessed as DRE Ill. </w:t>
      </w:r>
    </w:p>
    <w:p w:rsidR="00D8141B" w:rsidRPr="00D8141B" w:rsidRDefault="00D8141B" w:rsidP="001936FF">
      <w:pPr>
        <w:pStyle w:val="BodyText4"/>
      </w:pPr>
      <w:r w:rsidRPr="00D8141B">
        <w:t>Displaced fractures of transverse or spinous processes at one or more levels are assessed as DRE category II because the fracture does not disrupt the spinal canal (p 385 AMA5) and do not cause multilevel structural compromise.</w:t>
      </w:r>
    </w:p>
    <w:p w:rsidR="00D8141B" w:rsidRPr="00D8141B" w:rsidRDefault="00D8141B" w:rsidP="001936FF">
      <w:pPr>
        <w:pStyle w:val="BodyText4"/>
      </w:pPr>
      <w:r w:rsidRPr="00D8141B">
        <w:t xml:space="preserve">Within a spinal region separate spinal impairments are not combined. The highest value impairment within the region is chosen. Impairments in different spinal regions are combined using the </w:t>
      </w:r>
      <w:r w:rsidR="00BF09FF">
        <w:t>combined values chart (AMA5, pp 604-606)</w:t>
      </w:r>
      <w:r w:rsidRPr="00D8141B">
        <w:t>.</w:t>
      </w:r>
    </w:p>
    <w:p w:rsidR="00D8141B" w:rsidRPr="00D8141B" w:rsidRDefault="00D8141B" w:rsidP="001936FF">
      <w:pPr>
        <w:pStyle w:val="BodyText4"/>
        <w:numPr>
          <w:ilvl w:val="0"/>
          <w:numId w:val="0"/>
        </w:numPr>
        <w:ind w:left="709"/>
      </w:pPr>
      <w:r w:rsidRPr="00D8141B">
        <w:lastRenderedPageBreak/>
        <w:t>If there are adjacent vertebral fractures at the transition zones (C7/T1, T12/L1), the methodology in paragraph 4.30 is to be adopted. For fractures of C7 and T1, use the WPI ratings for the cervical spine (AMA5 chapter 15, page 392, table 15.5). For fractures of T12 and L1 use the WPI rating for the thoracic spine (AMA5 chapter 15, page 389, table 15.4).</w:t>
      </w:r>
    </w:p>
    <w:p w:rsidR="00D8141B" w:rsidRPr="00D8141B" w:rsidRDefault="00D8141B" w:rsidP="001936FF">
      <w:pPr>
        <w:pStyle w:val="BodyText4"/>
      </w:pPr>
      <w:r w:rsidRPr="00D8141B">
        <w:t>Impact of ADL. Tables 15-3, 15-4 and 15-5 of AMA5 give an impairment range for DREs II to V. Within the range, zero, one, two or three per cent WPI may be assessed using paragraphs 4.34 and 4.35 below. An assessment of the effect of the injury on ADLs is not solely dependent on self-reporting, but is an assessment based on all clinical findings and other reports</w:t>
      </w:r>
      <w:r w:rsidRPr="00D8141B">
        <w:rPr>
          <w:rFonts w:cs="Times New Roman"/>
        </w:rPr>
        <w:t>.</w:t>
      </w:r>
    </w:p>
    <w:p w:rsidR="001936FF" w:rsidRPr="001936FF" w:rsidRDefault="00D8141B" w:rsidP="005221BE">
      <w:pPr>
        <w:pStyle w:val="BodyText4"/>
        <w:spacing w:after="480"/>
        <w:rPr>
          <w:sz w:val="24"/>
        </w:rPr>
      </w:pPr>
      <w:r w:rsidRPr="00D8141B">
        <w:t xml:space="preserve">The following diagram should be used </w:t>
      </w:r>
      <w:r w:rsidRPr="00D8141B">
        <w:rPr>
          <w:b/>
        </w:rPr>
        <w:t>as a guide</w:t>
      </w:r>
      <w:r w:rsidRPr="00D8141B">
        <w:t xml:space="preserve"> to determine whether zero, one, two or three per cent WPI should be added to the bottom of the appropriate impairment range. This is only to be added if there is a difference in activity level as recorded and compared to the worker's status prior to the injury.</w:t>
      </w:r>
    </w:p>
    <w:tbl>
      <w:tblPr>
        <w:tblStyle w:val="TableGrid"/>
        <w:tblW w:w="0" w:type="auto"/>
        <w:tblInd w:w="709" w:type="dxa"/>
        <w:tblLook w:val="04A0" w:firstRow="1" w:lastRow="0" w:firstColumn="1" w:lastColumn="0" w:noHBand="0" w:noVBand="1"/>
      </w:tblPr>
      <w:tblGrid>
        <w:gridCol w:w="8929"/>
      </w:tblGrid>
      <w:tr w:rsidR="001936FF" w:rsidTr="005221BE">
        <w:tc>
          <w:tcPr>
            <w:tcW w:w="9628" w:type="dxa"/>
            <w:tcBorders>
              <w:top w:val="nil"/>
              <w:left w:val="nil"/>
              <w:bottom w:val="nil"/>
              <w:right w:val="nil"/>
            </w:tcBorders>
          </w:tcPr>
          <w:p w:rsidR="005221BE" w:rsidRDefault="005221BE" w:rsidP="005221BE">
            <w:pPr>
              <w:pStyle w:val="BodyText4"/>
              <w:numPr>
                <w:ilvl w:val="0"/>
                <w:numId w:val="0"/>
              </w:numPr>
              <w:spacing w:before="120" w:after="120"/>
              <w:jc w:val="center"/>
              <w:rPr>
                <w:sz w:val="24"/>
              </w:rPr>
            </w:pPr>
            <w:r>
              <w:rPr>
                <w:noProof/>
                <w:lang w:val="en-AU"/>
              </w:rPr>
              <mc:AlternateContent>
                <mc:Choice Requires="wpg">
                  <w:drawing>
                    <wp:anchor distT="0" distB="0" distL="0" distR="0" simplePos="0" relativeHeight="251672576" behindDoc="0" locked="0" layoutInCell="0" allowOverlap="1" wp14:anchorId="774E8E88" wp14:editId="1BBEEC72">
                      <wp:simplePos x="0" y="0"/>
                      <wp:positionH relativeFrom="margin">
                        <wp:align>center</wp:align>
                      </wp:positionH>
                      <wp:positionV relativeFrom="margin">
                        <wp:align>top</wp:align>
                      </wp:positionV>
                      <wp:extent cx="2507615" cy="2507615"/>
                      <wp:effectExtent l="0" t="0" r="6985" b="698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7615" cy="2507615"/>
                                <a:chOff x="4261" y="340"/>
                                <a:chExt cx="3949" cy="3949"/>
                              </a:xfrm>
                            </wpg:grpSpPr>
                            <wps:wsp>
                              <wps:cNvPr id="9" name="Freeform 3"/>
                              <wps:cNvSpPr>
                                <a:spLocks/>
                              </wps:cNvSpPr>
                              <wps:spPr bwMode="auto">
                                <a:xfrm>
                                  <a:off x="4261" y="340"/>
                                  <a:ext cx="3949" cy="3949"/>
                                </a:xfrm>
                                <a:custGeom>
                                  <a:avLst/>
                                  <a:gdLst>
                                    <a:gd name="T0" fmla="*/ 1823 w 3949"/>
                                    <a:gd name="T1" fmla="*/ 5 h 3949"/>
                                    <a:gd name="T2" fmla="*/ 1603 w 3949"/>
                                    <a:gd name="T3" fmla="*/ 34 h 3949"/>
                                    <a:gd name="T4" fmla="*/ 1391 w 3949"/>
                                    <a:gd name="T5" fmla="*/ 87 h 3949"/>
                                    <a:gd name="T6" fmla="*/ 1189 w 3949"/>
                                    <a:gd name="T7" fmla="*/ 162 h 3949"/>
                                    <a:gd name="T8" fmla="*/ 998 w 3949"/>
                                    <a:gd name="T9" fmla="*/ 257 h 3949"/>
                                    <a:gd name="T10" fmla="*/ 819 w 3949"/>
                                    <a:gd name="T11" fmla="*/ 372 h 3949"/>
                                    <a:gd name="T12" fmla="*/ 654 w 3949"/>
                                    <a:gd name="T13" fmla="*/ 505 h 3949"/>
                                    <a:gd name="T14" fmla="*/ 505 w 3949"/>
                                    <a:gd name="T15" fmla="*/ 654 h 3949"/>
                                    <a:gd name="T16" fmla="*/ 372 w 3949"/>
                                    <a:gd name="T17" fmla="*/ 819 h 3949"/>
                                    <a:gd name="T18" fmla="*/ 257 w 3949"/>
                                    <a:gd name="T19" fmla="*/ 998 h 3949"/>
                                    <a:gd name="T20" fmla="*/ 162 w 3949"/>
                                    <a:gd name="T21" fmla="*/ 1189 h 3949"/>
                                    <a:gd name="T22" fmla="*/ 87 w 3949"/>
                                    <a:gd name="T23" fmla="*/ 1391 h 3949"/>
                                    <a:gd name="T24" fmla="*/ 34 w 3949"/>
                                    <a:gd name="T25" fmla="*/ 1603 h 3949"/>
                                    <a:gd name="T26" fmla="*/ 5 w 3949"/>
                                    <a:gd name="T27" fmla="*/ 1823 h 3949"/>
                                    <a:gd name="T28" fmla="*/ 1 w 3949"/>
                                    <a:gd name="T29" fmla="*/ 2049 h 3949"/>
                                    <a:gd name="T30" fmla="*/ 22 w 3949"/>
                                    <a:gd name="T31" fmla="*/ 2272 h 3949"/>
                                    <a:gd name="T32" fmla="*/ 67 w 3949"/>
                                    <a:gd name="T33" fmla="*/ 2487 h 3949"/>
                                    <a:gd name="T34" fmla="*/ 134 w 3949"/>
                                    <a:gd name="T35" fmla="*/ 2692 h 3949"/>
                                    <a:gd name="T36" fmla="*/ 223 w 3949"/>
                                    <a:gd name="T37" fmla="*/ 2887 h 3949"/>
                                    <a:gd name="T38" fmla="*/ 332 w 3949"/>
                                    <a:gd name="T39" fmla="*/ 3070 h 3949"/>
                                    <a:gd name="T40" fmla="*/ 459 w 3949"/>
                                    <a:gd name="T41" fmla="*/ 3240 h 3949"/>
                                    <a:gd name="T42" fmla="*/ 603 w 3949"/>
                                    <a:gd name="T43" fmla="*/ 3394 h 3949"/>
                                    <a:gd name="T44" fmla="*/ 763 w 3949"/>
                                    <a:gd name="T45" fmla="*/ 3533 h 3949"/>
                                    <a:gd name="T46" fmla="*/ 937 w 3949"/>
                                    <a:gd name="T47" fmla="*/ 3654 h 3949"/>
                                    <a:gd name="T48" fmla="*/ 1124 w 3949"/>
                                    <a:gd name="T49" fmla="*/ 3756 h 3949"/>
                                    <a:gd name="T50" fmla="*/ 1322 w 3949"/>
                                    <a:gd name="T51" fmla="*/ 3838 h 3949"/>
                                    <a:gd name="T52" fmla="*/ 1531 w 3949"/>
                                    <a:gd name="T53" fmla="*/ 3898 h 3949"/>
                                    <a:gd name="T54" fmla="*/ 1749 w 3949"/>
                                    <a:gd name="T55" fmla="*/ 3935 h 3949"/>
                                    <a:gd name="T56" fmla="*/ 1974 w 3949"/>
                                    <a:gd name="T57" fmla="*/ 3948 h 3949"/>
                                    <a:gd name="T58" fmla="*/ 2199 w 3949"/>
                                    <a:gd name="T59" fmla="*/ 3935 h 3949"/>
                                    <a:gd name="T60" fmla="*/ 2416 w 3949"/>
                                    <a:gd name="T61" fmla="*/ 3898 h 3949"/>
                                    <a:gd name="T62" fmla="*/ 2625 w 3949"/>
                                    <a:gd name="T63" fmla="*/ 3838 h 3949"/>
                                    <a:gd name="T64" fmla="*/ 2824 w 3949"/>
                                    <a:gd name="T65" fmla="*/ 3756 h 3949"/>
                                    <a:gd name="T66" fmla="*/ 3011 w 3949"/>
                                    <a:gd name="T67" fmla="*/ 3654 h 3949"/>
                                    <a:gd name="T68" fmla="*/ 3185 w 3949"/>
                                    <a:gd name="T69" fmla="*/ 3533 h 3949"/>
                                    <a:gd name="T70" fmla="*/ 3345 w 3949"/>
                                    <a:gd name="T71" fmla="*/ 3394 h 3949"/>
                                    <a:gd name="T72" fmla="*/ 3489 w 3949"/>
                                    <a:gd name="T73" fmla="*/ 3240 h 3949"/>
                                    <a:gd name="T74" fmla="*/ 3616 w 3949"/>
                                    <a:gd name="T75" fmla="*/ 3070 h 3949"/>
                                    <a:gd name="T76" fmla="*/ 3724 w 3949"/>
                                    <a:gd name="T77" fmla="*/ 2887 h 3949"/>
                                    <a:gd name="T78" fmla="*/ 3813 w 3949"/>
                                    <a:gd name="T79" fmla="*/ 2692 h 3949"/>
                                    <a:gd name="T80" fmla="*/ 3881 w 3949"/>
                                    <a:gd name="T81" fmla="*/ 2487 h 3949"/>
                                    <a:gd name="T82" fmla="*/ 3926 w 3949"/>
                                    <a:gd name="T83" fmla="*/ 2272 h 3949"/>
                                    <a:gd name="T84" fmla="*/ 3947 w 3949"/>
                                    <a:gd name="T85" fmla="*/ 2049 h 3949"/>
                                    <a:gd name="T86" fmla="*/ 3942 w 3949"/>
                                    <a:gd name="T87" fmla="*/ 1823 h 3949"/>
                                    <a:gd name="T88" fmla="*/ 3913 w 3949"/>
                                    <a:gd name="T89" fmla="*/ 1603 h 3949"/>
                                    <a:gd name="T90" fmla="*/ 3861 w 3949"/>
                                    <a:gd name="T91" fmla="*/ 1391 h 3949"/>
                                    <a:gd name="T92" fmla="*/ 3786 w 3949"/>
                                    <a:gd name="T93" fmla="*/ 1189 h 3949"/>
                                    <a:gd name="T94" fmla="*/ 3690 w 3949"/>
                                    <a:gd name="T95" fmla="*/ 998 h 3949"/>
                                    <a:gd name="T96" fmla="*/ 3575 w 3949"/>
                                    <a:gd name="T97" fmla="*/ 819 h 3949"/>
                                    <a:gd name="T98" fmla="*/ 3443 w 3949"/>
                                    <a:gd name="T99" fmla="*/ 654 h 3949"/>
                                    <a:gd name="T100" fmla="*/ 3293 w 3949"/>
                                    <a:gd name="T101" fmla="*/ 505 h 3949"/>
                                    <a:gd name="T102" fmla="*/ 3128 w 3949"/>
                                    <a:gd name="T103" fmla="*/ 372 h 3949"/>
                                    <a:gd name="T104" fmla="*/ 2950 w 3949"/>
                                    <a:gd name="T105" fmla="*/ 257 h 3949"/>
                                    <a:gd name="T106" fmla="*/ 2759 w 3949"/>
                                    <a:gd name="T107" fmla="*/ 162 h 3949"/>
                                    <a:gd name="T108" fmla="*/ 2557 w 3949"/>
                                    <a:gd name="T109" fmla="*/ 87 h 3949"/>
                                    <a:gd name="T110" fmla="*/ 2345 w 3949"/>
                                    <a:gd name="T111" fmla="*/ 34 h 3949"/>
                                    <a:gd name="T112" fmla="*/ 2124 w 3949"/>
                                    <a:gd name="T113" fmla="*/ 5 h 3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949" h="3949">
                                      <a:moveTo>
                                        <a:pt x="1974" y="0"/>
                                      </a:moveTo>
                                      <a:lnTo>
                                        <a:pt x="1898" y="1"/>
                                      </a:lnTo>
                                      <a:lnTo>
                                        <a:pt x="1823" y="5"/>
                                      </a:lnTo>
                                      <a:lnTo>
                                        <a:pt x="1749" y="12"/>
                                      </a:lnTo>
                                      <a:lnTo>
                                        <a:pt x="1675" y="22"/>
                                      </a:lnTo>
                                      <a:lnTo>
                                        <a:pt x="1603" y="34"/>
                                      </a:lnTo>
                                      <a:lnTo>
                                        <a:pt x="1531" y="49"/>
                                      </a:lnTo>
                                      <a:lnTo>
                                        <a:pt x="1461" y="67"/>
                                      </a:lnTo>
                                      <a:lnTo>
                                        <a:pt x="1391" y="87"/>
                                      </a:lnTo>
                                      <a:lnTo>
                                        <a:pt x="1322" y="109"/>
                                      </a:lnTo>
                                      <a:lnTo>
                                        <a:pt x="1255" y="134"/>
                                      </a:lnTo>
                                      <a:lnTo>
                                        <a:pt x="1189" y="162"/>
                                      </a:lnTo>
                                      <a:lnTo>
                                        <a:pt x="1124" y="191"/>
                                      </a:lnTo>
                                      <a:lnTo>
                                        <a:pt x="1060" y="223"/>
                                      </a:lnTo>
                                      <a:lnTo>
                                        <a:pt x="998" y="257"/>
                                      </a:lnTo>
                                      <a:lnTo>
                                        <a:pt x="937" y="293"/>
                                      </a:lnTo>
                                      <a:lnTo>
                                        <a:pt x="877" y="332"/>
                                      </a:lnTo>
                                      <a:lnTo>
                                        <a:pt x="819" y="372"/>
                                      </a:lnTo>
                                      <a:lnTo>
                                        <a:pt x="763" y="414"/>
                                      </a:lnTo>
                                      <a:lnTo>
                                        <a:pt x="708" y="459"/>
                                      </a:lnTo>
                                      <a:lnTo>
                                        <a:pt x="654" y="505"/>
                                      </a:lnTo>
                                      <a:lnTo>
                                        <a:pt x="603" y="553"/>
                                      </a:lnTo>
                                      <a:lnTo>
                                        <a:pt x="553" y="603"/>
                                      </a:lnTo>
                                      <a:lnTo>
                                        <a:pt x="505" y="654"/>
                                      </a:lnTo>
                                      <a:lnTo>
                                        <a:pt x="459" y="708"/>
                                      </a:lnTo>
                                      <a:lnTo>
                                        <a:pt x="414" y="763"/>
                                      </a:lnTo>
                                      <a:lnTo>
                                        <a:pt x="372" y="819"/>
                                      </a:lnTo>
                                      <a:lnTo>
                                        <a:pt x="332" y="877"/>
                                      </a:lnTo>
                                      <a:lnTo>
                                        <a:pt x="293" y="937"/>
                                      </a:lnTo>
                                      <a:lnTo>
                                        <a:pt x="257" y="998"/>
                                      </a:lnTo>
                                      <a:lnTo>
                                        <a:pt x="223" y="1060"/>
                                      </a:lnTo>
                                      <a:lnTo>
                                        <a:pt x="191" y="1124"/>
                                      </a:lnTo>
                                      <a:lnTo>
                                        <a:pt x="162" y="1189"/>
                                      </a:lnTo>
                                      <a:lnTo>
                                        <a:pt x="134" y="1255"/>
                                      </a:lnTo>
                                      <a:lnTo>
                                        <a:pt x="109" y="1322"/>
                                      </a:lnTo>
                                      <a:lnTo>
                                        <a:pt x="87" y="1391"/>
                                      </a:lnTo>
                                      <a:lnTo>
                                        <a:pt x="67" y="1461"/>
                                      </a:lnTo>
                                      <a:lnTo>
                                        <a:pt x="49" y="1531"/>
                                      </a:lnTo>
                                      <a:lnTo>
                                        <a:pt x="34" y="1603"/>
                                      </a:lnTo>
                                      <a:lnTo>
                                        <a:pt x="22" y="1675"/>
                                      </a:lnTo>
                                      <a:lnTo>
                                        <a:pt x="12" y="1749"/>
                                      </a:lnTo>
                                      <a:lnTo>
                                        <a:pt x="5" y="1823"/>
                                      </a:lnTo>
                                      <a:lnTo>
                                        <a:pt x="1" y="1898"/>
                                      </a:lnTo>
                                      <a:lnTo>
                                        <a:pt x="0" y="1974"/>
                                      </a:lnTo>
                                      <a:lnTo>
                                        <a:pt x="1" y="2049"/>
                                      </a:lnTo>
                                      <a:lnTo>
                                        <a:pt x="5" y="2124"/>
                                      </a:lnTo>
                                      <a:lnTo>
                                        <a:pt x="12" y="2199"/>
                                      </a:lnTo>
                                      <a:lnTo>
                                        <a:pt x="22" y="2272"/>
                                      </a:lnTo>
                                      <a:lnTo>
                                        <a:pt x="34" y="2345"/>
                                      </a:lnTo>
                                      <a:lnTo>
                                        <a:pt x="49" y="2416"/>
                                      </a:lnTo>
                                      <a:lnTo>
                                        <a:pt x="67" y="2487"/>
                                      </a:lnTo>
                                      <a:lnTo>
                                        <a:pt x="87" y="2556"/>
                                      </a:lnTo>
                                      <a:lnTo>
                                        <a:pt x="109" y="2625"/>
                                      </a:lnTo>
                                      <a:lnTo>
                                        <a:pt x="134" y="2692"/>
                                      </a:lnTo>
                                      <a:lnTo>
                                        <a:pt x="162" y="2759"/>
                                      </a:lnTo>
                                      <a:lnTo>
                                        <a:pt x="191" y="2824"/>
                                      </a:lnTo>
                                      <a:lnTo>
                                        <a:pt x="223" y="2887"/>
                                      </a:lnTo>
                                      <a:lnTo>
                                        <a:pt x="257" y="2950"/>
                                      </a:lnTo>
                                      <a:lnTo>
                                        <a:pt x="293" y="3011"/>
                                      </a:lnTo>
                                      <a:lnTo>
                                        <a:pt x="332" y="3070"/>
                                      </a:lnTo>
                                      <a:lnTo>
                                        <a:pt x="372" y="3128"/>
                                      </a:lnTo>
                                      <a:lnTo>
                                        <a:pt x="414" y="3185"/>
                                      </a:lnTo>
                                      <a:lnTo>
                                        <a:pt x="459" y="3240"/>
                                      </a:lnTo>
                                      <a:lnTo>
                                        <a:pt x="505" y="3293"/>
                                      </a:lnTo>
                                      <a:lnTo>
                                        <a:pt x="553" y="3345"/>
                                      </a:lnTo>
                                      <a:lnTo>
                                        <a:pt x="603" y="3394"/>
                                      </a:lnTo>
                                      <a:lnTo>
                                        <a:pt x="654" y="3442"/>
                                      </a:lnTo>
                                      <a:lnTo>
                                        <a:pt x="708" y="3489"/>
                                      </a:lnTo>
                                      <a:lnTo>
                                        <a:pt x="763" y="3533"/>
                                      </a:lnTo>
                                      <a:lnTo>
                                        <a:pt x="819" y="3575"/>
                                      </a:lnTo>
                                      <a:lnTo>
                                        <a:pt x="877" y="3616"/>
                                      </a:lnTo>
                                      <a:lnTo>
                                        <a:pt x="937" y="3654"/>
                                      </a:lnTo>
                                      <a:lnTo>
                                        <a:pt x="998" y="3690"/>
                                      </a:lnTo>
                                      <a:lnTo>
                                        <a:pt x="1060" y="3724"/>
                                      </a:lnTo>
                                      <a:lnTo>
                                        <a:pt x="1124" y="3756"/>
                                      </a:lnTo>
                                      <a:lnTo>
                                        <a:pt x="1189" y="3786"/>
                                      </a:lnTo>
                                      <a:lnTo>
                                        <a:pt x="1255" y="3813"/>
                                      </a:lnTo>
                                      <a:lnTo>
                                        <a:pt x="1322" y="3838"/>
                                      </a:lnTo>
                                      <a:lnTo>
                                        <a:pt x="1391" y="3861"/>
                                      </a:lnTo>
                                      <a:lnTo>
                                        <a:pt x="1461" y="3881"/>
                                      </a:lnTo>
                                      <a:lnTo>
                                        <a:pt x="1531" y="3898"/>
                                      </a:lnTo>
                                      <a:lnTo>
                                        <a:pt x="1603" y="3913"/>
                                      </a:lnTo>
                                      <a:lnTo>
                                        <a:pt x="1675" y="3926"/>
                                      </a:lnTo>
                                      <a:lnTo>
                                        <a:pt x="1749" y="3935"/>
                                      </a:lnTo>
                                      <a:lnTo>
                                        <a:pt x="1823" y="3942"/>
                                      </a:lnTo>
                                      <a:lnTo>
                                        <a:pt x="1898" y="3947"/>
                                      </a:lnTo>
                                      <a:lnTo>
                                        <a:pt x="1974" y="3948"/>
                                      </a:lnTo>
                                      <a:lnTo>
                                        <a:pt x="2049" y="3947"/>
                                      </a:lnTo>
                                      <a:lnTo>
                                        <a:pt x="2124" y="3942"/>
                                      </a:lnTo>
                                      <a:lnTo>
                                        <a:pt x="2199" y="3935"/>
                                      </a:lnTo>
                                      <a:lnTo>
                                        <a:pt x="2272" y="3926"/>
                                      </a:lnTo>
                                      <a:lnTo>
                                        <a:pt x="2345" y="3913"/>
                                      </a:lnTo>
                                      <a:lnTo>
                                        <a:pt x="2416" y="3898"/>
                                      </a:lnTo>
                                      <a:lnTo>
                                        <a:pt x="2487" y="3881"/>
                                      </a:lnTo>
                                      <a:lnTo>
                                        <a:pt x="2557" y="3861"/>
                                      </a:lnTo>
                                      <a:lnTo>
                                        <a:pt x="2625" y="3838"/>
                                      </a:lnTo>
                                      <a:lnTo>
                                        <a:pt x="2692" y="3813"/>
                                      </a:lnTo>
                                      <a:lnTo>
                                        <a:pt x="2759" y="3786"/>
                                      </a:lnTo>
                                      <a:lnTo>
                                        <a:pt x="2824" y="3756"/>
                                      </a:lnTo>
                                      <a:lnTo>
                                        <a:pt x="2887" y="3724"/>
                                      </a:lnTo>
                                      <a:lnTo>
                                        <a:pt x="2950" y="3690"/>
                                      </a:lnTo>
                                      <a:lnTo>
                                        <a:pt x="3011" y="3654"/>
                                      </a:lnTo>
                                      <a:lnTo>
                                        <a:pt x="3070" y="3616"/>
                                      </a:lnTo>
                                      <a:lnTo>
                                        <a:pt x="3128" y="3575"/>
                                      </a:lnTo>
                                      <a:lnTo>
                                        <a:pt x="3185" y="3533"/>
                                      </a:lnTo>
                                      <a:lnTo>
                                        <a:pt x="3240" y="3489"/>
                                      </a:lnTo>
                                      <a:lnTo>
                                        <a:pt x="3293" y="3442"/>
                                      </a:lnTo>
                                      <a:lnTo>
                                        <a:pt x="3345" y="3394"/>
                                      </a:lnTo>
                                      <a:lnTo>
                                        <a:pt x="3394" y="3345"/>
                                      </a:lnTo>
                                      <a:lnTo>
                                        <a:pt x="3443" y="3293"/>
                                      </a:lnTo>
                                      <a:lnTo>
                                        <a:pt x="3489" y="3240"/>
                                      </a:lnTo>
                                      <a:lnTo>
                                        <a:pt x="3533" y="3185"/>
                                      </a:lnTo>
                                      <a:lnTo>
                                        <a:pt x="3575" y="3128"/>
                                      </a:lnTo>
                                      <a:lnTo>
                                        <a:pt x="3616" y="3070"/>
                                      </a:lnTo>
                                      <a:lnTo>
                                        <a:pt x="3654" y="3011"/>
                                      </a:lnTo>
                                      <a:lnTo>
                                        <a:pt x="3690" y="2950"/>
                                      </a:lnTo>
                                      <a:lnTo>
                                        <a:pt x="3724" y="2887"/>
                                      </a:lnTo>
                                      <a:lnTo>
                                        <a:pt x="3756" y="2824"/>
                                      </a:lnTo>
                                      <a:lnTo>
                                        <a:pt x="3786" y="2759"/>
                                      </a:lnTo>
                                      <a:lnTo>
                                        <a:pt x="3813" y="2692"/>
                                      </a:lnTo>
                                      <a:lnTo>
                                        <a:pt x="3838" y="2625"/>
                                      </a:lnTo>
                                      <a:lnTo>
                                        <a:pt x="3861" y="2556"/>
                                      </a:lnTo>
                                      <a:lnTo>
                                        <a:pt x="3881" y="2487"/>
                                      </a:lnTo>
                                      <a:lnTo>
                                        <a:pt x="3898" y="2416"/>
                                      </a:lnTo>
                                      <a:lnTo>
                                        <a:pt x="3913" y="2345"/>
                                      </a:lnTo>
                                      <a:lnTo>
                                        <a:pt x="3926" y="2272"/>
                                      </a:lnTo>
                                      <a:lnTo>
                                        <a:pt x="3935" y="2199"/>
                                      </a:lnTo>
                                      <a:lnTo>
                                        <a:pt x="3942" y="2124"/>
                                      </a:lnTo>
                                      <a:lnTo>
                                        <a:pt x="3947" y="2049"/>
                                      </a:lnTo>
                                      <a:lnTo>
                                        <a:pt x="3948" y="1974"/>
                                      </a:lnTo>
                                      <a:lnTo>
                                        <a:pt x="3947" y="1898"/>
                                      </a:lnTo>
                                      <a:lnTo>
                                        <a:pt x="3942" y="1823"/>
                                      </a:lnTo>
                                      <a:lnTo>
                                        <a:pt x="3935" y="1749"/>
                                      </a:lnTo>
                                      <a:lnTo>
                                        <a:pt x="3926" y="1675"/>
                                      </a:lnTo>
                                      <a:lnTo>
                                        <a:pt x="3913" y="1603"/>
                                      </a:lnTo>
                                      <a:lnTo>
                                        <a:pt x="3898" y="1531"/>
                                      </a:lnTo>
                                      <a:lnTo>
                                        <a:pt x="3881" y="1461"/>
                                      </a:lnTo>
                                      <a:lnTo>
                                        <a:pt x="3861" y="1391"/>
                                      </a:lnTo>
                                      <a:lnTo>
                                        <a:pt x="3838" y="1322"/>
                                      </a:lnTo>
                                      <a:lnTo>
                                        <a:pt x="3813" y="1255"/>
                                      </a:lnTo>
                                      <a:lnTo>
                                        <a:pt x="3786" y="1189"/>
                                      </a:lnTo>
                                      <a:lnTo>
                                        <a:pt x="3756" y="1124"/>
                                      </a:lnTo>
                                      <a:lnTo>
                                        <a:pt x="3724" y="1060"/>
                                      </a:lnTo>
                                      <a:lnTo>
                                        <a:pt x="3690" y="998"/>
                                      </a:lnTo>
                                      <a:lnTo>
                                        <a:pt x="3654" y="937"/>
                                      </a:lnTo>
                                      <a:lnTo>
                                        <a:pt x="3616" y="877"/>
                                      </a:lnTo>
                                      <a:lnTo>
                                        <a:pt x="3575" y="819"/>
                                      </a:lnTo>
                                      <a:lnTo>
                                        <a:pt x="3533" y="763"/>
                                      </a:lnTo>
                                      <a:lnTo>
                                        <a:pt x="3489" y="708"/>
                                      </a:lnTo>
                                      <a:lnTo>
                                        <a:pt x="3443" y="654"/>
                                      </a:lnTo>
                                      <a:lnTo>
                                        <a:pt x="3394" y="603"/>
                                      </a:lnTo>
                                      <a:lnTo>
                                        <a:pt x="3345" y="553"/>
                                      </a:lnTo>
                                      <a:lnTo>
                                        <a:pt x="3293" y="505"/>
                                      </a:lnTo>
                                      <a:lnTo>
                                        <a:pt x="3240" y="459"/>
                                      </a:lnTo>
                                      <a:lnTo>
                                        <a:pt x="3185" y="414"/>
                                      </a:lnTo>
                                      <a:lnTo>
                                        <a:pt x="3128" y="372"/>
                                      </a:lnTo>
                                      <a:lnTo>
                                        <a:pt x="3070" y="332"/>
                                      </a:lnTo>
                                      <a:lnTo>
                                        <a:pt x="3011" y="293"/>
                                      </a:lnTo>
                                      <a:lnTo>
                                        <a:pt x="2950" y="257"/>
                                      </a:lnTo>
                                      <a:lnTo>
                                        <a:pt x="2887" y="223"/>
                                      </a:lnTo>
                                      <a:lnTo>
                                        <a:pt x="2824" y="191"/>
                                      </a:lnTo>
                                      <a:lnTo>
                                        <a:pt x="2759" y="162"/>
                                      </a:lnTo>
                                      <a:lnTo>
                                        <a:pt x="2692" y="134"/>
                                      </a:lnTo>
                                      <a:lnTo>
                                        <a:pt x="2625" y="109"/>
                                      </a:lnTo>
                                      <a:lnTo>
                                        <a:pt x="2557" y="87"/>
                                      </a:lnTo>
                                      <a:lnTo>
                                        <a:pt x="2487" y="67"/>
                                      </a:lnTo>
                                      <a:lnTo>
                                        <a:pt x="2416" y="49"/>
                                      </a:lnTo>
                                      <a:lnTo>
                                        <a:pt x="2345" y="34"/>
                                      </a:lnTo>
                                      <a:lnTo>
                                        <a:pt x="2272" y="22"/>
                                      </a:lnTo>
                                      <a:lnTo>
                                        <a:pt x="2199" y="12"/>
                                      </a:lnTo>
                                      <a:lnTo>
                                        <a:pt x="2124" y="5"/>
                                      </a:lnTo>
                                      <a:lnTo>
                                        <a:pt x="2049" y="1"/>
                                      </a:lnTo>
                                      <a:lnTo>
                                        <a:pt x="1974" y="0"/>
                                      </a:lnTo>
                                      <a:close/>
                                    </a:path>
                                  </a:pathLst>
                                </a:custGeom>
                                <a:solidFill>
                                  <a:srgbClr val="9F9C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5028" y="1096"/>
                                  <a:ext cx="2415" cy="2437"/>
                                </a:xfrm>
                                <a:custGeom>
                                  <a:avLst/>
                                  <a:gdLst>
                                    <a:gd name="T0" fmla="*/ 1131 w 2415"/>
                                    <a:gd name="T1" fmla="*/ 2 h 2437"/>
                                    <a:gd name="T2" fmla="*/ 982 w 2415"/>
                                    <a:gd name="T3" fmla="*/ 21 h 2437"/>
                                    <a:gd name="T4" fmla="*/ 839 w 2415"/>
                                    <a:gd name="T5" fmla="*/ 57 h 2437"/>
                                    <a:gd name="T6" fmla="*/ 704 w 2415"/>
                                    <a:gd name="T7" fmla="*/ 110 h 2437"/>
                                    <a:gd name="T8" fmla="*/ 577 w 2415"/>
                                    <a:gd name="T9" fmla="*/ 178 h 2437"/>
                                    <a:gd name="T10" fmla="*/ 460 w 2415"/>
                                    <a:gd name="T11" fmla="*/ 261 h 2437"/>
                                    <a:gd name="T12" fmla="*/ 353 w 2415"/>
                                    <a:gd name="T13" fmla="*/ 356 h 2437"/>
                                    <a:gd name="T14" fmla="*/ 258 w 2415"/>
                                    <a:gd name="T15" fmla="*/ 464 h 2437"/>
                                    <a:gd name="T16" fmla="*/ 177 w 2415"/>
                                    <a:gd name="T17" fmla="*/ 582 h 2437"/>
                                    <a:gd name="T18" fmla="*/ 109 w 2415"/>
                                    <a:gd name="T19" fmla="*/ 710 h 2437"/>
                                    <a:gd name="T20" fmla="*/ 57 w 2415"/>
                                    <a:gd name="T21" fmla="*/ 847 h 2437"/>
                                    <a:gd name="T22" fmla="*/ 20 w 2415"/>
                                    <a:gd name="T23" fmla="*/ 991 h 2437"/>
                                    <a:gd name="T24" fmla="*/ 2 w 2415"/>
                                    <a:gd name="T25" fmla="*/ 1141 h 2437"/>
                                    <a:gd name="T26" fmla="*/ 2 w 2415"/>
                                    <a:gd name="T27" fmla="*/ 1295 h 2437"/>
                                    <a:gd name="T28" fmla="*/ 20 w 2415"/>
                                    <a:gd name="T29" fmla="*/ 1445 h 2437"/>
                                    <a:gd name="T30" fmla="*/ 57 w 2415"/>
                                    <a:gd name="T31" fmla="*/ 1589 h 2437"/>
                                    <a:gd name="T32" fmla="*/ 109 w 2415"/>
                                    <a:gd name="T33" fmla="*/ 1725 h 2437"/>
                                    <a:gd name="T34" fmla="*/ 177 w 2415"/>
                                    <a:gd name="T35" fmla="*/ 1853 h 2437"/>
                                    <a:gd name="T36" fmla="*/ 258 w 2415"/>
                                    <a:gd name="T37" fmla="*/ 1972 h 2437"/>
                                    <a:gd name="T38" fmla="*/ 353 w 2415"/>
                                    <a:gd name="T39" fmla="*/ 2079 h 2437"/>
                                    <a:gd name="T40" fmla="*/ 460 w 2415"/>
                                    <a:gd name="T41" fmla="*/ 2175 h 2437"/>
                                    <a:gd name="T42" fmla="*/ 577 w 2415"/>
                                    <a:gd name="T43" fmla="*/ 2257 h 2437"/>
                                    <a:gd name="T44" fmla="*/ 704 w 2415"/>
                                    <a:gd name="T45" fmla="*/ 2325 h 2437"/>
                                    <a:gd name="T46" fmla="*/ 839 w 2415"/>
                                    <a:gd name="T47" fmla="*/ 2378 h 2437"/>
                                    <a:gd name="T48" fmla="*/ 982 w 2415"/>
                                    <a:gd name="T49" fmla="*/ 2415 h 2437"/>
                                    <a:gd name="T50" fmla="*/ 1131 w 2415"/>
                                    <a:gd name="T51" fmla="*/ 2433 h 2437"/>
                                    <a:gd name="T52" fmla="*/ 1283 w 2415"/>
                                    <a:gd name="T53" fmla="*/ 2433 h 2437"/>
                                    <a:gd name="T54" fmla="*/ 1432 w 2415"/>
                                    <a:gd name="T55" fmla="*/ 2415 h 2437"/>
                                    <a:gd name="T56" fmla="*/ 1575 w 2415"/>
                                    <a:gd name="T57" fmla="*/ 2378 h 2437"/>
                                    <a:gd name="T58" fmla="*/ 1710 w 2415"/>
                                    <a:gd name="T59" fmla="*/ 2325 h 2437"/>
                                    <a:gd name="T60" fmla="*/ 1837 w 2415"/>
                                    <a:gd name="T61" fmla="*/ 2257 h 2437"/>
                                    <a:gd name="T62" fmla="*/ 1954 w 2415"/>
                                    <a:gd name="T63" fmla="*/ 2175 h 2437"/>
                                    <a:gd name="T64" fmla="*/ 2061 w 2415"/>
                                    <a:gd name="T65" fmla="*/ 2079 h 2437"/>
                                    <a:gd name="T66" fmla="*/ 2155 w 2415"/>
                                    <a:gd name="T67" fmla="*/ 1972 h 2437"/>
                                    <a:gd name="T68" fmla="*/ 2237 w 2415"/>
                                    <a:gd name="T69" fmla="*/ 1853 h 2437"/>
                                    <a:gd name="T70" fmla="*/ 2305 w 2415"/>
                                    <a:gd name="T71" fmla="*/ 1725 h 2437"/>
                                    <a:gd name="T72" fmla="*/ 2357 w 2415"/>
                                    <a:gd name="T73" fmla="*/ 1589 h 2437"/>
                                    <a:gd name="T74" fmla="*/ 2393 w 2415"/>
                                    <a:gd name="T75" fmla="*/ 1445 h 2437"/>
                                    <a:gd name="T76" fmla="*/ 2412 w 2415"/>
                                    <a:gd name="T77" fmla="*/ 1295 h 2437"/>
                                    <a:gd name="T78" fmla="*/ 2412 w 2415"/>
                                    <a:gd name="T79" fmla="*/ 1141 h 2437"/>
                                    <a:gd name="T80" fmla="*/ 2393 w 2415"/>
                                    <a:gd name="T81" fmla="*/ 991 h 2437"/>
                                    <a:gd name="T82" fmla="*/ 2357 w 2415"/>
                                    <a:gd name="T83" fmla="*/ 847 h 2437"/>
                                    <a:gd name="T84" fmla="*/ 2305 w 2415"/>
                                    <a:gd name="T85" fmla="*/ 710 h 2437"/>
                                    <a:gd name="T86" fmla="*/ 2237 w 2415"/>
                                    <a:gd name="T87" fmla="*/ 582 h 2437"/>
                                    <a:gd name="T88" fmla="*/ 2155 w 2415"/>
                                    <a:gd name="T89" fmla="*/ 464 h 2437"/>
                                    <a:gd name="T90" fmla="*/ 2061 w 2415"/>
                                    <a:gd name="T91" fmla="*/ 356 h 2437"/>
                                    <a:gd name="T92" fmla="*/ 1954 w 2415"/>
                                    <a:gd name="T93" fmla="*/ 261 h 2437"/>
                                    <a:gd name="T94" fmla="*/ 1837 w 2415"/>
                                    <a:gd name="T95" fmla="*/ 178 h 2437"/>
                                    <a:gd name="T96" fmla="*/ 1710 w 2415"/>
                                    <a:gd name="T97" fmla="*/ 110 h 2437"/>
                                    <a:gd name="T98" fmla="*/ 1575 w 2415"/>
                                    <a:gd name="T99" fmla="*/ 57 h 2437"/>
                                    <a:gd name="T100" fmla="*/ 1432 w 2415"/>
                                    <a:gd name="T101" fmla="*/ 21 h 2437"/>
                                    <a:gd name="T102" fmla="*/ 1283 w 2415"/>
                                    <a:gd name="T103" fmla="*/ 2 h 2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415" h="2437">
                                      <a:moveTo>
                                        <a:pt x="1207" y="0"/>
                                      </a:moveTo>
                                      <a:lnTo>
                                        <a:pt x="1131" y="2"/>
                                      </a:lnTo>
                                      <a:lnTo>
                                        <a:pt x="1055" y="9"/>
                                      </a:lnTo>
                                      <a:lnTo>
                                        <a:pt x="982" y="21"/>
                                      </a:lnTo>
                                      <a:lnTo>
                                        <a:pt x="910" y="37"/>
                                      </a:lnTo>
                                      <a:lnTo>
                                        <a:pt x="839" y="57"/>
                                      </a:lnTo>
                                      <a:lnTo>
                                        <a:pt x="771" y="81"/>
                                      </a:lnTo>
                                      <a:lnTo>
                                        <a:pt x="704" y="110"/>
                                      </a:lnTo>
                                      <a:lnTo>
                                        <a:pt x="639" y="142"/>
                                      </a:lnTo>
                                      <a:lnTo>
                                        <a:pt x="577" y="178"/>
                                      </a:lnTo>
                                      <a:lnTo>
                                        <a:pt x="517" y="218"/>
                                      </a:lnTo>
                                      <a:lnTo>
                                        <a:pt x="460" y="261"/>
                                      </a:lnTo>
                                      <a:lnTo>
                                        <a:pt x="405" y="307"/>
                                      </a:lnTo>
                                      <a:lnTo>
                                        <a:pt x="353" y="356"/>
                                      </a:lnTo>
                                      <a:lnTo>
                                        <a:pt x="304" y="409"/>
                                      </a:lnTo>
                                      <a:lnTo>
                                        <a:pt x="258" y="464"/>
                                      </a:lnTo>
                                      <a:lnTo>
                                        <a:pt x="216" y="522"/>
                                      </a:lnTo>
                                      <a:lnTo>
                                        <a:pt x="177" y="582"/>
                                      </a:lnTo>
                                      <a:lnTo>
                                        <a:pt x="141" y="645"/>
                                      </a:lnTo>
                                      <a:lnTo>
                                        <a:pt x="109" y="710"/>
                                      </a:lnTo>
                                      <a:lnTo>
                                        <a:pt x="81" y="777"/>
                                      </a:lnTo>
                                      <a:lnTo>
                                        <a:pt x="57" y="847"/>
                                      </a:lnTo>
                                      <a:lnTo>
                                        <a:pt x="36" y="918"/>
                                      </a:lnTo>
                                      <a:lnTo>
                                        <a:pt x="20" y="991"/>
                                      </a:lnTo>
                                      <a:lnTo>
                                        <a:pt x="9" y="1065"/>
                                      </a:lnTo>
                                      <a:lnTo>
                                        <a:pt x="2" y="1141"/>
                                      </a:lnTo>
                                      <a:lnTo>
                                        <a:pt x="0" y="1218"/>
                                      </a:lnTo>
                                      <a:lnTo>
                                        <a:pt x="2" y="1295"/>
                                      </a:lnTo>
                                      <a:lnTo>
                                        <a:pt x="9" y="1370"/>
                                      </a:lnTo>
                                      <a:lnTo>
                                        <a:pt x="20" y="1445"/>
                                      </a:lnTo>
                                      <a:lnTo>
                                        <a:pt x="36" y="1518"/>
                                      </a:lnTo>
                                      <a:lnTo>
                                        <a:pt x="57" y="1589"/>
                                      </a:lnTo>
                                      <a:lnTo>
                                        <a:pt x="81" y="1658"/>
                                      </a:lnTo>
                                      <a:lnTo>
                                        <a:pt x="109" y="1725"/>
                                      </a:lnTo>
                                      <a:lnTo>
                                        <a:pt x="141" y="1790"/>
                                      </a:lnTo>
                                      <a:lnTo>
                                        <a:pt x="177" y="1853"/>
                                      </a:lnTo>
                                      <a:lnTo>
                                        <a:pt x="216" y="1914"/>
                                      </a:lnTo>
                                      <a:lnTo>
                                        <a:pt x="258" y="1972"/>
                                      </a:lnTo>
                                      <a:lnTo>
                                        <a:pt x="304" y="2027"/>
                                      </a:lnTo>
                                      <a:lnTo>
                                        <a:pt x="353" y="2079"/>
                                      </a:lnTo>
                                      <a:lnTo>
                                        <a:pt x="405" y="2128"/>
                                      </a:lnTo>
                                      <a:lnTo>
                                        <a:pt x="460" y="2175"/>
                                      </a:lnTo>
                                      <a:lnTo>
                                        <a:pt x="517" y="2218"/>
                                      </a:lnTo>
                                      <a:lnTo>
                                        <a:pt x="577" y="2257"/>
                                      </a:lnTo>
                                      <a:lnTo>
                                        <a:pt x="639" y="2293"/>
                                      </a:lnTo>
                                      <a:lnTo>
                                        <a:pt x="704" y="2325"/>
                                      </a:lnTo>
                                      <a:lnTo>
                                        <a:pt x="771" y="2354"/>
                                      </a:lnTo>
                                      <a:lnTo>
                                        <a:pt x="839" y="2378"/>
                                      </a:lnTo>
                                      <a:lnTo>
                                        <a:pt x="910" y="2399"/>
                                      </a:lnTo>
                                      <a:lnTo>
                                        <a:pt x="982" y="2415"/>
                                      </a:lnTo>
                                      <a:lnTo>
                                        <a:pt x="1055" y="2426"/>
                                      </a:lnTo>
                                      <a:lnTo>
                                        <a:pt x="1131" y="2433"/>
                                      </a:lnTo>
                                      <a:lnTo>
                                        <a:pt x="1207" y="2436"/>
                                      </a:lnTo>
                                      <a:lnTo>
                                        <a:pt x="1283" y="2433"/>
                                      </a:lnTo>
                                      <a:lnTo>
                                        <a:pt x="1358" y="2426"/>
                                      </a:lnTo>
                                      <a:lnTo>
                                        <a:pt x="1432" y="2415"/>
                                      </a:lnTo>
                                      <a:lnTo>
                                        <a:pt x="1504" y="2399"/>
                                      </a:lnTo>
                                      <a:lnTo>
                                        <a:pt x="1575" y="2378"/>
                                      </a:lnTo>
                                      <a:lnTo>
                                        <a:pt x="1643" y="2354"/>
                                      </a:lnTo>
                                      <a:lnTo>
                                        <a:pt x="1710" y="2325"/>
                                      </a:lnTo>
                                      <a:lnTo>
                                        <a:pt x="1775" y="2293"/>
                                      </a:lnTo>
                                      <a:lnTo>
                                        <a:pt x="1837" y="2257"/>
                                      </a:lnTo>
                                      <a:lnTo>
                                        <a:pt x="1897" y="2218"/>
                                      </a:lnTo>
                                      <a:lnTo>
                                        <a:pt x="1954" y="2175"/>
                                      </a:lnTo>
                                      <a:lnTo>
                                        <a:pt x="2009" y="2128"/>
                                      </a:lnTo>
                                      <a:lnTo>
                                        <a:pt x="2061" y="2079"/>
                                      </a:lnTo>
                                      <a:lnTo>
                                        <a:pt x="2110" y="2027"/>
                                      </a:lnTo>
                                      <a:lnTo>
                                        <a:pt x="2155" y="1972"/>
                                      </a:lnTo>
                                      <a:lnTo>
                                        <a:pt x="2198" y="1914"/>
                                      </a:lnTo>
                                      <a:lnTo>
                                        <a:pt x="2237" y="1853"/>
                                      </a:lnTo>
                                      <a:lnTo>
                                        <a:pt x="2273" y="1790"/>
                                      </a:lnTo>
                                      <a:lnTo>
                                        <a:pt x="2305" y="1725"/>
                                      </a:lnTo>
                                      <a:lnTo>
                                        <a:pt x="2333" y="1658"/>
                                      </a:lnTo>
                                      <a:lnTo>
                                        <a:pt x="2357" y="1589"/>
                                      </a:lnTo>
                                      <a:lnTo>
                                        <a:pt x="2377" y="1518"/>
                                      </a:lnTo>
                                      <a:lnTo>
                                        <a:pt x="2393" y="1445"/>
                                      </a:lnTo>
                                      <a:lnTo>
                                        <a:pt x="2405" y="1370"/>
                                      </a:lnTo>
                                      <a:lnTo>
                                        <a:pt x="2412" y="1295"/>
                                      </a:lnTo>
                                      <a:lnTo>
                                        <a:pt x="2414" y="1218"/>
                                      </a:lnTo>
                                      <a:lnTo>
                                        <a:pt x="2412" y="1141"/>
                                      </a:lnTo>
                                      <a:lnTo>
                                        <a:pt x="2405" y="1065"/>
                                      </a:lnTo>
                                      <a:lnTo>
                                        <a:pt x="2393" y="991"/>
                                      </a:lnTo>
                                      <a:lnTo>
                                        <a:pt x="2377" y="918"/>
                                      </a:lnTo>
                                      <a:lnTo>
                                        <a:pt x="2357" y="847"/>
                                      </a:lnTo>
                                      <a:lnTo>
                                        <a:pt x="2333" y="777"/>
                                      </a:lnTo>
                                      <a:lnTo>
                                        <a:pt x="2305" y="710"/>
                                      </a:lnTo>
                                      <a:lnTo>
                                        <a:pt x="2273" y="645"/>
                                      </a:lnTo>
                                      <a:lnTo>
                                        <a:pt x="2237" y="582"/>
                                      </a:lnTo>
                                      <a:lnTo>
                                        <a:pt x="2198" y="522"/>
                                      </a:lnTo>
                                      <a:lnTo>
                                        <a:pt x="2155" y="464"/>
                                      </a:lnTo>
                                      <a:lnTo>
                                        <a:pt x="2110" y="409"/>
                                      </a:lnTo>
                                      <a:lnTo>
                                        <a:pt x="2061" y="356"/>
                                      </a:lnTo>
                                      <a:lnTo>
                                        <a:pt x="2009" y="307"/>
                                      </a:lnTo>
                                      <a:lnTo>
                                        <a:pt x="1954" y="261"/>
                                      </a:lnTo>
                                      <a:lnTo>
                                        <a:pt x="1897" y="218"/>
                                      </a:lnTo>
                                      <a:lnTo>
                                        <a:pt x="1837" y="178"/>
                                      </a:lnTo>
                                      <a:lnTo>
                                        <a:pt x="1775" y="142"/>
                                      </a:lnTo>
                                      <a:lnTo>
                                        <a:pt x="1710" y="110"/>
                                      </a:lnTo>
                                      <a:lnTo>
                                        <a:pt x="1643" y="81"/>
                                      </a:lnTo>
                                      <a:lnTo>
                                        <a:pt x="1575" y="57"/>
                                      </a:lnTo>
                                      <a:lnTo>
                                        <a:pt x="1504" y="37"/>
                                      </a:lnTo>
                                      <a:lnTo>
                                        <a:pt x="1432" y="21"/>
                                      </a:lnTo>
                                      <a:lnTo>
                                        <a:pt x="1358" y="9"/>
                                      </a:lnTo>
                                      <a:lnTo>
                                        <a:pt x="1283" y="2"/>
                                      </a:lnTo>
                                      <a:lnTo>
                                        <a:pt x="1207" y="0"/>
                                      </a:lnTo>
                                      <a:close/>
                                    </a:path>
                                  </a:pathLst>
                                </a:custGeom>
                                <a:solidFill>
                                  <a:srgbClr val="CAC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5"/>
                              <wps:cNvSpPr>
                                <a:spLocks/>
                              </wps:cNvSpPr>
                              <wps:spPr bwMode="auto">
                                <a:xfrm>
                                  <a:off x="5713" y="1787"/>
                                  <a:ext cx="1046" cy="1055"/>
                                </a:xfrm>
                                <a:custGeom>
                                  <a:avLst/>
                                  <a:gdLst>
                                    <a:gd name="T0" fmla="*/ 522 w 1046"/>
                                    <a:gd name="T1" fmla="*/ 0 h 1055"/>
                                    <a:gd name="T2" fmla="*/ 445 w 1046"/>
                                    <a:gd name="T3" fmla="*/ 5 h 1055"/>
                                    <a:gd name="T4" fmla="*/ 371 w 1046"/>
                                    <a:gd name="T5" fmla="*/ 22 h 1055"/>
                                    <a:gd name="T6" fmla="*/ 302 w 1046"/>
                                    <a:gd name="T7" fmla="*/ 48 h 1055"/>
                                    <a:gd name="T8" fmla="*/ 238 w 1046"/>
                                    <a:gd name="T9" fmla="*/ 84 h 1055"/>
                                    <a:gd name="T10" fmla="*/ 179 w 1046"/>
                                    <a:gd name="T11" fmla="*/ 129 h 1055"/>
                                    <a:gd name="T12" fmla="*/ 128 w 1046"/>
                                    <a:gd name="T13" fmla="*/ 181 h 1055"/>
                                    <a:gd name="T14" fmla="*/ 84 w 1046"/>
                                    <a:gd name="T15" fmla="*/ 240 h 1055"/>
                                    <a:gd name="T16" fmla="*/ 48 w 1046"/>
                                    <a:gd name="T17" fmla="*/ 304 h 1055"/>
                                    <a:gd name="T18" fmla="*/ 22 w 1046"/>
                                    <a:gd name="T19" fmla="*/ 374 h 1055"/>
                                    <a:gd name="T20" fmla="*/ 5 w 1046"/>
                                    <a:gd name="T21" fmla="*/ 449 h 1055"/>
                                    <a:gd name="T22" fmla="*/ 0 w 1046"/>
                                    <a:gd name="T23" fmla="*/ 527 h 1055"/>
                                    <a:gd name="T24" fmla="*/ 5 w 1046"/>
                                    <a:gd name="T25" fmla="*/ 605 h 1055"/>
                                    <a:gd name="T26" fmla="*/ 22 w 1046"/>
                                    <a:gd name="T27" fmla="*/ 679 h 1055"/>
                                    <a:gd name="T28" fmla="*/ 48 w 1046"/>
                                    <a:gd name="T29" fmla="*/ 749 h 1055"/>
                                    <a:gd name="T30" fmla="*/ 84 w 1046"/>
                                    <a:gd name="T31" fmla="*/ 814 h 1055"/>
                                    <a:gd name="T32" fmla="*/ 128 w 1046"/>
                                    <a:gd name="T33" fmla="*/ 873 h 1055"/>
                                    <a:gd name="T34" fmla="*/ 179 w 1046"/>
                                    <a:gd name="T35" fmla="*/ 925 h 1055"/>
                                    <a:gd name="T36" fmla="*/ 238 w 1046"/>
                                    <a:gd name="T37" fmla="*/ 969 h 1055"/>
                                    <a:gd name="T38" fmla="*/ 302 w 1046"/>
                                    <a:gd name="T39" fmla="*/ 1005 h 1055"/>
                                    <a:gd name="T40" fmla="*/ 371 w 1046"/>
                                    <a:gd name="T41" fmla="*/ 1032 h 1055"/>
                                    <a:gd name="T42" fmla="*/ 445 w 1046"/>
                                    <a:gd name="T43" fmla="*/ 1048 h 1055"/>
                                    <a:gd name="T44" fmla="*/ 522 w 1046"/>
                                    <a:gd name="T45" fmla="*/ 1054 h 1055"/>
                                    <a:gd name="T46" fmla="*/ 599 w 1046"/>
                                    <a:gd name="T47" fmla="*/ 1048 h 1055"/>
                                    <a:gd name="T48" fmla="*/ 673 w 1046"/>
                                    <a:gd name="T49" fmla="*/ 1032 h 1055"/>
                                    <a:gd name="T50" fmla="*/ 742 w 1046"/>
                                    <a:gd name="T51" fmla="*/ 1005 h 1055"/>
                                    <a:gd name="T52" fmla="*/ 807 w 1046"/>
                                    <a:gd name="T53" fmla="*/ 969 h 1055"/>
                                    <a:gd name="T54" fmla="*/ 865 w 1046"/>
                                    <a:gd name="T55" fmla="*/ 925 h 1055"/>
                                    <a:gd name="T56" fmla="*/ 916 w 1046"/>
                                    <a:gd name="T57" fmla="*/ 873 h 1055"/>
                                    <a:gd name="T58" fmla="*/ 960 w 1046"/>
                                    <a:gd name="T59" fmla="*/ 814 h 1055"/>
                                    <a:gd name="T60" fmla="*/ 996 w 1046"/>
                                    <a:gd name="T61" fmla="*/ 749 h 1055"/>
                                    <a:gd name="T62" fmla="*/ 1022 w 1046"/>
                                    <a:gd name="T63" fmla="*/ 679 h 1055"/>
                                    <a:gd name="T64" fmla="*/ 1039 w 1046"/>
                                    <a:gd name="T65" fmla="*/ 605 h 1055"/>
                                    <a:gd name="T66" fmla="*/ 1045 w 1046"/>
                                    <a:gd name="T67" fmla="*/ 527 h 1055"/>
                                    <a:gd name="T68" fmla="*/ 1039 w 1046"/>
                                    <a:gd name="T69" fmla="*/ 449 h 1055"/>
                                    <a:gd name="T70" fmla="*/ 1022 w 1046"/>
                                    <a:gd name="T71" fmla="*/ 374 h 1055"/>
                                    <a:gd name="T72" fmla="*/ 996 w 1046"/>
                                    <a:gd name="T73" fmla="*/ 304 h 1055"/>
                                    <a:gd name="T74" fmla="*/ 960 w 1046"/>
                                    <a:gd name="T75" fmla="*/ 240 h 1055"/>
                                    <a:gd name="T76" fmla="*/ 916 w 1046"/>
                                    <a:gd name="T77" fmla="*/ 181 h 1055"/>
                                    <a:gd name="T78" fmla="*/ 865 w 1046"/>
                                    <a:gd name="T79" fmla="*/ 129 h 1055"/>
                                    <a:gd name="T80" fmla="*/ 807 w 1046"/>
                                    <a:gd name="T81" fmla="*/ 84 h 1055"/>
                                    <a:gd name="T82" fmla="*/ 742 w 1046"/>
                                    <a:gd name="T83" fmla="*/ 48 h 1055"/>
                                    <a:gd name="T84" fmla="*/ 673 w 1046"/>
                                    <a:gd name="T85" fmla="*/ 22 h 1055"/>
                                    <a:gd name="T86" fmla="*/ 599 w 1046"/>
                                    <a:gd name="T87" fmla="*/ 5 h 1055"/>
                                    <a:gd name="T88" fmla="*/ 522 w 1046"/>
                                    <a:gd name="T89" fmla="*/ 0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46" h="1055">
                                      <a:moveTo>
                                        <a:pt x="522" y="0"/>
                                      </a:moveTo>
                                      <a:lnTo>
                                        <a:pt x="445" y="5"/>
                                      </a:lnTo>
                                      <a:lnTo>
                                        <a:pt x="371" y="22"/>
                                      </a:lnTo>
                                      <a:lnTo>
                                        <a:pt x="302" y="48"/>
                                      </a:lnTo>
                                      <a:lnTo>
                                        <a:pt x="238" y="84"/>
                                      </a:lnTo>
                                      <a:lnTo>
                                        <a:pt x="179" y="129"/>
                                      </a:lnTo>
                                      <a:lnTo>
                                        <a:pt x="128" y="181"/>
                                      </a:lnTo>
                                      <a:lnTo>
                                        <a:pt x="84" y="240"/>
                                      </a:lnTo>
                                      <a:lnTo>
                                        <a:pt x="48" y="304"/>
                                      </a:lnTo>
                                      <a:lnTo>
                                        <a:pt x="22" y="374"/>
                                      </a:lnTo>
                                      <a:lnTo>
                                        <a:pt x="5" y="449"/>
                                      </a:lnTo>
                                      <a:lnTo>
                                        <a:pt x="0" y="527"/>
                                      </a:lnTo>
                                      <a:lnTo>
                                        <a:pt x="5" y="605"/>
                                      </a:lnTo>
                                      <a:lnTo>
                                        <a:pt x="22" y="679"/>
                                      </a:lnTo>
                                      <a:lnTo>
                                        <a:pt x="48" y="749"/>
                                      </a:lnTo>
                                      <a:lnTo>
                                        <a:pt x="84" y="814"/>
                                      </a:lnTo>
                                      <a:lnTo>
                                        <a:pt x="128" y="873"/>
                                      </a:lnTo>
                                      <a:lnTo>
                                        <a:pt x="179" y="925"/>
                                      </a:lnTo>
                                      <a:lnTo>
                                        <a:pt x="238" y="969"/>
                                      </a:lnTo>
                                      <a:lnTo>
                                        <a:pt x="302" y="1005"/>
                                      </a:lnTo>
                                      <a:lnTo>
                                        <a:pt x="371" y="1032"/>
                                      </a:lnTo>
                                      <a:lnTo>
                                        <a:pt x="445" y="1048"/>
                                      </a:lnTo>
                                      <a:lnTo>
                                        <a:pt x="522" y="1054"/>
                                      </a:lnTo>
                                      <a:lnTo>
                                        <a:pt x="599" y="1048"/>
                                      </a:lnTo>
                                      <a:lnTo>
                                        <a:pt x="673" y="1032"/>
                                      </a:lnTo>
                                      <a:lnTo>
                                        <a:pt x="742" y="1005"/>
                                      </a:lnTo>
                                      <a:lnTo>
                                        <a:pt x="807" y="969"/>
                                      </a:lnTo>
                                      <a:lnTo>
                                        <a:pt x="865" y="925"/>
                                      </a:lnTo>
                                      <a:lnTo>
                                        <a:pt x="916" y="873"/>
                                      </a:lnTo>
                                      <a:lnTo>
                                        <a:pt x="960" y="814"/>
                                      </a:lnTo>
                                      <a:lnTo>
                                        <a:pt x="996" y="749"/>
                                      </a:lnTo>
                                      <a:lnTo>
                                        <a:pt x="1022" y="679"/>
                                      </a:lnTo>
                                      <a:lnTo>
                                        <a:pt x="1039" y="605"/>
                                      </a:lnTo>
                                      <a:lnTo>
                                        <a:pt x="1045" y="527"/>
                                      </a:lnTo>
                                      <a:lnTo>
                                        <a:pt x="1039" y="449"/>
                                      </a:lnTo>
                                      <a:lnTo>
                                        <a:pt x="1022" y="374"/>
                                      </a:lnTo>
                                      <a:lnTo>
                                        <a:pt x="996" y="304"/>
                                      </a:lnTo>
                                      <a:lnTo>
                                        <a:pt x="960" y="240"/>
                                      </a:lnTo>
                                      <a:lnTo>
                                        <a:pt x="916" y="181"/>
                                      </a:lnTo>
                                      <a:lnTo>
                                        <a:pt x="865" y="129"/>
                                      </a:lnTo>
                                      <a:lnTo>
                                        <a:pt x="807" y="84"/>
                                      </a:lnTo>
                                      <a:lnTo>
                                        <a:pt x="742" y="48"/>
                                      </a:lnTo>
                                      <a:lnTo>
                                        <a:pt x="673" y="22"/>
                                      </a:lnTo>
                                      <a:lnTo>
                                        <a:pt x="599" y="5"/>
                                      </a:lnTo>
                                      <a:lnTo>
                                        <a:pt x="5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6"/>
                              <wps:cNvSpPr txBox="1">
                                <a:spLocks noChangeArrowheads="1"/>
                              </wps:cNvSpPr>
                              <wps:spPr bwMode="auto">
                                <a:xfrm>
                                  <a:off x="5518" y="455"/>
                                  <a:ext cx="1456"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5EF" w:rsidRDefault="006215EF" w:rsidP="009C58EA">
                                    <w:pPr>
                                      <w:pStyle w:val="BodyText"/>
                                      <w:kinsoku w:val="0"/>
                                      <w:overflowPunct w:val="0"/>
                                      <w:spacing w:before="4" w:after="0" w:line="192" w:lineRule="exact"/>
                                      <w:ind w:right="17"/>
                                      <w:jc w:val="center"/>
                                      <w:rPr>
                                        <w:rFonts w:ascii="Century Gothic" w:hAnsi="Century Gothic" w:cs="Century Gothic"/>
                                        <w:b w:val="0"/>
                                        <w:bCs w:val="0"/>
                                        <w:sz w:val="16"/>
                                        <w:szCs w:val="16"/>
                                      </w:rPr>
                                    </w:pPr>
                                    <w:r>
                                      <w:rPr>
                                        <w:rFonts w:ascii="Century Gothic" w:hAnsi="Century Gothic" w:cs="Century Gothic"/>
                                        <w:sz w:val="16"/>
                                        <w:szCs w:val="16"/>
                                      </w:rPr>
                                      <w:t xml:space="preserve">YARD/GARDEN </w:t>
                                    </w:r>
                                    <w:r>
                                      <w:rPr>
                                        <w:rFonts w:ascii="Century Gothic" w:hAnsi="Century Gothic" w:cs="Century Gothic"/>
                                        <w:w w:val="95"/>
                                        <w:sz w:val="16"/>
                                        <w:szCs w:val="16"/>
                                      </w:rPr>
                                      <w:t xml:space="preserve">SPORT/RECREATION </w:t>
                                    </w:r>
                                    <w:r>
                                      <w:rPr>
                                        <w:rFonts w:ascii="Century Gothic" w:hAnsi="Century Gothic" w:cs="Century Gothic"/>
                                        <w:sz w:val="16"/>
                                        <w:szCs w:val="16"/>
                                      </w:rPr>
                                      <w:t>1%</w:t>
                                    </w:r>
                                  </w:p>
                                  <w:p w:rsidR="006215EF" w:rsidRDefault="006215EF" w:rsidP="009C58EA">
                                    <w:pPr>
                                      <w:pStyle w:val="BodyText"/>
                                      <w:kinsoku w:val="0"/>
                                      <w:overflowPunct w:val="0"/>
                                      <w:spacing w:before="1" w:after="0"/>
                                      <w:rPr>
                                        <w:sz w:val="23"/>
                                        <w:szCs w:val="23"/>
                                      </w:rPr>
                                    </w:pPr>
                                  </w:p>
                                  <w:p w:rsidR="006215EF" w:rsidRDefault="006215EF" w:rsidP="005221BE">
                                    <w:pPr>
                                      <w:pStyle w:val="BodyText"/>
                                      <w:kinsoku w:val="0"/>
                                      <w:overflowPunct w:val="0"/>
                                      <w:spacing w:line="192" w:lineRule="exact"/>
                                      <w:ind w:left="261" w:right="279"/>
                                      <w:jc w:val="center"/>
                                      <w:rPr>
                                        <w:rFonts w:ascii="Century Gothic" w:hAnsi="Century Gothic" w:cs="Century Gothic"/>
                                        <w:b w:val="0"/>
                                        <w:bCs w:val="0"/>
                                        <w:sz w:val="16"/>
                                        <w:szCs w:val="16"/>
                                      </w:rPr>
                                    </w:pPr>
                                    <w:r>
                                      <w:rPr>
                                        <w:rFonts w:ascii="Century Gothic" w:hAnsi="Century Gothic" w:cs="Century Gothic"/>
                                        <w:w w:val="95"/>
                                        <w:sz w:val="16"/>
                                        <w:szCs w:val="16"/>
                                      </w:rPr>
                                      <w:t>HOME CARE</w:t>
                                    </w:r>
                                    <w:r>
                                      <w:rPr>
                                        <w:rFonts w:ascii="Century Gothic" w:hAnsi="Century Gothic" w:cs="Century Gothic"/>
                                        <w:w w:val="96"/>
                                        <w:sz w:val="16"/>
                                        <w:szCs w:val="16"/>
                                      </w:rPr>
                                      <w:t xml:space="preserve"> </w:t>
                                    </w:r>
                                    <w:r>
                                      <w:rPr>
                                        <w:rFonts w:ascii="Century Gothic" w:hAnsi="Century Gothic" w:cs="Century Gothic"/>
                                        <w:sz w:val="16"/>
                                        <w:szCs w:val="16"/>
                                      </w:rPr>
                                      <w:t>2%</w:t>
                                    </w:r>
                                  </w:p>
                                </w:txbxContent>
                              </wps:txbx>
                              <wps:bodyPr rot="0" vert="horz" wrap="square" lIns="0" tIns="0" rIns="0" bIns="0" anchor="t" anchorCtr="0" upright="1">
                                <a:noAutofit/>
                              </wps:bodyPr>
                            </wps:wsp>
                            <wps:wsp>
                              <wps:cNvPr id="17" name="Text Box 7"/>
                              <wps:cNvSpPr txBox="1">
                                <a:spLocks noChangeArrowheads="1"/>
                              </wps:cNvSpPr>
                              <wps:spPr bwMode="auto">
                                <a:xfrm>
                                  <a:off x="5860" y="2139"/>
                                  <a:ext cx="77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5EF" w:rsidRDefault="006215EF" w:rsidP="005221BE">
                                    <w:pPr>
                                      <w:pStyle w:val="BodyText"/>
                                      <w:kinsoku w:val="0"/>
                                      <w:overflowPunct w:val="0"/>
                                      <w:spacing w:before="4" w:line="192" w:lineRule="exact"/>
                                      <w:ind w:left="261" w:right="1" w:hanging="262"/>
                                      <w:rPr>
                                        <w:rFonts w:ascii="Century Gothic" w:hAnsi="Century Gothic" w:cs="Century Gothic"/>
                                        <w:b w:val="0"/>
                                        <w:bCs w:val="0"/>
                                        <w:sz w:val="16"/>
                                        <w:szCs w:val="16"/>
                                      </w:rPr>
                                    </w:pPr>
                                    <w:r>
                                      <w:rPr>
                                        <w:rFonts w:ascii="Century Gothic" w:hAnsi="Century Gothic" w:cs="Century Gothic"/>
                                        <w:sz w:val="16"/>
                                        <w:szCs w:val="16"/>
                                      </w:rPr>
                                      <w:t>SELF</w:t>
                                    </w:r>
                                    <w:r>
                                      <w:rPr>
                                        <w:rFonts w:ascii="Century Gothic" w:hAnsi="Century Gothic" w:cs="Century Gothic"/>
                                        <w:spacing w:val="-25"/>
                                        <w:sz w:val="16"/>
                                        <w:szCs w:val="16"/>
                                      </w:rPr>
                                      <w:t xml:space="preserve"> </w:t>
                                    </w:r>
                                    <w:r>
                                      <w:rPr>
                                        <w:rFonts w:ascii="Century Gothic" w:hAnsi="Century Gothic" w:cs="Century Gothic"/>
                                        <w:sz w:val="16"/>
                                        <w:szCs w:val="16"/>
                                      </w:rPr>
                                      <w:t>CARE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E8E88" id="Group 7" o:spid="_x0000_s1026" style="position:absolute;left:0;text-align:left;margin-left:0;margin-top:0;width:197.45pt;height:197.45pt;z-index:251672576;mso-wrap-distance-left:0;mso-wrap-distance-right:0;mso-position-horizontal:center;mso-position-horizontal-relative:margin;mso-position-vertical:top;mso-position-vertical-relative:margin" coordorigin="4261,340" coordsize="3949,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" o:allowincell="f">
                      <v:shape id="Freeform 3" o:spid="_x0000_s1027" style="position:absolute;left:4261;top:340;width:3949;height:3949;visibility:visible;mso-wrap-style:square;v-text-anchor:top" coordsize="3949,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UB8MA&#10;AADaAAAADwAAAGRycy9kb3ducmV2LnhtbESPQYvCMBSE7wv+h/AEL4umehCtRhFRKMIKuoJ4ezTP&#10;ttq81CZq/fcbQdjjMPPNMNN5Y0rxoNoVlhX0exEI4tTqgjMFh991dwTCeWSNpWVS8CIH81nra4qx&#10;tk/e0WPvMxFK2MWoIPe+iqV0aU4GXc9WxME729qgD7LOpK7xGcpNKQdRNJQGCw4LOVa0zCm97u9G&#10;wXhw2STJ6Tt5rYpj9kPX7fY2vCvVaTeLCQhPjf8Pf+hEBw7eV8IN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LUB8MAAADaAAAADwAAAAAAAAAAAAAAAACYAgAAZHJzL2Rv&#10;d25yZXYueG1sUEsFBgAAAAAEAAQA9QAAAIgDAAAAAA==&#10;" path="m1974,r-76,1l1823,5r-74,7l1675,22r-72,12l1531,49r-70,18l1391,87r-69,22l1255,134r-66,28l1124,191r-64,32l998,257r-61,36l877,332r-58,40l763,414r-55,45l654,505r-51,48l553,603r-48,51l459,708r-45,55l372,819r-40,58l293,937r-36,61l223,1060r-32,64l162,1189r-28,66l109,1322r-22,69l67,1461r-18,70l34,1603r-12,72l12,1749r-7,74l1,1898,,1974r1,75l5,2124r7,75l22,2272r12,73l49,2416r18,71l87,2556r22,69l134,2692r28,67l191,2824r32,63l257,2950r36,61l332,3070r40,58l414,3185r45,55l505,3293r48,52l603,3394r51,48l708,3489r55,44l819,3575r58,41l937,3654r61,36l1060,3724r64,32l1189,3786r66,27l1322,3838r69,23l1461,3881r70,17l1603,3913r72,13l1749,3935r74,7l1898,3947r76,1l2049,3947r75,-5l2199,3935r73,-9l2345,3913r71,-15l2487,3881r70,-20l2625,3838r67,-25l2759,3786r65,-30l2887,3724r63,-34l3011,3654r59,-38l3128,3575r57,-42l3240,3489r53,-47l3345,3394r49,-49l3443,3293r46,-53l3533,3185r42,-57l3616,3070r38,-59l3690,2950r34,-63l3756,2824r30,-65l3813,2692r25,-67l3861,2556r20,-69l3898,2416r15,-71l3926,2272r9,-73l3942,2124r5,-75l3948,1974r-1,-76l3942,1823r-7,-74l3926,1675r-13,-72l3898,1531r-17,-70l3861,1391r-23,-69l3813,1255r-27,-66l3756,1124r-32,-64l3690,998r-36,-61l3616,877r-41,-58l3533,763r-44,-55l3443,654r-49,-51l3345,553r-52,-48l3240,459r-55,-45l3128,372r-58,-40l3011,293r-61,-36l2887,223r-63,-32l2759,162r-67,-28l2625,109,2557,87,2487,67,2416,49,2345,34,2272,22,2199,12,2124,5,2049,1,1974,xe" fillcolor="#9f9c64" stroked="f">
                        <v:path arrowok="t" o:connecttype="custom" o:connectlocs="1823,5;1603,34;1391,87;1189,162;998,257;819,372;654,505;505,654;372,819;257,998;162,1189;87,1391;34,1603;5,1823;1,2049;22,2272;67,2487;134,2692;223,2887;332,3070;459,3240;603,3394;763,3533;937,3654;1124,3756;1322,3838;1531,3898;1749,3935;1974,3948;2199,3935;2416,3898;2625,3838;2824,3756;3011,3654;3185,3533;3345,3394;3489,3240;3616,3070;3724,2887;3813,2692;3881,2487;3926,2272;3947,2049;3942,1823;3913,1603;3861,1391;3786,1189;3690,998;3575,819;3443,654;3293,505;3128,372;2950,257;2759,162;2557,87;2345,34;2124,5" o:connectangles="0,0,0,0,0,0,0,0,0,0,0,0,0,0,0,0,0,0,0,0,0,0,0,0,0,0,0,0,0,0,0,0,0,0,0,0,0,0,0,0,0,0,0,0,0,0,0,0,0,0,0,0,0,0,0,0,0"/>
                      </v:shape>
                      <v:shape id="Freeform 4" o:spid="_x0000_s1028" style="position:absolute;left:5028;top:1096;width:2415;height:2437;visibility:visible;mso-wrap-style:square;v-text-anchor:top" coordsize="2415,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EY1cMA&#10;AADbAAAADwAAAGRycy9kb3ducmV2LnhtbESPMW/CQAyF90r8h5OR2MqFDhSlHAiBQAxUqMDA6Obc&#10;JGrsi3JXCP++Hip1s/We3/s8X/bcmBt1sQ7iYDLOwJAUwddSOrict88zMDGheGyCkIMHRVguBk9z&#10;zH24ywfdTqk0GiIxRwdVSm1ubSwqYozj0JKo9hU6xqRrV1rf4V3DubEvWTa1jLVoQ4UtrSsqvk8/&#10;7CAeeMPvtp6F446PW7y+lvvdp3OjYb96A5OoT//mv+u9V3yl1190ALv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EY1cMAAADbAAAADwAAAAAAAAAAAAAAAACYAgAAZHJzL2Rv&#10;d25yZXYueG1sUEsFBgAAAAAEAAQA9QAAAIgDAAAAAA==&#10;" path="m1207,r-76,2l1055,9,982,21,910,37,839,57,771,81r-67,29l639,142r-62,36l517,218r-57,43l405,307r-52,49l304,409r-46,55l216,522r-39,60l141,645r-32,65l81,777,57,847,36,918,20,991,9,1065r-7,76l,1218r2,77l9,1370r11,75l36,1518r21,71l81,1658r28,67l141,1790r36,63l216,1914r42,58l304,2027r49,52l405,2128r55,47l517,2218r60,39l639,2293r65,32l771,2354r68,24l910,2399r72,16l1055,2426r76,7l1207,2436r76,-3l1358,2426r74,-11l1504,2399r71,-21l1643,2354r67,-29l1775,2293r62,-36l1897,2218r57,-43l2009,2128r52,-49l2110,2027r45,-55l2198,1914r39,-61l2273,1790r32,-65l2333,1658r24,-69l2377,1518r16,-73l2405,1370r7,-75l2414,1218r-2,-77l2405,1065r-12,-74l2377,918r-20,-71l2333,777r-28,-67l2273,645r-36,-63l2198,522r-43,-58l2110,409r-49,-53l2009,307r-55,-46l1897,218r-60,-40l1775,142r-65,-32l1643,81,1575,57,1504,37,1432,21,1358,9,1283,2,1207,xe" fillcolor="#cac7a7" stroked="f">
                        <v:path arrowok="t" o:connecttype="custom" o:connectlocs="1131,2;982,21;839,57;704,110;577,178;460,261;353,356;258,464;177,582;109,710;57,847;20,991;2,1141;2,1295;20,1445;57,1589;109,1725;177,1853;258,1972;353,2079;460,2175;577,2257;704,2325;839,2378;982,2415;1131,2433;1283,2433;1432,2415;1575,2378;1710,2325;1837,2257;1954,2175;2061,2079;2155,1972;2237,1853;2305,1725;2357,1589;2393,1445;2412,1295;2412,1141;2393,991;2357,847;2305,710;2237,582;2155,464;2061,356;1954,261;1837,178;1710,110;1575,57;1432,21;1283,2" o:connectangles="0,0,0,0,0,0,0,0,0,0,0,0,0,0,0,0,0,0,0,0,0,0,0,0,0,0,0,0,0,0,0,0,0,0,0,0,0,0,0,0,0,0,0,0,0,0,0,0,0,0,0,0"/>
                      </v:shape>
                      <v:shape id="Freeform 5" o:spid="_x0000_s1029" style="position:absolute;left:5713;top:1787;width:1046;height:1055;visibility:visible;mso-wrap-style:square;v-text-anchor:top" coordsize="1046,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jgsAA&#10;AADbAAAADwAAAGRycy9kb3ducmV2LnhtbERPTYvCMBC9C/6HMMLebKqCLLVRVHTXyx62Kr0OzdgW&#10;m0lpslr/vVkQvM3jfU666k0jbtS52rKCSRSDIC6srrlUcDrux58gnEfW2FgmBQ9ysFoOBykm2t75&#10;l26ZL0UIYZeggsr7NpHSFRUZdJFtiQN3sZ1BH2BXSt3hPYSbRk7jeC4N1hwaKmxpW1Fxzf6Mgjz7&#10;On/LcvNz3ul9f2rXPMvzXKmPUb9egPDU+7f45T7oMH8G/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JjgsAAAADbAAAADwAAAAAAAAAAAAAAAACYAgAAZHJzL2Rvd25y&#10;ZXYueG1sUEsFBgAAAAAEAAQA9QAAAIUDAAAAAA==&#10;" path="m522,l445,5,371,22,302,48,238,84r-59,45l128,181,84,240,48,304,22,374,5,449,,527r5,78l22,679r26,70l84,814r44,59l179,925r59,44l302,1005r69,27l445,1048r77,6l599,1048r74,-16l742,1005r65,-36l865,925r51,-52l960,814r36,-65l1022,679r17,-74l1045,527r-6,-78l1022,374,996,304,960,240,916,181,865,129,807,84,742,48,673,22,599,5,522,xe" stroked="f">
                        <v:path arrowok="t" o:connecttype="custom" o:connectlocs="522,0;445,5;371,22;302,48;238,84;179,129;128,181;84,240;48,304;22,374;5,449;0,527;5,605;22,679;48,749;84,814;128,873;179,925;238,969;302,1005;371,1032;445,1048;522,1054;599,1048;673,1032;742,1005;807,969;865,925;916,873;960,814;996,749;1022,679;1039,605;1045,527;1039,449;1022,374;996,304;960,240;916,181;865,129;807,84;742,48;673,22;599,5;522,0" o:connectangles="0,0,0,0,0,0,0,0,0,0,0,0,0,0,0,0,0,0,0,0,0,0,0,0,0,0,0,0,0,0,0,0,0,0,0,0,0,0,0,0,0,0,0,0,0"/>
                      </v:shape>
                      <v:shapetype id="_x0000_t202" coordsize="21600,21600" o:spt="202" path="m,l,21600r21600,l21600,xe">
                        <v:stroke joinstyle="miter"/>
                        <v:path gradientshapeok="t" o:connecttype="rect"/>
                      </v:shapetype>
                      <v:shape id="_x0000_s1030" type="#_x0000_t202" style="position:absolute;left:5518;top:455;width:1456;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6215EF" w:rsidRDefault="006215EF" w:rsidP="009C58EA">
                              <w:pPr>
                                <w:pStyle w:val="BodyText"/>
                                <w:kinsoku w:val="0"/>
                                <w:overflowPunct w:val="0"/>
                                <w:spacing w:before="4" w:after="0" w:line="192" w:lineRule="exact"/>
                                <w:ind w:right="17"/>
                                <w:jc w:val="center"/>
                                <w:rPr>
                                  <w:rFonts w:ascii="Century Gothic" w:hAnsi="Century Gothic" w:cs="Century Gothic"/>
                                  <w:b w:val="0"/>
                                  <w:bCs w:val="0"/>
                                  <w:sz w:val="16"/>
                                  <w:szCs w:val="16"/>
                                </w:rPr>
                              </w:pPr>
                              <w:r>
                                <w:rPr>
                                  <w:rFonts w:ascii="Century Gothic" w:hAnsi="Century Gothic" w:cs="Century Gothic"/>
                                  <w:sz w:val="16"/>
                                  <w:szCs w:val="16"/>
                                </w:rPr>
                                <w:t xml:space="preserve">YARD/GARDEN </w:t>
                              </w:r>
                              <w:r>
                                <w:rPr>
                                  <w:rFonts w:ascii="Century Gothic" w:hAnsi="Century Gothic" w:cs="Century Gothic"/>
                                  <w:w w:val="95"/>
                                  <w:sz w:val="16"/>
                                  <w:szCs w:val="16"/>
                                </w:rPr>
                                <w:t xml:space="preserve">SPORT/RECREATION </w:t>
                              </w:r>
                              <w:r>
                                <w:rPr>
                                  <w:rFonts w:ascii="Century Gothic" w:hAnsi="Century Gothic" w:cs="Century Gothic"/>
                                  <w:sz w:val="16"/>
                                  <w:szCs w:val="16"/>
                                </w:rPr>
                                <w:t>1%</w:t>
                              </w:r>
                            </w:p>
                            <w:p w:rsidR="006215EF" w:rsidRDefault="006215EF" w:rsidP="009C58EA">
                              <w:pPr>
                                <w:pStyle w:val="BodyText"/>
                                <w:kinsoku w:val="0"/>
                                <w:overflowPunct w:val="0"/>
                                <w:spacing w:before="1" w:after="0"/>
                                <w:rPr>
                                  <w:sz w:val="23"/>
                                  <w:szCs w:val="23"/>
                                </w:rPr>
                              </w:pPr>
                            </w:p>
                            <w:p w:rsidR="006215EF" w:rsidRDefault="006215EF" w:rsidP="005221BE">
                              <w:pPr>
                                <w:pStyle w:val="BodyText"/>
                                <w:kinsoku w:val="0"/>
                                <w:overflowPunct w:val="0"/>
                                <w:spacing w:line="192" w:lineRule="exact"/>
                                <w:ind w:left="261" w:right="279"/>
                                <w:jc w:val="center"/>
                                <w:rPr>
                                  <w:rFonts w:ascii="Century Gothic" w:hAnsi="Century Gothic" w:cs="Century Gothic"/>
                                  <w:b w:val="0"/>
                                  <w:bCs w:val="0"/>
                                  <w:sz w:val="16"/>
                                  <w:szCs w:val="16"/>
                                </w:rPr>
                              </w:pPr>
                              <w:r>
                                <w:rPr>
                                  <w:rFonts w:ascii="Century Gothic" w:hAnsi="Century Gothic" w:cs="Century Gothic"/>
                                  <w:w w:val="95"/>
                                  <w:sz w:val="16"/>
                                  <w:szCs w:val="16"/>
                                </w:rPr>
                                <w:t>HOME CARE</w:t>
                              </w:r>
                              <w:r>
                                <w:rPr>
                                  <w:rFonts w:ascii="Century Gothic" w:hAnsi="Century Gothic" w:cs="Century Gothic"/>
                                  <w:w w:val="96"/>
                                  <w:sz w:val="16"/>
                                  <w:szCs w:val="16"/>
                                </w:rPr>
                                <w:t xml:space="preserve"> </w:t>
                              </w:r>
                              <w:r>
                                <w:rPr>
                                  <w:rFonts w:ascii="Century Gothic" w:hAnsi="Century Gothic" w:cs="Century Gothic"/>
                                  <w:sz w:val="16"/>
                                  <w:szCs w:val="16"/>
                                </w:rPr>
                                <w:t>2%</w:t>
                              </w:r>
                            </w:p>
                          </w:txbxContent>
                        </v:textbox>
                      </v:shape>
                      <v:shape id="_x0000_s1031" type="#_x0000_t202" style="position:absolute;left:5860;top:2139;width:773;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6215EF" w:rsidRDefault="006215EF" w:rsidP="005221BE">
                              <w:pPr>
                                <w:pStyle w:val="BodyText"/>
                                <w:kinsoku w:val="0"/>
                                <w:overflowPunct w:val="0"/>
                                <w:spacing w:before="4" w:line="192" w:lineRule="exact"/>
                                <w:ind w:left="261" w:right="1" w:hanging="262"/>
                                <w:rPr>
                                  <w:rFonts w:ascii="Century Gothic" w:hAnsi="Century Gothic" w:cs="Century Gothic"/>
                                  <w:b w:val="0"/>
                                  <w:bCs w:val="0"/>
                                  <w:sz w:val="16"/>
                                  <w:szCs w:val="16"/>
                                </w:rPr>
                              </w:pPr>
                              <w:r>
                                <w:rPr>
                                  <w:rFonts w:ascii="Century Gothic" w:hAnsi="Century Gothic" w:cs="Century Gothic"/>
                                  <w:sz w:val="16"/>
                                  <w:szCs w:val="16"/>
                                </w:rPr>
                                <w:t>SELF</w:t>
                              </w:r>
                              <w:r>
                                <w:rPr>
                                  <w:rFonts w:ascii="Century Gothic" w:hAnsi="Century Gothic" w:cs="Century Gothic"/>
                                  <w:spacing w:val="-25"/>
                                  <w:sz w:val="16"/>
                                  <w:szCs w:val="16"/>
                                </w:rPr>
                                <w:t xml:space="preserve"> </w:t>
                              </w:r>
                              <w:r>
                                <w:rPr>
                                  <w:rFonts w:ascii="Century Gothic" w:hAnsi="Century Gothic" w:cs="Century Gothic"/>
                                  <w:sz w:val="16"/>
                                  <w:szCs w:val="16"/>
                                </w:rPr>
                                <w:t>CARE 3%</w:t>
                              </w:r>
                            </w:p>
                          </w:txbxContent>
                        </v:textbox>
                      </v:shape>
                      <w10:wrap type="topAndBottom" anchorx="margin" anchory="margin"/>
                    </v:group>
                  </w:pict>
                </mc:Fallback>
              </mc:AlternateContent>
            </w:r>
          </w:p>
        </w:tc>
      </w:tr>
    </w:tbl>
    <w:p w:rsidR="00D8141B" w:rsidRPr="00D8141B" w:rsidRDefault="00D8141B" w:rsidP="005221BE">
      <w:pPr>
        <w:pStyle w:val="BodyText4"/>
        <w:spacing w:before="360"/>
      </w:pPr>
      <w:r w:rsidRPr="00D8141B">
        <w:t>The diagram is to be interpreted as follows:</w:t>
      </w:r>
    </w:p>
    <w:p w:rsidR="00D8141B" w:rsidRPr="00D8141B" w:rsidRDefault="00D8141B" w:rsidP="001936FF">
      <w:pPr>
        <w:pStyle w:val="BodyText4"/>
        <w:numPr>
          <w:ilvl w:val="0"/>
          <w:numId w:val="0"/>
        </w:numPr>
        <w:ind w:left="709"/>
      </w:pPr>
      <w:r w:rsidRPr="00D8141B">
        <w:t>Increase base impairment by:</w:t>
      </w:r>
    </w:p>
    <w:p w:rsidR="00D8141B" w:rsidRPr="00D8141B" w:rsidRDefault="00D8141B" w:rsidP="001936FF">
      <w:pPr>
        <w:pStyle w:val="Bulletpoint"/>
        <w:tabs>
          <w:tab w:val="left" w:pos="1134"/>
        </w:tabs>
        <w:ind w:left="1134"/>
        <w:rPr>
          <w:lang w:val="en-US"/>
        </w:rPr>
      </w:pPr>
      <w:r w:rsidRPr="00D8141B">
        <w:rPr>
          <w:lang w:val="en-US"/>
        </w:rPr>
        <w:t>Three per cent WPI if worker's capacity to undertake personal care activities such as dressing, washing, toileting and shaving has been affected.</w:t>
      </w:r>
    </w:p>
    <w:p w:rsidR="00D8141B" w:rsidRPr="00D8141B" w:rsidRDefault="00D8141B" w:rsidP="001936FF">
      <w:pPr>
        <w:pStyle w:val="Bulletpoint"/>
        <w:tabs>
          <w:tab w:val="left" w:pos="1134"/>
        </w:tabs>
        <w:ind w:left="1134"/>
        <w:rPr>
          <w:lang w:val="en-US"/>
        </w:rPr>
      </w:pPr>
      <w:r w:rsidRPr="00D8141B">
        <w:rPr>
          <w:lang w:val="en-US"/>
        </w:rPr>
        <w:t>two per cent WPI if the worker can manage personal care, but is restricted with usual household tasks such as cooking, vacuuming, making beds or tasks of equal magnitude such as shopping, climbing stairs or walking reasonable distances.</w:t>
      </w:r>
    </w:p>
    <w:p w:rsidR="00D8141B" w:rsidRPr="00D8141B" w:rsidRDefault="00D8141B" w:rsidP="001936FF">
      <w:pPr>
        <w:pStyle w:val="Bulletpoint"/>
        <w:tabs>
          <w:tab w:val="left" w:pos="1134"/>
        </w:tabs>
        <w:ind w:left="1134"/>
        <w:rPr>
          <w:lang w:val="en-US"/>
        </w:rPr>
      </w:pPr>
      <w:r w:rsidRPr="00D8141B">
        <w:rPr>
          <w:lang w:val="en-US"/>
        </w:rPr>
        <w:t>one per cent WPI for those able to cope with the above, but unable to get back to previous sporting or recreational activities such as gardening, running and active hobbies etc.</w:t>
      </w:r>
    </w:p>
    <w:p w:rsidR="00D8141B" w:rsidRPr="00D8141B" w:rsidRDefault="00D8141B" w:rsidP="001936FF">
      <w:pPr>
        <w:pStyle w:val="BodyText4"/>
        <w:rPr>
          <w:szCs w:val="20"/>
        </w:rPr>
      </w:pPr>
      <w:r w:rsidRPr="00D8141B">
        <w:t>For a single injury, where there has been more than one spinal region injured, the effect of the injury on A</w:t>
      </w:r>
      <w:r w:rsidR="00130001">
        <w:t>D</w:t>
      </w:r>
      <w:r w:rsidRPr="00D8141B">
        <w:t>L is assessed once only</w:t>
      </w:r>
      <w:r w:rsidRPr="00D8141B">
        <w:rPr>
          <w:szCs w:val="20"/>
        </w:rPr>
        <w:t>.</w:t>
      </w:r>
    </w:p>
    <w:p w:rsidR="00D8141B" w:rsidRPr="00D8141B" w:rsidRDefault="00D8141B" w:rsidP="001936FF">
      <w:pPr>
        <w:pStyle w:val="BodyText4"/>
        <w:numPr>
          <w:ilvl w:val="0"/>
          <w:numId w:val="0"/>
        </w:numPr>
        <w:ind w:left="709"/>
      </w:pPr>
      <w:r w:rsidRPr="00D8141B">
        <w:t>For injuries to one spinal region on different dates, the effect of the injury on A</w:t>
      </w:r>
      <w:r w:rsidR="00130001">
        <w:t>D</w:t>
      </w:r>
      <w:r w:rsidRPr="00D8141B">
        <w:t>L is assessed for the first injury. If, following the second injury, there is a worsening in</w:t>
      </w:r>
      <w:r w:rsidR="00BF09FF">
        <w:t xml:space="preserve"> the ability to perform</w:t>
      </w:r>
      <w:r w:rsidRPr="00D8141B">
        <w:t xml:space="preserve"> A</w:t>
      </w:r>
      <w:r w:rsidR="00130001">
        <w:t>D</w:t>
      </w:r>
      <w:r w:rsidRPr="00D8141B">
        <w:t>L, the appropriate adjustments are made within the range. For example, if one per cent WPI for A</w:t>
      </w:r>
      <w:r w:rsidR="00130001">
        <w:t>D</w:t>
      </w:r>
      <w:r w:rsidRPr="00D8141B">
        <w:t>L is assessed following the first injury and three per cent after the second injury, then two per cent WPI is assessed for the A</w:t>
      </w:r>
      <w:r w:rsidR="00130001">
        <w:t>D</w:t>
      </w:r>
      <w:r w:rsidRPr="00D8141B">
        <w:t>L for the second injury.</w:t>
      </w:r>
    </w:p>
    <w:p w:rsidR="00D8141B" w:rsidRPr="00D8141B" w:rsidRDefault="00D8141B" w:rsidP="001936FF">
      <w:pPr>
        <w:pStyle w:val="BodyText4"/>
        <w:numPr>
          <w:ilvl w:val="0"/>
          <w:numId w:val="0"/>
        </w:numPr>
        <w:ind w:left="709"/>
      </w:pPr>
      <w:r w:rsidRPr="00D8141B">
        <w:lastRenderedPageBreak/>
        <w:t>For injuries to different spinal regions on different dates where there is a worsening of A</w:t>
      </w:r>
      <w:r w:rsidR="00130001">
        <w:t>D</w:t>
      </w:r>
      <w:r w:rsidRPr="00D8141B">
        <w:t>L after the second injury, additional impairment may be assessed. For example, if for an injury to the cervical spine one per cent for A</w:t>
      </w:r>
      <w:r w:rsidR="00130001">
        <w:t>D</w:t>
      </w:r>
      <w:r w:rsidRPr="00D8141B">
        <w:t>L was assessed, and following a subsequent injury to the lumbar spine three per cent WPI was assessed, then two per cent WPI is assessed for the lumbar injury.</w:t>
      </w:r>
    </w:p>
    <w:p w:rsidR="00D8141B" w:rsidRPr="00D8141B" w:rsidRDefault="00D8141B" w:rsidP="001936FF">
      <w:pPr>
        <w:pStyle w:val="BodyText4"/>
        <w:rPr>
          <w:snapToGrid w:val="0"/>
        </w:rPr>
      </w:pPr>
      <w:r w:rsidRPr="00D8141B">
        <w:rPr>
          <w:snapToGrid w:val="0"/>
        </w:rPr>
        <w:t>Effect of surgery: Tables 15-3, 15-4 and 15-5 (pp 384, 389 and 392 AMA5) do not adequately account for the effect of surgery upon the impairment rating for certain disorders of the spine.</w:t>
      </w:r>
      <w:r w:rsidR="00BF09FF">
        <w:rPr>
          <w:snapToGrid w:val="0"/>
        </w:rPr>
        <w:t xml:space="preserve"> The assessor should note that:</w:t>
      </w:r>
    </w:p>
    <w:p w:rsidR="00D8141B" w:rsidRPr="00D8141B" w:rsidRDefault="00D8141B" w:rsidP="001936FF">
      <w:pPr>
        <w:pStyle w:val="Bulletpoint"/>
        <w:tabs>
          <w:tab w:val="left" w:pos="1134"/>
        </w:tabs>
        <w:ind w:left="1134"/>
        <w:rPr>
          <w:lang w:val="en-GB"/>
        </w:rPr>
      </w:pPr>
      <w:r w:rsidRPr="00D8141B">
        <w:rPr>
          <w:lang w:val="en-GB"/>
        </w:rPr>
        <w:t xml:space="preserve">Surgical decompression for spinal stenosis is DRE </w:t>
      </w:r>
      <w:r w:rsidR="00BF09FF">
        <w:rPr>
          <w:lang w:val="en-GB"/>
        </w:rPr>
        <w:t xml:space="preserve">category </w:t>
      </w:r>
      <w:r w:rsidRPr="00D8141B">
        <w:rPr>
          <w:lang w:val="en-GB"/>
        </w:rPr>
        <w:t>III</w:t>
      </w:r>
      <w:r w:rsidR="00BF09FF">
        <w:rPr>
          <w:lang w:val="en-GB"/>
        </w:rPr>
        <w:t xml:space="preserve"> (AMA5 Table 15-3, 15-4, 15-5)</w:t>
      </w:r>
    </w:p>
    <w:p w:rsidR="00D8141B" w:rsidRPr="00D8141B" w:rsidRDefault="00D8141B" w:rsidP="001936FF">
      <w:pPr>
        <w:pStyle w:val="Bulletpoint"/>
        <w:tabs>
          <w:tab w:val="left" w:pos="1134"/>
        </w:tabs>
        <w:ind w:left="1134"/>
        <w:rPr>
          <w:lang w:val="en-GB"/>
        </w:rPr>
      </w:pPr>
      <w:r w:rsidRPr="00D8141B">
        <w:rPr>
          <w:lang w:val="en-GB"/>
        </w:rPr>
        <w:t>Operations where the radiculopathy has resolved are considered under the DRE category III (</w:t>
      </w:r>
      <w:r w:rsidRPr="00D8141B">
        <w:rPr>
          <w:snapToGrid w:val="0"/>
          <w:lang w:val="en-GB"/>
        </w:rPr>
        <w:t xml:space="preserve">AMA5, </w:t>
      </w:r>
      <w:r w:rsidRPr="00D8141B">
        <w:rPr>
          <w:lang w:val="en-GB"/>
        </w:rPr>
        <w:t>Tables 15</w:t>
      </w:r>
      <w:r w:rsidRPr="00D8141B">
        <w:rPr>
          <w:snapToGrid w:val="0"/>
          <w:lang w:val="en-GB"/>
        </w:rPr>
        <w:t>–</w:t>
      </w:r>
      <w:r w:rsidRPr="00D8141B">
        <w:rPr>
          <w:lang w:val="en-GB"/>
        </w:rPr>
        <w:t>3, 15</w:t>
      </w:r>
      <w:r w:rsidRPr="00D8141B">
        <w:rPr>
          <w:snapToGrid w:val="0"/>
          <w:lang w:val="en-GB"/>
        </w:rPr>
        <w:t>–</w:t>
      </w:r>
      <w:r w:rsidRPr="00D8141B">
        <w:rPr>
          <w:lang w:val="en-GB"/>
        </w:rPr>
        <w:t>4, 15</w:t>
      </w:r>
      <w:r w:rsidRPr="00D8141B">
        <w:rPr>
          <w:snapToGrid w:val="0"/>
          <w:lang w:val="en-GB"/>
        </w:rPr>
        <w:t>–</w:t>
      </w:r>
      <w:r w:rsidRPr="00D8141B">
        <w:rPr>
          <w:lang w:val="en-GB"/>
        </w:rPr>
        <w:t>5);</w:t>
      </w:r>
    </w:p>
    <w:p w:rsidR="00D8141B" w:rsidRPr="00555C75" w:rsidRDefault="00D8141B" w:rsidP="001936FF">
      <w:pPr>
        <w:pStyle w:val="Bulletpoint"/>
        <w:tabs>
          <w:tab w:val="left" w:pos="1134"/>
        </w:tabs>
        <w:ind w:left="1134"/>
        <w:rPr>
          <w:lang w:val="en-GB"/>
        </w:rPr>
      </w:pPr>
      <w:r w:rsidRPr="00555C75">
        <w:rPr>
          <w:lang w:val="en-GB"/>
        </w:rPr>
        <w:t xml:space="preserve">Operations </w:t>
      </w:r>
      <w:r w:rsidR="00555C75" w:rsidRPr="00555C75">
        <w:rPr>
          <w:lang w:val="en-US"/>
        </w:rPr>
        <w:t xml:space="preserve">for spinal fusion (successful or unsuccessful) </w:t>
      </w:r>
      <w:r w:rsidRPr="00555C75">
        <w:rPr>
          <w:lang w:val="en-GB"/>
        </w:rPr>
        <w:t>are considered under DRE category IV (</w:t>
      </w:r>
      <w:r w:rsidRPr="00555C75">
        <w:rPr>
          <w:snapToGrid w:val="0"/>
          <w:lang w:val="en-GB"/>
        </w:rPr>
        <w:t xml:space="preserve">AMA5, </w:t>
      </w:r>
      <w:r w:rsidRPr="00555C75">
        <w:rPr>
          <w:lang w:val="en-GB"/>
        </w:rPr>
        <w:t>Tables 15</w:t>
      </w:r>
      <w:r w:rsidRPr="00555C75">
        <w:rPr>
          <w:snapToGrid w:val="0"/>
          <w:lang w:val="en-GB"/>
        </w:rPr>
        <w:t>–</w:t>
      </w:r>
      <w:r w:rsidRPr="00555C75">
        <w:rPr>
          <w:lang w:val="en-GB"/>
        </w:rPr>
        <w:t>3, 15</w:t>
      </w:r>
      <w:r w:rsidRPr="00555C75">
        <w:rPr>
          <w:snapToGrid w:val="0"/>
          <w:lang w:val="en-GB"/>
        </w:rPr>
        <w:t>–</w:t>
      </w:r>
      <w:r w:rsidRPr="00555C75">
        <w:rPr>
          <w:lang w:val="en-GB"/>
        </w:rPr>
        <w:t>4, 15</w:t>
      </w:r>
      <w:r w:rsidRPr="00555C75">
        <w:rPr>
          <w:snapToGrid w:val="0"/>
          <w:lang w:val="en-GB"/>
        </w:rPr>
        <w:t>–</w:t>
      </w:r>
      <w:r w:rsidRPr="00555C75">
        <w:rPr>
          <w:lang w:val="en-GB"/>
        </w:rPr>
        <w:t>5).</w:t>
      </w:r>
    </w:p>
    <w:p w:rsidR="00D8141B" w:rsidRPr="00D8141B" w:rsidRDefault="00D8141B" w:rsidP="001936FF">
      <w:pPr>
        <w:pStyle w:val="Bulletpoint"/>
        <w:tabs>
          <w:tab w:val="left" w:pos="1134"/>
        </w:tabs>
        <w:ind w:left="1134"/>
        <w:rPr>
          <w:lang w:val="en-GB"/>
        </w:rPr>
      </w:pPr>
      <w:r w:rsidRPr="00D8141B">
        <w:rPr>
          <w:iCs/>
          <w:lang w:val="en-US"/>
        </w:rPr>
        <w:t xml:space="preserve">DRE Category V is not to be used following spinal fusion, </w:t>
      </w:r>
      <w:r w:rsidRPr="00D8141B">
        <w:rPr>
          <w:iCs/>
        </w:rPr>
        <w:t>where there is a persisting radiculopathy</w:t>
      </w:r>
      <w:r w:rsidR="004A5BE6">
        <w:rPr>
          <w:iCs/>
          <w:lang w:val="en-US"/>
        </w:rPr>
        <w:t>. Instead use Table 4.2 in the</w:t>
      </w:r>
      <w:r w:rsidRPr="00D8141B">
        <w:rPr>
          <w:iCs/>
          <w:lang w:val="en-US"/>
        </w:rPr>
        <w:t xml:space="preserve"> Guidelines; and</w:t>
      </w:r>
    </w:p>
    <w:p w:rsidR="00D8141B" w:rsidRPr="00D8141B" w:rsidRDefault="00D8141B" w:rsidP="001936FF">
      <w:pPr>
        <w:pStyle w:val="Bulletpoint"/>
        <w:tabs>
          <w:tab w:val="left" w:pos="1134"/>
        </w:tabs>
        <w:spacing w:after="240"/>
        <w:ind w:left="1134"/>
        <w:rPr>
          <w:u w:val="single"/>
          <w:lang w:val="en-GB"/>
        </w:rPr>
      </w:pPr>
      <w:r w:rsidRPr="00D8141B">
        <w:rPr>
          <w:lang w:val="en-GB"/>
        </w:rPr>
        <w:t>Radiculopathy persisting after surgery is not accounted for by AMA5 Table 15-3, and incompletely by Tables 15-4 and 15-5, which only refer to radiculopathy which has improved following surgery.</w:t>
      </w:r>
    </w:p>
    <w:p w:rsidR="00D8141B" w:rsidRPr="00D8141B" w:rsidRDefault="00D8141B" w:rsidP="001936FF">
      <w:pPr>
        <w:pStyle w:val="BodyText4"/>
        <w:numPr>
          <w:ilvl w:val="0"/>
          <w:numId w:val="0"/>
        </w:numPr>
        <w:ind w:left="709"/>
        <w:rPr>
          <w:snapToGrid w:val="0"/>
          <w:lang w:val="en-GB"/>
        </w:rPr>
      </w:pPr>
      <w:r w:rsidRPr="00D8141B">
        <w:rPr>
          <w:snapToGrid w:val="0"/>
        </w:rPr>
        <w:t>Table 4.2 indicates the additional ratings which should be combined with the rating determined using the DRE method where an operation for an intervertebral disc prolapse, spinal canal stenosis or spinal fusion has been performed</w:t>
      </w:r>
      <w:r w:rsidRPr="00D8141B">
        <w:rPr>
          <w:snapToGrid w:val="0"/>
          <w:lang w:val="en-GB"/>
        </w:rPr>
        <w:t>.</w:t>
      </w:r>
    </w:p>
    <w:p w:rsidR="00555C75" w:rsidRDefault="00D8141B" w:rsidP="001936FF">
      <w:pPr>
        <w:pStyle w:val="BodyText4"/>
        <w:numPr>
          <w:ilvl w:val="0"/>
          <w:numId w:val="0"/>
        </w:numPr>
        <w:ind w:left="709"/>
        <w:rPr>
          <w:snapToGrid w:val="0"/>
          <w:lang w:val="en-GB"/>
        </w:rPr>
      </w:pPr>
      <w:r w:rsidRPr="00D8141B">
        <w:rPr>
          <w:snapToGrid w:val="0"/>
        </w:rPr>
        <w:t>Example 15-4 (p 386 AMA5) should therefore be ignored</w:t>
      </w:r>
      <w:r w:rsidRPr="00D8141B">
        <w:rPr>
          <w:snapToGrid w:val="0"/>
          <w:lang w:val="en-GB"/>
        </w:rPr>
        <w:t>.</w:t>
      </w:r>
      <w:bookmarkStart w:id="75" w:name="_Toc144874642"/>
      <w:bookmarkStart w:id="76" w:name="_Toc144875230"/>
    </w:p>
    <w:p w:rsidR="00D8141B" w:rsidRPr="001936FF" w:rsidRDefault="00D8141B" w:rsidP="001936FF">
      <w:pPr>
        <w:spacing w:before="240" w:after="120" w:line="260" w:lineRule="exact"/>
        <w:ind w:left="851" w:hanging="851"/>
        <w:jc w:val="center"/>
        <w:rPr>
          <w:rFonts w:eastAsia="Times New Roman" w:cs="Arial"/>
          <w:b/>
          <w:bCs/>
          <w:snapToGrid w:val="0"/>
          <w:sz w:val="24"/>
          <w:szCs w:val="24"/>
          <w:lang w:val="en-GB"/>
        </w:rPr>
      </w:pPr>
      <w:r w:rsidRPr="001936FF">
        <w:rPr>
          <w:rFonts w:eastAsia="Times New Roman" w:cs="Arial"/>
          <w:b/>
          <w:bCs/>
          <w:snapToGrid w:val="0"/>
          <w:sz w:val="24"/>
          <w:szCs w:val="24"/>
          <w:lang w:val="en-GB"/>
        </w:rPr>
        <w:t>Table 4.2: Modifiers for DRE categories following surgery</w:t>
      </w:r>
      <w:bookmarkEnd w:id="75"/>
      <w:bookmarkEnd w:id="76"/>
    </w:p>
    <w:tbl>
      <w:tblPr>
        <w:tblW w:w="842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842"/>
        <w:gridCol w:w="1666"/>
        <w:gridCol w:w="1688"/>
      </w:tblGrid>
      <w:tr w:rsidR="00D8141B" w:rsidRPr="00D8141B" w:rsidTr="001936FF">
        <w:trPr>
          <w:trHeight w:val="285"/>
        </w:trPr>
        <w:tc>
          <w:tcPr>
            <w:tcW w:w="3232" w:type="dxa"/>
            <w:shd w:val="pct10" w:color="auto" w:fill="auto"/>
          </w:tcPr>
          <w:p w:rsidR="00D8141B" w:rsidRPr="00D8141B" w:rsidRDefault="00D8141B" w:rsidP="00D8141B">
            <w:pPr>
              <w:keepNext/>
              <w:keepLines/>
              <w:widowControl w:val="0"/>
              <w:spacing w:before="80" w:after="80" w:line="240" w:lineRule="auto"/>
              <w:ind w:left="851" w:hanging="851"/>
              <w:rPr>
                <w:rFonts w:eastAsia="Times New Roman" w:cs="Arial"/>
                <w:b/>
                <w:bCs/>
                <w:snapToGrid w:val="0"/>
                <w:szCs w:val="20"/>
                <w:lang w:val="en-GB"/>
              </w:rPr>
            </w:pPr>
            <w:r w:rsidRPr="00D8141B">
              <w:rPr>
                <w:rFonts w:eastAsia="Times New Roman" w:cs="Arial"/>
                <w:b/>
                <w:bCs/>
                <w:snapToGrid w:val="0"/>
                <w:szCs w:val="20"/>
                <w:lang w:val="en-GB"/>
              </w:rPr>
              <w:t>Procedures</w:t>
            </w:r>
          </w:p>
        </w:tc>
        <w:tc>
          <w:tcPr>
            <w:tcW w:w="1842" w:type="dxa"/>
            <w:shd w:val="pct10" w:color="auto" w:fill="auto"/>
          </w:tcPr>
          <w:p w:rsidR="00D8141B" w:rsidRPr="00D8141B" w:rsidRDefault="00D8141B" w:rsidP="00D8141B">
            <w:pPr>
              <w:keepNext/>
              <w:keepLines/>
              <w:widowControl w:val="0"/>
              <w:spacing w:before="80" w:after="80" w:line="240" w:lineRule="auto"/>
              <w:ind w:left="851" w:hanging="851"/>
              <w:rPr>
                <w:rFonts w:eastAsia="Times New Roman" w:cs="Arial"/>
                <w:b/>
                <w:bCs/>
                <w:snapToGrid w:val="0"/>
                <w:szCs w:val="20"/>
                <w:lang w:val="en-GB"/>
              </w:rPr>
            </w:pPr>
            <w:r w:rsidRPr="00D8141B">
              <w:rPr>
                <w:rFonts w:eastAsia="Times New Roman" w:cs="Arial"/>
                <w:b/>
                <w:bCs/>
                <w:snapToGrid w:val="0"/>
                <w:szCs w:val="20"/>
                <w:lang w:val="en-GB"/>
              </w:rPr>
              <w:t>Cervical</w:t>
            </w:r>
          </w:p>
        </w:tc>
        <w:tc>
          <w:tcPr>
            <w:tcW w:w="1666" w:type="dxa"/>
            <w:shd w:val="pct10" w:color="auto" w:fill="auto"/>
          </w:tcPr>
          <w:p w:rsidR="00D8141B" w:rsidRPr="00D8141B" w:rsidRDefault="00D8141B" w:rsidP="00D8141B">
            <w:pPr>
              <w:keepNext/>
              <w:keepLines/>
              <w:widowControl w:val="0"/>
              <w:spacing w:before="80" w:after="80" w:line="240" w:lineRule="auto"/>
              <w:ind w:left="851" w:hanging="851"/>
              <w:rPr>
                <w:rFonts w:eastAsia="Times New Roman" w:cs="Arial"/>
                <w:b/>
                <w:bCs/>
                <w:snapToGrid w:val="0"/>
                <w:szCs w:val="20"/>
                <w:lang w:val="en-GB"/>
              </w:rPr>
            </w:pPr>
            <w:r w:rsidRPr="00D8141B">
              <w:rPr>
                <w:rFonts w:eastAsia="Times New Roman" w:cs="Arial"/>
                <w:b/>
                <w:bCs/>
                <w:snapToGrid w:val="0"/>
                <w:szCs w:val="20"/>
                <w:lang w:val="en-GB"/>
              </w:rPr>
              <w:t>Thoracic</w:t>
            </w:r>
          </w:p>
        </w:tc>
        <w:tc>
          <w:tcPr>
            <w:tcW w:w="1688" w:type="dxa"/>
            <w:shd w:val="pct10" w:color="auto" w:fill="auto"/>
          </w:tcPr>
          <w:p w:rsidR="00D8141B" w:rsidRPr="00D8141B" w:rsidRDefault="00D8141B" w:rsidP="00D8141B">
            <w:pPr>
              <w:keepNext/>
              <w:keepLines/>
              <w:widowControl w:val="0"/>
              <w:spacing w:before="80" w:after="80" w:line="240" w:lineRule="auto"/>
              <w:ind w:left="851" w:hanging="851"/>
              <w:rPr>
                <w:rFonts w:eastAsia="Times New Roman" w:cs="Arial"/>
                <w:b/>
                <w:bCs/>
                <w:snapToGrid w:val="0"/>
                <w:szCs w:val="20"/>
                <w:lang w:val="en-GB"/>
              </w:rPr>
            </w:pPr>
            <w:r w:rsidRPr="00D8141B">
              <w:rPr>
                <w:rFonts w:eastAsia="Times New Roman" w:cs="Arial"/>
                <w:b/>
                <w:bCs/>
                <w:snapToGrid w:val="0"/>
                <w:szCs w:val="20"/>
                <w:lang w:val="en-GB"/>
              </w:rPr>
              <w:t>Lumbar</w:t>
            </w:r>
          </w:p>
        </w:tc>
      </w:tr>
      <w:tr w:rsidR="00D8141B" w:rsidRPr="00D8141B" w:rsidTr="001936FF">
        <w:trPr>
          <w:trHeight w:val="285"/>
        </w:trPr>
        <w:tc>
          <w:tcPr>
            <w:tcW w:w="3232" w:type="dxa"/>
          </w:tcPr>
          <w:p w:rsidR="00D8141B" w:rsidRPr="00555C75" w:rsidRDefault="00555C75" w:rsidP="00D8141B">
            <w:pPr>
              <w:keepLines/>
              <w:widowControl w:val="0"/>
              <w:spacing w:before="40" w:after="40" w:line="240" w:lineRule="auto"/>
              <w:ind w:left="22"/>
              <w:rPr>
                <w:rFonts w:eastAsia="Times New Roman" w:cs="Arial"/>
                <w:snapToGrid w:val="0"/>
                <w:sz w:val="20"/>
                <w:szCs w:val="20"/>
                <w:lang w:val="en-GB"/>
              </w:rPr>
            </w:pPr>
            <w:r w:rsidRPr="00555C75">
              <w:rPr>
                <w:rFonts w:eastAsia="Times New Roman" w:cs="Arial"/>
                <w:bCs/>
                <w:snapToGrid w:val="0"/>
                <w:sz w:val="20"/>
                <w:szCs w:val="20"/>
              </w:rPr>
              <w:t>Spinal surgery with residual symptoms and radiculopathy (refer to 4.27 in this Guideline)</w:t>
            </w:r>
          </w:p>
        </w:tc>
        <w:tc>
          <w:tcPr>
            <w:tcW w:w="1842"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3%</w:t>
            </w:r>
          </w:p>
        </w:tc>
        <w:tc>
          <w:tcPr>
            <w:tcW w:w="1666"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2%</w:t>
            </w:r>
          </w:p>
        </w:tc>
        <w:tc>
          <w:tcPr>
            <w:tcW w:w="1688"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3%</w:t>
            </w:r>
          </w:p>
        </w:tc>
      </w:tr>
      <w:tr w:rsidR="00D8141B" w:rsidRPr="00D8141B" w:rsidTr="001936FF">
        <w:trPr>
          <w:trHeight w:val="285"/>
        </w:trPr>
        <w:tc>
          <w:tcPr>
            <w:tcW w:w="3232" w:type="dxa"/>
          </w:tcPr>
          <w:p w:rsidR="00D8141B" w:rsidRPr="00D8141B" w:rsidRDefault="00BF09FF" w:rsidP="00D8141B">
            <w:pPr>
              <w:keepLines/>
              <w:widowControl w:val="0"/>
              <w:spacing w:before="40" w:after="40" w:line="240" w:lineRule="auto"/>
              <w:ind w:left="22"/>
              <w:rPr>
                <w:rFonts w:eastAsia="Times New Roman" w:cs="Arial"/>
                <w:i/>
                <w:iCs/>
                <w:snapToGrid w:val="0"/>
                <w:sz w:val="20"/>
                <w:szCs w:val="20"/>
                <w:lang w:val="en-GB"/>
              </w:rPr>
            </w:pPr>
            <w:r>
              <w:rPr>
                <w:rFonts w:eastAsia="Times New Roman" w:cs="Arial"/>
                <w:iCs/>
                <w:snapToGrid w:val="0"/>
                <w:sz w:val="20"/>
                <w:szCs w:val="20"/>
                <w:lang w:val="en-GB"/>
              </w:rPr>
              <w:t>Second</w:t>
            </w:r>
            <w:r w:rsidRPr="00D8141B">
              <w:rPr>
                <w:rFonts w:eastAsia="Times New Roman" w:cs="Arial"/>
                <w:iCs/>
                <w:snapToGrid w:val="0"/>
                <w:sz w:val="20"/>
                <w:szCs w:val="20"/>
                <w:lang w:val="en-GB"/>
              </w:rPr>
              <w:t xml:space="preserve"> </w:t>
            </w:r>
            <w:r w:rsidR="00D8141B" w:rsidRPr="00D8141B">
              <w:rPr>
                <w:rFonts w:eastAsia="Times New Roman" w:cs="Arial"/>
                <w:iCs/>
                <w:snapToGrid w:val="0"/>
                <w:sz w:val="20"/>
                <w:szCs w:val="20"/>
                <w:lang w:val="en-GB"/>
              </w:rPr>
              <w:t>and further levels,</w:t>
            </w:r>
          </w:p>
        </w:tc>
        <w:tc>
          <w:tcPr>
            <w:tcW w:w="1842" w:type="dxa"/>
          </w:tcPr>
          <w:p w:rsidR="00D8141B" w:rsidRPr="00BF09FF" w:rsidRDefault="00D8141B" w:rsidP="00D8141B">
            <w:pPr>
              <w:keepLines/>
              <w:widowControl w:val="0"/>
              <w:spacing w:before="40" w:after="40" w:line="240" w:lineRule="auto"/>
              <w:ind w:left="851" w:right="-108" w:hanging="851"/>
              <w:rPr>
                <w:rFonts w:eastAsia="Times New Roman" w:cs="Arial"/>
                <w:iCs/>
                <w:snapToGrid w:val="0"/>
                <w:sz w:val="20"/>
                <w:szCs w:val="20"/>
                <w:lang w:val="en-GB"/>
              </w:rPr>
            </w:pPr>
            <w:r w:rsidRPr="00BF09FF">
              <w:rPr>
                <w:rFonts w:eastAsia="Times New Roman" w:cs="Arial"/>
                <w:iCs/>
                <w:snapToGrid w:val="0"/>
                <w:sz w:val="20"/>
                <w:szCs w:val="20"/>
                <w:lang w:val="en-US"/>
              </w:rPr>
              <w:t>1% each additional level</w:t>
            </w:r>
          </w:p>
        </w:tc>
        <w:tc>
          <w:tcPr>
            <w:tcW w:w="1666" w:type="dxa"/>
          </w:tcPr>
          <w:p w:rsidR="00D8141B" w:rsidRPr="00BF09FF" w:rsidRDefault="00D8141B" w:rsidP="00D8141B">
            <w:pPr>
              <w:keepLines/>
              <w:widowControl w:val="0"/>
              <w:spacing w:before="40" w:after="40" w:line="240" w:lineRule="auto"/>
              <w:ind w:right="-143"/>
              <w:rPr>
                <w:rFonts w:eastAsia="Times New Roman" w:cs="Arial"/>
                <w:iCs/>
                <w:snapToGrid w:val="0"/>
                <w:sz w:val="20"/>
                <w:szCs w:val="20"/>
                <w:lang w:val="en-GB"/>
              </w:rPr>
            </w:pPr>
            <w:r w:rsidRPr="00BF09FF">
              <w:rPr>
                <w:rFonts w:eastAsia="Times New Roman" w:cs="Arial"/>
                <w:iCs/>
                <w:snapToGrid w:val="0"/>
                <w:sz w:val="20"/>
                <w:szCs w:val="20"/>
                <w:lang w:val="en-GB"/>
              </w:rPr>
              <w:t>1% each additional level</w:t>
            </w:r>
          </w:p>
        </w:tc>
        <w:tc>
          <w:tcPr>
            <w:tcW w:w="1688" w:type="dxa"/>
          </w:tcPr>
          <w:p w:rsidR="00D8141B" w:rsidRPr="00BF09FF" w:rsidRDefault="00D8141B" w:rsidP="00D8141B">
            <w:pPr>
              <w:keepLines/>
              <w:widowControl w:val="0"/>
              <w:spacing w:before="40" w:after="40" w:line="240" w:lineRule="auto"/>
              <w:ind w:right="-156"/>
              <w:rPr>
                <w:rFonts w:eastAsia="Times New Roman" w:cs="Arial"/>
                <w:iCs/>
                <w:snapToGrid w:val="0"/>
                <w:sz w:val="20"/>
                <w:szCs w:val="20"/>
                <w:lang w:val="en-GB"/>
              </w:rPr>
            </w:pPr>
            <w:r w:rsidRPr="00BF09FF">
              <w:rPr>
                <w:rFonts w:eastAsia="Times New Roman" w:cs="Arial"/>
                <w:iCs/>
                <w:snapToGrid w:val="0"/>
                <w:sz w:val="20"/>
                <w:szCs w:val="20"/>
                <w:lang w:val="en-GB"/>
              </w:rPr>
              <w:t>1% each additional level</w:t>
            </w:r>
          </w:p>
        </w:tc>
      </w:tr>
      <w:tr w:rsidR="00D8141B" w:rsidRPr="00D8141B" w:rsidTr="001936FF">
        <w:trPr>
          <w:trHeight w:val="285"/>
        </w:trPr>
        <w:tc>
          <w:tcPr>
            <w:tcW w:w="3232"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Second operation</w:t>
            </w:r>
          </w:p>
        </w:tc>
        <w:tc>
          <w:tcPr>
            <w:tcW w:w="1842"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2%</w:t>
            </w:r>
          </w:p>
        </w:tc>
        <w:tc>
          <w:tcPr>
            <w:tcW w:w="1666"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2%</w:t>
            </w:r>
          </w:p>
        </w:tc>
        <w:tc>
          <w:tcPr>
            <w:tcW w:w="1688"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2%</w:t>
            </w:r>
          </w:p>
        </w:tc>
      </w:tr>
      <w:tr w:rsidR="00D8141B" w:rsidRPr="00D8141B" w:rsidTr="001936FF">
        <w:trPr>
          <w:trHeight w:val="285"/>
        </w:trPr>
        <w:tc>
          <w:tcPr>
            <w:tcW w:w="3232"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Third and subsequent operations</w:t>
            </w:r>
          </w:p>
        </w:tc>
        <w:tc>
          <w:tcPr>
            <w:tcW w:w="1842"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1% each</w:t>
            </w:r>
          </w:p>
        </w:tc>
        <w:tc>
          <w:tcPr>
            <w:tcW w:w="1666"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1% each</w:t>
            </w:r>
          </w:p>
        </w:tc>
        <w:tc>
          <w:tcPr>
            <w:tcW w:w="1688" w:type="dxa"/>
          </w:tcPr>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1% each</w:t>
            </w:r>
          </w:p>
        </w:tc>
      </w:tr>
    </w:tbl>
    <w:p w:rsidR="00D8141B" w:rsidRPr="00D8141B" w:rsidRDefault="00D8141B" w:rsidP="001936FF">
      <w:pPr>
        <w:pStyle w:val="BodyText4"/>
        <w:numPr>
          <w:ilvl w:val="0"/>
          <w:numId w:val="0"/>
        </w:numPr>
        <w:spacing w:before="240"/>
        <w:ind w:left="709"/>
      </w:pPr>
      <w:r w:rsidRPr="00D8141B">
        <w:t>In summary, to calculate whole person impairment (WPI) for persisting radiculopathy (as per definition) following surgery:</w:t>
      </w:r>
    </w:p>
    <w:p w:rsidR="00D8141B" w:rsidRPr="00D8141B" w:rsidRDefault="00D8141B" w:rsidP="001936FF">
      <w:pPr>
        <w:pStyle w:val="Bulletpoint"/>
        <w:ind w:left="1134"/>
        <w:rPr>
          <w:lang w:val="en-US"/>
        </w:rPr>
      </w:pPr>
      <w:r w:rsidRPr="00D8141B">
        <w:rPr>
          <w:lang w:val="en-US"/>
        </w:rPr>
        <w:t>Select the appropriate DRE category from Table 15-3, 15-4, or 15-5;</w:t>
      </w:r>
    </w:p>
    <w:p w:rsidR="00D8141B" w:rsidRPr="00D8141B" w:rsidRDefault="00D8141B" w:rsidP="001936FF">
      <w:pPr>
        <w:pStyle w:val="Bulletpoint"/>
        <w:ind w:left="1134"/>
        <w:rPr>
          <w:lang w:val="en-US"/>
        </w:rPr>
      </w:pPr>
      <w:r w:rsidRPr="00D8141B">
        <w:rPr>
          <w:lang w:val="en-US"/>
        </w:rPr>
        <w:t>determine a WPI value within the allowed range in table 15-3, 15-4 or 15-5 according to the impact on the worker's ADL;</w:t>
      </w:r>
    </w:p>
    <w:p w:rsidR="00D8141B" w:rsidRPr="00D8141B" w:rsidRDefault="00D8141B" w:rsidP="001936FF">
      <w:pPr>
        <w:pStyle w:val="Bulletpoint"/>
        <w:ind w:left="1134"/>
        <w:rPr>
          <w:lang w:val="en-US"/>
        </w:rPr>
      </w:pPr>
      <w:r w:rsidRPr="00D8141B">
        <w:rPr>
          <w:lang w:val="en-US"/>
        </w:rPr>
        <w:t>Combine this value with the appropriate additional amount from Table 4.2 to determine the final WPI.</w:t>
      </w:r>
    </w:p>
    <w:p w:rsidR="00D8141B" w:rsidRPr="00D8141B" w:rsidRDefault="00D8141B" w:rsidP="00F81C40">
      <w:pPr>
        <w:pStyle w:val="BodyText4"/>
        <w:rPr>
          <w:snapToGrid w:val="0"/>
        </w:rPr>
      </w:pPr>
      <w:r w:rsidRPr="00D8141B">
        <w:rPr>
          <w:b/>
        </w:rPr>
        <w:t>Disc Replacement Surgery</w:t>
      </w:r>
      <w:r w:rsidRPr="00D8141B">
        <w:t>.  The impairment resulting from this procedure is to be equated to that from a spinal fusion.</w:t>
      </w:r>
    </w:p>
    <w:p w:rsidR="00D8141B" w:rsidRPr="00D8141B" w:rsidRDefault="00D8141B" w:rsidP="00F81C40">
      <w:pPr>
        <w:pStyle w:val="BodyText4"/>
        <w:rPr>
          <w:snapToGrid w:val="0"/>
        </w:rPr>
      </w:pPr>
      <w:r w:rsidRPr="00D8141B">
        <w:rPr>
          <w:b/>
          <w:snapToGrid w:val="0"/>
        </w:rPr>
        <w:t>Arthritis:</w:t>
      </w:r>
      <w:r w:rsidRPr="00D8141B">
        <w:rPr>
          <w:snapToGrid w:val="0"/>
        </w:rPr>
        <w:t xml:space="preserve"> See sections 3.19–3.24 of </w:t>
      </w:r>
      <w:r w:rsidR="00BF09FF">
        <w:rPr>
          <w:snapToGrid w:val="0"/>
        </w:rPr>
        <w:t>the Guidelines</w:t>
      </w:r>
      <w:r w:rsidRPr="00D8141B">
        <w:rPr>
          <w:snapToGrid w:val="0"/>
        </w:rPr>
        <w:t>.</w:t>
      </w:r>
    </w:p>
    <w:p w:rsidR="00D8141B" w:rsidRDefault="00D8141B" w:rsidP="00F81C40">
      <w:pPr>
        <w:pStyle w:val="BodyText4"/>
        <w:rPr>
          <w:snapToGrid w:val="0"/>
        </w:rPr>
      </w:pPr>
      <w:r w:rsidRPr="00D8141B">
        <w:rPr>
          <w:b/>
          <w:snapToGrid w:val="0"/>
        </w:rPr>
        <w:t xml:space="preserve">Posterior spacing or stabilisation devices: </w:t>
      </w:r>
      <w:r w:rsidRPr="00D8141B">
        <w:rPr>
          <w:snapToGrid w:val="0"/>
        </w:rPr>
        <w:t>The insertion of such devices does not warrant any additional WPI.</w:t>
      </w:r>
    </w:p>
    <w:p w:rsidR="00D8141B" w:rsidRPr="00D8141B" w:rsidRDefault="00D8141B" w:rsidP="00F81C40">
      <w:pPr>
        <w:pStyle w:val="BodyText4"/>
        <w:rPr>
          <w:snapToGrid w:val="0"/>
        </w:rPr>
      </w:pPr>
      <w:r w:rsidRPr="00D8141B">
        <w:rPr>
          <w:b/>
          <w:snapToGrid w:val="0"/>
        </w:rPr>
        <w:lastRenderedPageBreak/>
        <w:t>Spinal cord stimulator or similar device</w:t>
      </w:r>
      <w:r w:rsidRPr="00D8141B">
        <w:rPr>
          <w:snapToGrid w:val="0"/>
        </w:rPr>
        <w:t>:  The insertion of such devices does not warrant any additional WPI.</w:t>
      </w:r>
    </w:p>
    <w:p w:rsidR="00D8141B" w:rsidRPr="00D8141B" w:rsidRDefault="00D8141B" w:rsidP="00F81C40">
      <w:pPr>
        <w:pStyle w:val="BodyText4"/>
      </w:pPr>
      <w:r w:rsidRPr="00D8141B">
        <w:t>Impairment due to pelvic fractures should be evaluated with reference to the following table which replaces table 15-19 in AMA5.</w:t>
      </w:r>
    </w:p>
    <w:p w:rsidR="00D8141B" w:rsidRPr="00F81C40" w:rsidRDefault="00D8141B" w:rsidP="00F81C40">
      <w:pPr>
        <w:keepNext/>
        <w:spacing w:before="240" w:after="120" w:line="240" w:lineRule="auto"/>
        <w:jc w:val="center"/>
        <w:rPr>
          <w:rFonts w:eastAsia="Times New Roman" w:cs="Arial"/>
          <w:b/>
          <w:bCs/>
          <w:sz w:val="24"/>
          <w:szCs w:val="24"/>
          <w:lang w:val="en-US"/>
        </w:rPr>
      </w:pPr>
      <w:r w:rsidRPr="00F81C40">
        <w:rPr>
          <w:rFonts w:eastAsia="Times New Roman" w:cs="Arial"/>
          <w:b/>
          <w:bCs/>
          <w:sz w:val="24"/>
          <w:szCs w:val="24"/>
          <w:lang w:val="en-US"/>
        </w:rPr>
        <w:t>Table 4.3: Pelvic fractures</w:t>
      </w:r>
    </w:p>
    <w:tbl>
      <w:tblPr>
        <w:tblW w:w="463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3"/>
        <w:gridCol w:w="848"/>
      </w:tblGrid>
      <w:tr w:rsidR="00D8141B" w:rsidRPr="00F81C40" w:rsidTr="00F81C40">
        <w:tc>
          <w:tcPr>
            <w:tcW w:w="4525" w:type="pct"/>
            <w:shd w:val="pct10" w:color="auto" w:fill="auto"/>
            <w:vAlign w:val="center"/>
          </w:tcPr>
          <w:p w:rsidR="00D8141B" w:rsidRPr="00F81C40" w:rsidRDefault="00D8141B" w:rsidP="00F81C40">
            <w:pPr>
              <w:keepNext/>
              <w:spacing w:before="120" w:after="120" w:line="240" w:lineRule="auto"/>
              <w:jc w:val="center"/>
              <w:rPr>
                <w:rFonts w:eastAsia="Times New Roman" w:cs="Times New Roman"/>
                <w:b/>
                <w:lang w:val="en-US"/>
              </w:rPr>
            </w:pPr>
            <w:r w:rsidRPr="00F81C40">
              <w:rPr>
                <w:rFonts w:eastAsia="Times New Roman" w:cs="Times New Roman"/>
                <w:b/>
                <w:lang w:val="en-US"/>
              </w:rPr>
              <w:t>Disorder</w:t>
            </w:r>
          </w:p>
        </w:tc>
        <w:tc>
          <w:tcPr>
            <w:tcW w:w="475" w:type="pct"/>
            <w:shd w:val="pct10" w:color="auto" w:fill="auto"/>
            <w:vAlign w:val="center"/>
          </w:tcPr>
          <w:p w:rsidR="00D8141B" w:rsidRPr="00F81C40" w:rsidRDefault="00D8141B" w:rsidP="00F81C40">
            <w:pPr>
              <w:keepNext/>
              <w:spacing w:after="0" w:line="240" w:lineRule="auto"/>
              <w:jc w:val="center"/>
              <w:rPr>
                <w:rFonts w:eastAsia="Times New Roman" w:cs="Times New Roman"/>
                <w:b/>
                <w:lang w:val="en-US"/>
              </w:rPr>
            </w:pPr>
            <w:r w:rsidRPr="00F81C40">
              <w:rPr>
                <w:rFonts w:eastAsia="Times New Roman" w:cs="Times New Roman"/>
                <w:b/>
                <w:lang w:val="en-US"/>
              </w:rPr>
              <w:t>%WPI</w:t>
            </w:r>
          </w:p>
        </w:tc>
      </w:tr>
      <w:tr w:rsidR="00D8141B" w:rsidRPr="00D8141B" w:rsidTr="00F81C40">
        <w:tc>
          <w:tcPr>
            <w:tcW w:w="4525" w:type="pct"/>
          </w:tcPr>
          <w:p w:rsidR="00D8141B" w:rsidRPr="00D8141B" w:rsidRDefault="00D8141B" w:rsidP="00F81C40">
            <w:pPr>
              <w:keepNext/>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1. Non-displaced, healed fractures</w:t>
            </w:r>
          </w:p>
        </w:tc>
        <w:tc>
          <w:tcPr>
            <w:tcW w:w="475" w:type="pct"/>
            <w:vAlign w:val="center"/>
          </w:tcPr>
          <w:p w:rsidR="00D8141B" w:rsidRPr="00D8141B" w:rsidRDefault="00D8141B" w:rsidP="00F81C40">
            <w:pPr>
              <w:keepNext/>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0</w:t>
            </w:r>
          </w:p>
        </w:tc>
      </w:tr>
      <w:tr w:rsidR="00D8141B" w:rsidRPr="00D8141B" w:rsidTr="00F81C40">
        <w:tc>
          <w:tcPr>
            <w:tcW w:w="4525" w:type="pct"/>
          </w:tcPr>
          <w:p w:rsidR="00D8141B" w:rsidRPr="00D8141B" w:rsidRDefault="00D8141B" w:rsidP="00F81C40">
            <w:pPr>
              <w:keepNext/>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 xml:space="preserve">2. Fractures of the pelvic bones (including sacrum) </w:t>
            </w:r>
          </w:p>
          <w:p w:rsidR="00D8141B" w:rsidRPr="00D8141B" w:rsidRDefault="00D8141B" w:rsidP="0081060E">
            <w:pPr>
              <w:keepNext/>
              <w:numPr>
                <w:ilvl w:val="0"/>
                <w:numId w:val="14"/>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maximum residual displacement &lt;1cm</w:t>
            </w:r>
          </w:p>
          <w:p w:rsidR="00D8141B" w:rsidRPr="00D8141B" w:rsidRDefault="00D8141B" w:rsidP="0081060E">
            <w:pPr>
              <w:keepNext/>
              <w:numPr>
                <w:ilvl w:val="0"/>
                <w:numId w:val="14"/>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maximum residual displacement 1 to 2 cm</w:t>
            </w:r>
          </w:p>
          <w:p w:rsidR="00D8141B" w:rsidRPr="00D8141B" w:rsidRDefault="00D8141B" w:rsidP="0081060E">
            <w:pPr>
              <w:keepNext/>
              <w:numPr>
                <w:ilvl w:val="0"/>
                <w:numId w:val="14"/>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maximum residual displacement &gt;2cm</w:t>
            </w:r>
          </w:p>
          <w:p w:rsidR="00D8141B" w:rsidRPr="00D8141B" w:rsidRDefault="00D8141B" w:rsidP="0081060E">
            <w:pPr>
              <w:keepNext/>
              <w:numPr>
                <w:ilvl w:val="0"/>
                <w:numId w:val="14"/>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 xml:space="preserve">bilateral pubic rami fractures, as determined by the most displaced fragment  </w:t>
            </w:r>
          </w:p>
          <w:p w:rsidR="00D8141B" w:rsidRPr="00D8141B" w:rsidRDefault="00D8141B" w:rsidP="0081060E">
            <w:pPr>
              <w:keepNext/>
              <w:numPr>
                <w:ilvl w:val="1"/>
                <w:numId w:val="14"/>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maximum residual displacement ≤2cm</w:t>
            </w:r>
          </w:p>
          <w:p w:rsidR="00D8141B" w:rsidRPr="00D8141B" w:rsidRDefault="00D8141B" w:rsidP="0081060E">
            <w:pPr>
              <w:keepNext/>
              <w:numPr>
                <w:ilvl w:val="1"/>
                <w:numId w:val="14"/>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maximum residual displacement &gt;2cm</w:t>
            </w:r>
          </w:p>
        </w:tc>
        <w:tc>
          <w:tcPr>
            <w:tcW w:w="475" w:type="pct"/>
            <w:vAlign w:val="center"/>
          </w:tcPr>
          <w:p w:rsidR="00D8141B" w:rsidRPr="00D8141B" w:rsidRDefault="00D8141B" w:rsidP="00F81C40">
            <w:pPr>
              <w:keepNext/>
              <w:spacing w:before="80" w:after="80" w:line="240" w:lineRule="auto"/>
              <w:jc w:val="center"/>
              <w:rPr>
                <w:rFonts w:eastAsia="Times New Roman" w:cs="Times New Roman"/>
                <w:sz w:val="20"/>
                <w:szCs w:val="20"/>
                <w:lang w:val="en-US"/>
              </w:rPr>
            </w:pPr>
          </w:p>
          <w:p w:rsidR="00D8141B" w:rsidRPr="00D8141B" w:rsidRDefault="00D8141B" w:rsidP="00F81C40">
            <w:pPr>
              <w:keepNext/>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2</w:t>
            </w:r>
          </w:p>
          <w:p w:rsidR="00D8141B" w:rsidRPr="00D8141B" w:rsidRDefault="00D8141B" w:rsidP="00F81C40">
            <w:pPr>
              <w:keepNext/>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5</w:t>
            </w:r>
          </w:p>
          <w:p w:rsidR="00D8141B" w:rsidRPr="00D8141B" w:rsidRDefault="00D8141B" w:rsidP="00F81C40">
            <w:pPr>
              <w:keepNext/>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8</w:t>
            </w:r>
          </w:p>
          <w:p w:rsidR="00D8141B" w:rsidRPr="00D8141B" w:rsidRDefault="00D8141B" w:rsidP="00F81C40">
            <w:pPr>
              <w:keepNext/>
              <w:spacing w:before="80" w:after="80" w:line="240" w:lineRule="auto"/>
              <w:jc w:val="center"/>
              <w:rPr>
                <w:rFonts w:eastAsia="Times New Roman" w:cs="Times New Roman"/>
                <w:sz w:val="20"/>
                <w:szCs w:val="20"/>
                <w:lang w:val="en-US"/>
              </w:rPr>
            </w:pPr>
          </w:p>
          <w:p w:rsidR="00D8141B" w:rsidRPr="00D8141B" w:rsidRDefault="00D8141B" w:rsidP="00F81C40">
            <w:pPr>
              <w:keepNext/>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5</w:t>
            </w:r>
          </w:p>
          <w:p w:rsidR="00D8141B" w:rsidRPr="00D8141B" w:rsidRDefault="00D8141B" w:rsidP="00F81C40">
            <w:pPr>
              <w:keepNext/>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8</w:t>
            </w:r>
          </w:p>
        </w:tc>
      </w:tr>
      <w:tr w:rsidR="00D8141B" w:rsidRPr="00D8141B" w:rsidTr="00F81C40">
        <w:tc>
          <w:tcPr>
            <w:tcW w:w="4525" w:type="pct"/>
          </w:tcPr>
          <w:p w:rsidR="00D8141B" w:rsidRPr="00D8141B" w:rsidRDefault="00D8141B" w:rsidP="00F81C40">
            <w:p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3. Traumatic separation of the pubic symphysis</w:t>
            </w:r>
          </w:p>
          <w:p w:rsidR="00D8141B" w:rsidRPr="00D8141B" w:rsidRDefault="00D8141B" w:rsidP="0081060E">
            <w:pPr>
              <w:numPr>
                <w:ilvl w:val="0"/>
                <w:numId w:val="15"/>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&lt;1cm</w:t>
            </w:r>
          </w:p>
          <w:p w:rsidR="00D8141B" w:rsidRPr="00D8141B" w:rsidRDefault="00D8141B" w:rsidP="0081060E">
            <w:pPr>
              <w:numPr>
                <w:ilvl w:val="0"/>
                <w:numId w:val="15"/>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1 to 2 cm</w:t>
            </w:r>
          </w:p>
          <w:p w:rsidR="00D8141B" w:rsidRPr="00D8141B" w:rsidRDefault="00D8141B" w:rsidP="0081060E">
            <w:pPr>
              <w:numPr>
                <w:ilvl w:val="0"/>
                <w:numId w:val="15"/>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&gt;2cm</w:t>
            </w:r>
          </w:p>
          <w:p w:rsidR="00D8141B" w:rsidRPr="00F81C40" w:rsidRDefault="00D8141B" w:rsidP="0081060E">
            <w:pPr>
              <w:numPr>
                <w:ilvl w:val="0"/>
                <w:numId w:val="15"/>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Internal fixation/ankylosis</w:t>
            </w:r>
          </w:p>
        </w:tc>
        <w:tc>
          <w:tcPr>
            <w:tcW w:w="475" w:type="pct"/>
            <w:vAlign w:val="center"/>
          </w:tcPr>
          <w:p w:rsidR="00D8141B" w:rsidRPr="00D8141B" w:rsidRDefault="00D8141B" w:rsidP="00F81C40">
            <w:pPr>
              <w:spacing w:before="80" w:after="80" w:line="240" w:lineRule="auto"/>
              <w:jc w:val="center"/>
              <w:rPr>
                <w:rFonts w:eastAsia="Times New Roman" w:cs="Times New Roman"/>
                <w:sz w:val="20"/>
                <w:szCs w:val="20"/>
                <w:lang w:val="en-US"/>
              </w:rPr>
            </w:pPr>
          </w:p>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5</w:t>
            </w:r>
          </w:p>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8</w:t>
            </w:r>
          </w:p>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12</w:t>
            </w:r>
          </w:p>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5</w:t>
            </w:r>
          </w:p>
        </w:tc>
      </w:tr>
      <w:tr w:rsidR="00D8141B" w:rsidRPr="00D8141B" w:rsidTr="00F81C40">
        <w:tc>
          <w:tcPr>
            <w:tcW w:w="4525" w:type="pct"/>
          </w:tcPr>
          <w:p w:rsidR="00D8141B" w:rsidRPr="00D8141B" w:rsidRDefault="00D8141B" w:rsidP="00F81C40">
            <w:p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4. Sacro-Iliac Joint dislocations or fracture dislocations</w:t>
            </w:r>
          </w:p>
          <w:p w:rsidR="00D8141B" w:rsidRPr="00D8141B" w:rsidRDefault="00D8141B" w:rsidP="0081060E">
            <w:pPr>
              <w:numPr>
                <w:ilvl w:val="0"/>
                <w:numId w:val="16"/>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maximum residual displacement ≤1cm</w:t>
            </w:r>
          </w:p>
          <w:p w:rsidR="00D8141B" w:rsidRPr="00D8141B" w:rsidRDefault="00D8141B" w:rsidP="0081060E">
            <w:pPr>
              <w:numPr>
                <w:ilvl w:val="0"/>
                <w:numId w:val="16"/>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maximum residual displacement&gt;1cm</w:t>
            </w:r>
          </w:p>
          <w:p w:rsidR="00D8141B" w:rsidRPr="00F81C40" w:rsidRDefault="00D8141B" w:rsidP="0081060E">
            <w:pPr>
              <w:numPr>
                <w:ilvl w:val="0"/>
                <w:numId w:val="16"/>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internal fixation/ankylosis</w:t>
            </w:r>
          </w:p>
        </w:tc>
        <w:tc>
          <w:tcPr>
            <w:tcW w:w="475" w:type="pct"/>
            <w:vAlign w:val="center"/>
          </w:tcPr>
          <w:p w:rsidR="00D8141B" w:rsidRPr="00D8141B" w:rsidRDefault="00D8141B" w:rsidP="00F81C40">
            <w:pPr>
              <w:spacing w:before="80" w:after="80" w:line="240" w:lineRule="auto"/>
              <w:jc w:val="center"/>
              <w:rPr>
                <w:rFonts w:eastAsia="Times New Roman" w:cs="Times New Roman"/>
                <w:sz w:val="20"/>
                <w:szCs w:val="20"/>
                <w:lang w:val="en-US"/>
              </w:rPr>
            </w:pPr>
          </w:p>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8</w:t>
            </w:r>
          </w:p>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12</w:t>
            </w:r>
          </w:p>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5</w:t>
            </w:r>
          </w:p>
        </w:tc>
      </w:tr>
      <w:tr w:rsidR="00D8141B" w:rsidRPr="00D8141B" w:rsidTr="00F81C40">
        <w:tc>
          <w:tcPr>
            <w:tcW w:w="4525" w:type="pct"/>
          </w:tcPr>
          <w:p w:rsidR="00D8141B" w:rsidRPr="00D8141B" w:rsidRDefault="00D8141B" w:rsidP="0081060E">
            <w:pPr>
              <w:numPr>
                <w:ilvl w:val="0"/>
                <w:numId w:val="21"/>
              </w:numPr>
              <w:spacing w:before="80" w:after="80" w:line="240" w:lineRule="auto"/>
              <w:jc w:val="both"/>
              <w:rPr>
                <w:rFonts w:eastAsia="Times New Roman" w:cs="Times New Roman"/>
                <w:sz w:val="20"/>
                <w:szCs w:val="20"/>
                <w:lang w:val="en-US"/>
              </w:rPr>
            </w:pPr>
            <w:r w:rsidRPr="00D8141B">
              <w:rPr>
                <w:rFonts w:eastAsia="Times New Roman" w:cs="Times New Roman"/>
                <w:sz w:val="20"/>
                <w:szCs w:val="20"/>
                <w:lang w:val="en-US"/>
              </w:rPr>
              <w:t>If two out of three joints are internally fixed/ankylosed</w:t>
            </w:r>
          </w:p>
          <w:p w:rsidR="00D8141B" w:rsidRPr="00D8141B" w:rsidRDefault="00D8141B" w:rsidP="00F81C40">
            <w:pPr>
              <w:spacing w:before="80" w:after="80" w:line="240" w:lineRule="auto"/>
              <w:ind w:left="360"/>
              <w:jc w:val="both"/>
              <w:rPr>
                <w:rFonts w:eastAsia="Times New Roman" w:cs="Times New Roman"/>
                <w:sz w:val="20"/>
                <w:szCs w:val="20"/>
                <w:lang w:val="en-US"/>
              </w:rPr>
            </w:pPr>
            <w:r w:rsidRPr="00D8141B">
              <w:rPr>
                <w:rFonts w:eastAsia="Times New Roman" w:cs="Times New Roman"/>
                <w:sz w:val="20"/>
                <w:szCs w:val="20"/>
                <w:lang w:val="en-US"/>
              </w:rPr>
              <w:t>If all three joints are internally fixed/ankylosed</w:t>
            </w:r>
          </w:p>
        </w:tc>
        <w:tc>
          <w:tcPr>
            <w:tcW w:w="475" w:type="pct"/>
            <w:vAlign w:val="center"/>
          </w:tcPr>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8</w:t>
            </w:r>
          </w:p>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10</w:t>
            </w:r>
          </w:p>
        </w:tc>
      </w:tr>
      <w:tr w:rsidR="00D8141B" w:rsidRPr="00D8141B" w:rsidTr="00F81C40">
        <w:tc>
          <w:tcPr>
            <w:tcW w:w="4525" w:type="pct"/>
          </w:tcPr>
          <w:p w:rsidR="00D8141B" w:rsidRPr="00D8141B" w:rsidRDefault="00D8141B" w:rsidP="00F81C40">
            <w:p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6. Fractures of the coccyx</w:t>
            </w:r>
          </w:p>
          <w:p w:rsidR="00D8141B" w:rsidRPr="00D8141B" w:rsidRDefault="00D8141B" w:rsidP="0081060E">
            <w:pPr>
              <w:numPr>
                <w:ilvl w:val="0"/>
                <w:numId w:val="17"/>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Healed, (and truly) displaced fracture</w:t>
            </w:r>
          </w:p>
          <w:p w:rsidR="00D8141B" w:rsidRPr="00F81C40" w:rsidRDefault="00D8141B" w:rsidP="0081060E">
            <w:pPr>
              <w:numPr>
                <w:ilvl w:val="0"/>
                <w:numId w:val="17"/>
              </w:numPr>
              <w:spacing w:before="80" w:after="80" w:line="240" w:lineRule="auto"/>
              <w:rPr>
                <w:rFonts w:eastAsia="Times New Roman" w:cs="Times New Roman"/>
                <w:sz w:val="20"/>
                <w:szCs w:val="20"/>
                <w:lang w:val="en-US"/>
              </w:rPr>
            </w:pPr>
            <w:r w:rsidRPr="00D8141B">
              <w:rPr>
                <w:rFonts w:eastAsia="Times New Roman" w:cs="Times New Roman"/>
                <w:sz w:val="20"/>
                <w:szCs w:val="20"/>
                <w:lang w:val="en-US"/>
              </w:rPr>
              <w:t>Excision of the coccyx</w:t>
            </w:r>
          </w:p>
        </w:tc>
        <w:tc>
          <w:tcPr>
            <w:tcW w:w="475" w:type="pct"/>
            <w:vAlign w:val="center"/>
          </w:tcPr>
          <w:p w:rsidR="00D8141B" w:rsidRPr="00D8141B" w:rsidRDefault="00D8141B" w:rsidP="00F81C40">
            <w:pPr>
              <w:spacing w:before="80" w:after="80" w:line="240" w:lineRule="auto"/>
              <w:jc w:val="center"/>
              <w:rPr>
                <w:rFonts w:eastAsia="Times New Roman" w:cs="Times New Roman"/>
                <w:sz w:val="20"/>
                <w:szCs w:val="20"/>
                <w:lang w:val="en-US"/>
              </w:rPr>
            </w:pPr>
          </w:p>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1</w:t>
            </w:r>
          </w:p>
          <w:p w:rsidR="00D8141B" w:rsidRPr="00D8141B" w:rsidRDefault="00D8141B" w:rsidP="00F81C40">
            <w:pPr>
              <w:spacing w:before="80" w:after="80" w:line="240" w:lineRule="auto"/>
              <w:jc w:val="center"/>
              <w:rPr>
                <w:rFonts w:eastAsia="Times New Roman" w:cs="Times New Roman"/>
                <w:sz w:val="20"/>
                <w:szCs w:val="20"/>
                <w:lang w:val="en-US"/>
              </w:rPr>
            </w:pPr>
            <w:r w:rsidRPr="00D8141B">
              <w:rPr>
                <w:rFonts w:eastAsia="Times New Roman" w:cs="Times New Roman"/>
                <w:sz w:val="20"/>
                <w:szCs w:val="20"/>
                <w:lang w:val="en-US"/>
              </w:rPr>
              <w:t>5</w:t>
            </w:r>
          </w:p>
        </w:tc>
      </w:tr>
      <w:tr w:rsidR="00D8141B" w:rsidRPr="00D8141B" w:rsidTr="00F81C40">
        <w:tc>
          <w:tcPr>
            <w:tcW w:w="4525" w:type="pct"/>
          </w:tcPr>
          <w:p w:rsidR="00D8141B" w:rsidRPr="00D8141B" w:rsidRDefault="00D8141B" w:rsidP="0081060E">
            <w:pPr>
              <w:numPr>
                <w:ilvl w:val="0"/>
                <w:numId w:val="22"/>
              </w:numPr>
              <w:spacing w:before="80" w:after="80" w:line="240" w:lineRule="auto"/>
              <w:ind w:hanging="720"/>
              <w:rPr>
                <w:rFonts w:eastAsia="Times New Roman" w:cs="Times New Roman"/>
                <w:sz w:val="20"/>
                <w:szCs w:val="20"/>
                <w:lang w:val="en-US"/>
              </w:rPr>
            </w:pPr>
            <w:r w:rsidRPr="00D8141B">
              <w:rPr>
                <w:rFonts w:eastAsia="Times New Roman" w:cs="Times New Roman"/>
                <w:sz w:val="20"/>
                <w:szCs w:val="20"/>
                <w:lang w:val="en-US"/>
              </w:rPr>
              <w:t>Fractures of the acetabulum: Evaluate based on restricted range of hip motion</w:t>
            </w:r>
          </w:p>
        </w:tc>
        <w:tc>
          <w:tcPr>
            <w:tcW w:w="475" w:type="pct"/>
            <w:vAlign w:val="center"/>
          </w:tcPr>
          <w:p w:rsidR="00D8141B" w:rsidRPr="00D8141B" w:rsidRDefault="00D8141B" w:rsidP="00F81C40">
            <w:pPr>
              <w:spacing w:before="80" w:after="80" w:line="240" w:lineRule="auto"/>
              <w:jc w:val="center"/>
              <w:rPr>
                <w:rFonts w:eastAsia="Times New Roman" w:cs="Times New Roman"/>
                <w:sz w:val="20"/>
                <w:szCs w:val="20"/>
                <w:lang w:val="en-US"/>
              </w:rPr>
            </w:pPr>
          </w:p>
        </w:tc>
      </w:tr>
    </w:tbl>
    <w:p w:rsidR="00D8141B" w:rsidRDefault="00D8141B" w:rsidP="00F81C40">
      <w:pPr>
        <w:pStyle w:val="BodyText4"/>
        <w:numPr>
          <w:ilvl w:val="0"/>
          <w:numId w:val="0"/>
        </w:numPr>
        <w:spacing w:before="240"/>
        <w:ind w:left="709"/>
      </w:pPr>
      <w:r w:rsidRPr="00D8141B">
        <w:t>The rating of WPI is evaluated based on radiological appearance at maximum medical improvement, whether or not surgery has been performed. Multiple injuries of the pelvis should be assessed separately and combined, with the maximum WPI for pelvic fractures being 20 per cent.</w:t>
      </w:r>
    </w:p>
    <w:p w:rsidR="00F81C40" w:rsidRDefault="00F81C40" w:rsidP="0081060E">
      <w:pPr>
        <w:pStyle w:val="Heading1"/>
        <w:numPr>
          <w:ilvl w:val="0"/>
          <w:numId w:val="27"/>
        </w:numPr>
        <w:rPr>
          <w:b w:val="0"/>
        </w:rPr>
        <w:sectPr w:rsidR="00F81C40" w:rsidSect="002947BC">
          <w:pgSz w:w="11906" w:h="16838" w:code="9"/>
          <w:pgMar w:top="1134" w:right="1134" w:bottom="1134" w:left="1134" w:header="0" w:footer="720" w:gutter="0"/>
          <w:cols w:space="720"/>
          <w:titlePg/>
        </w:sectPr>
      </w:pPr>
      <w:bookmarkStart w:id="77" w:name="_Toc422836861"/>
      <w:bookmarkStart w:id="78" w:name="_Toc144874644"/>
      <w:bookmarkStart w:id="79" w:name="_Toc144875232"/>
    </w:p>
    <w:p w:rsidR="00D4445B" w:rsidRPr="00551741" w:rsidRDefault="00D4445B" w:rsidP="00F81C40">
      <w:pPr>
        <w:pStyle w:val="Heading1"/>
        <w:tabs>
          <w:tab w:val="clear" w:pos="567"/>
          <w:tab w:val="left" w:pos="709"/>
        </w:tabs>
        <w:ind w:left="709" w:hanging="720"/>
      </w:pPr>
      <w:bookmarkStart w:id="80" w:name="_Toc487809948"/>
      <w:r w:rsidRPr="00551741">
        <w:lastRenderedPageBreak/>
        <w:t>Nervous system</w:t>
      </w:r>
      <w:bookmarkEnd w:id="77"/>
      <w:bookmarkEnd w:id="80"/>
      <w:r w:rsidRPr="00551741">
        <w:t xml:space="preserve"> </w:t>
      </w:r>
    </w:p>
    <w:p w:rsidR="00D4445B" w:rsidRPr="00F81C40" w:rsidRDefault="00D4445B" w:rsidP="00F81C40">
      <w:pPr>
        <w:pStyle w:val="BodyText5"/>
        <w:numPr>
          <w:ilvl w:val="0"/>
          <w:numId w:val="0"/>
        </w:numPr>
        <w:ind w:left="-11"/>
        <w:rPr>
          <w:b/>
        </w:rPr>
      </w:pPr>
      <w:r w:rsidRPr="00F81C40">
        <w:rPr>
          <w:b/>
        </w:rPr>
        <w:t>Chapter 13, AMA5 (page 305) applies to the assessment of permanent impairment of the nervous system, subject to the modifications set out below. Before undertaking an impai</w:t>
      </w:r>
      <w:r w:rsidR="004A5BE6" w:rsidRPr="00F81C40">
        <w:rPr>
          <w:b/>
        </w:rPr>
        <w:t>rment assessment, users of the</w:t>
      </w:r>
      <w:r w:rsidRPr="00F81C40">
        <w:rPr>
          <w:b/>
        </w:rPr>
        <w:t xml:space="preserve"> Guidelines must be familiar with the following:</w:t>
      </w:r>
    </w:p>
    <w:p w:rsidR="00D4445B" w:rsidRPr="00D4445B" w:rsidRDefault="004A5BE6" w:rsidP="00F81C40">
      <w:pPr>
        <w:pStyle w:val="Bulletpoint"/>
        <w:tabs>
          <w:tab w:val="left" w:pos="1134"/>
        </w:tabs>
        <w:ind w:left="1134"/>
        <w:rPr>
          <w:lang w:val="en-US"/>
        </w:rPr>
      </w:pPr>
      <w:r>
        <w:rPr>
          <w:lang w:val="en-US"/>
        </w:rPr>
        <w:t>The Introduction in the</w:t>
      </w:r>
      <w:r w:rsidR="00D4445B" w:rsidRPr="00D4445B">
        <w:rPr>
          <w:lang w:val="en-US"/>
        </w:rPr>
        <w:t xml:space="preserve"> Guidelines</w:t>
      </w:r>
    </w:p>
    <w:p w:rsidR="00D4445B" w:rsidRPr="00D4445B" w:rsidRDefault="00D4445B" w:rsidP="00F81C40">
      <w:pPr>
        <w:pStyle w:val="Bulletpoint"/>
        <w:tabs>
          <w:tab w:val="left" w:pos="1134"/>
        </w:tabs>
        <w:ind w:left="1134"/>
        <w:rPr>
          <w:lang w:val="en-US"/>
        </w:rPr>
      </w:pPr>
      <w:r w:rsidRPr="00D4445B">
        <w:rPr>
          <w:lang w:val="en-US"/>
        </w:rPr>
        <w:t>Chapters 1 and 2 of AMA5</w:t>
      </w:r>
    </w:p>
    <w:p w:rsidR="00D4445B" w:rsidRPr="00D4445B" w:rsidRDefault="00D4445B" w:rsidP="00F81C40">
      <w:pPr>
        <w:pStyle w:val="Bulletpoint"/>
        <w:tabs>
          <w:tab w:val="left" w:pos="1134"/>
        </w:tabs>
        <w:ind w:left="1134"/>
        <w:rPr>
          <w:lang w:val="en-US"/>
        </w:rPr>
      </w:pPr>
      <w:r w:rsidRPr="00D4445B">
        <w:rPr>
          <w:lang w:val="en-US"/>
        </w:rPr>
        <w:t>T</w:t>
      </w:r>
      <w:r w:rsidR="004A5BE6">
        <w:rPr>
          <w:lang w:val="en-US"/>
        </w:rPr>
        <w:t>he appropriate chapter/s of the</w:t>
      </w:r>
      <w:r w:rsidRPr="00D4445B">
        <w:rPr>
          <w:lang w:val="en-US"/>
        </w:rPr>
        <w:t xml:space="preserve"> Guidelines for the body system they are assessing.</w:t>
      </w:r>
    </w:p>
    <w:p w:rsidR="00D4445B" w:rsidRPr="00D4445B" w:rsidRDefault="00D4445B" w:rsidP="00F81C40">
      <w:pPr>
        <w:pStyle w:val="Bulletpoint"/>
        <w:tabs>
          <w:tab w:val="left" w:pos="1134"/>
        </w:tabs>
        <w:ind w:left="1134"/>
        <w:rPr>
          <w:lang w:val="en-US"/>
        </w:rPr>
      </w:pPr>
      <w:r w:rsidRPr="00D4445B">
        <w:rPr>
          <w:lang w:val="en-US"/>
        </w:rPr>
        <w:t>The appropriate chapter/s of AMA5 for the body system they are assessing.</w:t>
      </w:r>
    </w:p>
    <w:p w:rsidR="00D4445B" w:rsidRPr="00D4445B" w:rsidRDefault="004A5BE6" w:rsidP="00F81C40">
      <w:pPr>
        <w:pStyle w:val="BodyText5"/>
        <w:numPr>
          <w:ilvl w:val="0"/>
          <w:numId w:val="0"/>
        </w:numPr>
        <w:spacing w:before="240"/>
        <w:ind w:left="709" w:hanging="709"/>
        <w:rPr>
          <w:sz w:val="32"/>
        </w:rPr>
      </w:pPr>
      <w:r>
        <w:t>The</w:t>
      </w:r>
      <w:r w:rsidR="00D4445B" w:rsidRPr="00D4445B">
        <w:t xml:space="preserve"> Guidelines take precedence over AMA5.</w:t>
      </w:r>
    </w:p>
    <w:p w:rsidR="00D8141B" w:rsidRPr="00D8141B" w:rsidRDefault="00D8141B" w:rsidP="00773899">
      <w:pPr>
        <w:pStyle w:val="Heading3"/>
      </w:pPr>
      <w:bookmarkStart w:id="81" w:name="_Toc144874645"/>
      <w:bookmarkStart w:id="82" w:name="_Toc144875233"/>
      <w:bookmarkEnd w:id="78"/>
      <w:bookmarkEnd w:id="79"/>
      <w:r w:rsidRPr="00D8141B">
        <w:t>Introduction</w:t>
      </w:r>
      <w:bookmarkEnd w:id="81"/>
      <w:bookmarkEnd w:id="82"/>
    </w:p>
    <w:p w:rsidR="00D8141B" w:rsidRPr="00773899" w:rsidRDefault="00D8141B" w:rsidP="00773899">
      <w:pPr>
        <w:pStyle w:val="BodyText5"/>
      </w:pPr>
      <w:r w:rsidRPr="00773899">
        <w:t>AMA5 chapter 13, the central and peripheral nervous system (pp 305-356), provides guidelines on methods of assessing permanent impairment involving the central nervous system. It is logically structured and consistent with the usual sequence of examination of the nervous system. Cerebral functions are discussed first, followed by the cranial nerves, station, gait and movement disorders, the upper extremities related to central impairment, the brain stem, the spinal cord and the peripheral nervous system, including neuromuscular junction and muscular system. A summary concludes the chapter.</w:t>
      </w:r>
    </w:p>
    <w:p w:rsidR="00D8141B" w:rsidRPr="00773899" w:rsidRDefault="00D8141B" w:rsidP="00773899">
      <w:pPr>
        <w:pStyle w:val="BodyText5"/>
      </w:pPr>
      <w:r w:rsidRPr="00773899">
        <w:t>Spinal cord injuries are to be assessed using AMA5 chapter 15. Table 15.6 (pp 396-397) is to be used for evaluation of spinal cord injuries. These impairments, once selected, are then combined with the corresponding additional spinal impairment from DRE categories 11-V for cervical and lumbar impairment and categories II-IV for thoracic impairment to obtain an exact total value.</w:t>
      </w:r>
    </w:p>
    <w:p w:rsidR="00D8141B" w:rsidRPr="00D8141B" w:rsidRDefault="00D8141B" w:rsidP="00773899">
      <w:pPr>
        <w:pStyle w:val="BodyText5"/>
        <w:rPr>
          <w:szCs w:val="20"/>
        </w:rPr>
      </w:pPr>
      <w:r w:rsidRPr="00773899">
        <w:t>Impairments of the</w:t>
      </w:r>
      <w:r w:rsidRPr="00D8141B">
        <w:rPr>
          <w:szCs w:val="20"/>
        </w:rPr>
        <w:t xml:space="preserve"> peripheral nervous system are assessed by using the relevant parts of the upper extremity, lower extremity and spine sections of AMA5.</w:t>
      </w:r>
      <w:r w:rsidRPr="00D8141B" w:rsidDel="009A1653">
        <w:rPr>
          <w:szCs w:val="20"/>
        </w:rPr>
        <w:t xml:space="preserve"> </w:t>
      </w:r>
    </w:p>
    <w:p w:rsidR="00D8141B" w:rsidRPr="00D8141B" w:rsidRDefault="00D8141B" w:rsidP="00773899">
      <w:pPr>
        <w:pStyle w:val="Heading3"/>
      </w:pPr>
      <w:bookmarkStart w:id="83" w:name="_Toc144874646"/>
      <w:bookmarkStart w:id="84" w:name="_Toc144875234"/>
      <w:r w:rsidRPr="00D8141B">
        <w:t>The approach to assessment of permanent neurological impairment</w:t>
      </w:r>
      <w:bookmarkEnd w:id="83"/>
      <w:bookmarkEnd w:id="84"/>
    </w:p>
    <w:p w:rsidR="00D8141B" w:rsidRPr="00D8141B" w:rsidRDefault="00D8141B" w:rsidP="00773899">
      <w:pPr>
        <w:pStyle w:val="BodyText5"/>
      </w:pPr>
      <w:r w:rsidRPr="00D8141B">
        <w:t>AMA5 chapter 13 disallows combination of cerebral impairments. However, for the purpose of the Guidelines, cerebral impairments should be evaluated and combined as follows:</w:t>
      </w:r>
    </w:p>
    <w:p w:rsidR="00D8141B" w:rsidRPr="00D8141B" w:rsidRDefault="00D8141B" w:rsidP="00773899">
      <w:pPr>
        <w:pStyle w:val="Bulletpoint"/>
        <w:tabs>
          <w:tab w:val="left" w:pos="1134"/>
        </w:tabs>
        <w:ind w:left="1134"/>
        <w:rPr>
          <w:lang w:val="en-GB"/>
        </w:rPr>
      </w:pPr>
      <w:r w:rsidRPr="00D8141B">
        <w:rPr>
          <w:lang w:val="en-GB"/>
        </w:rPr>
        <w:t>Consciousness and awareness</w:t>
      </w:r>
    </w:p>
    <w:p w:rsidR="00D8141B" w:rsidRPr="00D8141B" w:rsidRDefault="00D8141B" w:rsidP="00773899">
      <w:pPr>
        <w:pStyle w:val="Bulletpoint"/>
        <w:tabs>
          <w:tab w:val="left" w:pos="1134"/>
        </w:tabs>
        <w:ind w:left="1134"/>
        <w:rPr>
          <w:lang w:val="en-GB"/>
        </w:rPr>
      </w:pPr>
      <w:r w:rsidRPr="00D8141B">
        <w:rPr>
          <w:lang w:val="en-GB"/>
        </w:rPr>
        <w:t>Mental status, cognition and highest integrative function</w:t>
      </w:r>
    </w:p>
    <w:p w:rsidR="00D8141B" w:rsidRPr="00D8141B" w:rsidRDefault="00D8141B" w:rsidP="00773899">
      <w:pPr>
        <w:pStyle w:val="Bulletpoint"/>
        <w:tabs>
          <w:tab w:val="left" w:pos="1134"/>
        </w:tabs>
        <w:ind w:left="1134"/>
        <w:rPr>
          <w:lang w:val="en-GB"/>
        </w:rPr>
      </w:pPr>
      <w:r w:rsidRPr="00D8141B">
        <w:rPr>
          <w:lang w:val="en-GB"/>
        </w:rPr>
        <w:t>Aphasia and communication disorders</w:t>
      </w:r>
    </w:p>
    <w:p w:rsidR="00D8141B" w:rsidRPr="00D8141B" w:rsidRDefault="00D8141B" w:rsidP="00773899">
      <w:pPr>
        <w:pStyle w:val="Bulletpoint"/>
        <w:tabs>
          <w:tab w:val="left" w:pos="1134"/>
        </w:tabs>
        <w:ind w:left="1134"/>
        <w:rPr>
          <w:lang w:val="en-GB"/>
        </w:rPr>
      </w:pPr>
      <w:r w:rsidRPr="00D8141B">
        <w:rPr>
          <w:lang w:val="en-GB"/>
        </w:rPr>
        <w:t>Emotional and behavioural impairments.</w:t>
      </w:r>
    </w:p>
    <w:p w:rsidR="00D8141B" w:rsidRPr="00D8141B" w:rsidRDefault="00D8141B" w:rsidP="00773899">
      <w:pPr>
        <w:pStyle w:val="BodyText5"/>
        <w:numPr>
          <w:ilvl w:val="0"/>
          <w:numId w:val="0"/>
        </w:numPr>
        <w:ind w:left="709"/>
        <w:rPr>
          <w:snapToGrid w:val="0"/>
          <w:lang w:val="en-GB"/>
        </w:rPr>
      </w:pPr>
      <w:r w:rsidRPr="00D8141B">
        <w:rPr>
          <w:snapToGrid w:val="0"/>
        </w:rPr>
        <w:t>The assessor should take care to be as specific as possible and not to double-rate the same impairment, particularly in the mental status and behavioural categories</w:t>
      </w:r>
      <w:r w:rsidRPr="00D8141B">
        <w:rPr>
          <w:snapToGrid w:val="0"/>
          <w:lang w:val="en-GB"/>
        </w:rPr>
        <w:t>.</w:t>
      </w:r>
    </w:p>
    <w:p w:rsidR="00D8141B" w:rsidRPr="00B537BF" w:rsidRDefault="00D8141B" w:rsidP="00773899">
      <w:pPr>
        <w:pStyle w:val="BodyText5"/>
        <w:numPr>
          <w:ilvl w:val="0"/>
          <w:numId w:val="0"/>
        </w:numPr>
        <w:ind w:left="709"/>
        <w:rPr>
          <w:snapToGrid w:val="0"/>
        </w:rPr>
      </w:pPr>
      <w:r w:rsidRPr="00B537BF">
        <w:rPr>
          <w:snapToGrid w:val="0"/>
        </w:rPr>
        <w:t>These impairments are to be combined using the combined values chart (pp 604-606 AMA5). These impairments should then be combined with other neurological impairments indicated in AMA5 table 13-1 (p 308).</w:t>
      </w:r>
    </w:p>
    <w:p w:rsidR="00D8141B" w:rsidRPr="00D8141B" w:rsidRDefault="00D8141B" w:rsidP="00773899">
      <w:pPr>
        <w:pStyle w:val="BodyText5"/>
        <w:rPr>
          <w:rFonts w:cs="Times New Roman"/>
        </w:rPr>
      </w:pPr>
      <w:r w:rsidRPr="00D8141B">
        <w:t xml:space="preserve">AMA5 sections 13.5 and 13.6 (pp 336-340) should be used for cerebral, basal ganglia, cerebellar or brain stem impairments.  This section therefore covers hemiplegia, monoplegia (arm or leg) and upper or lower limb impairment due to incoordination or movement disorder due to brain injury. </w:t>
      </w:r>
    </w:p>
    <w:p w:rsidR="00D8141B" w:rsidRPr="00D8141B" w:rsidRDefault="00D8141B" w:rsidP="00773899">
      <w:pPr>
        <w:pStyle w:val="BodyText5"/>
      </w:pPr>
      <w:r w:rsidRPr="00D8141B">
        <w:lastRenderedPageBreak/>
        <w:t xml:space="preserve">If a person has a spinal injury with spinal cord or cauda equina, bilateral nerve root or lumbosacral plexus injury causing bowel, bladder and/or sexual dysfunction, he or she is assessed according to the method described in section 15.7 and table 15.6 (a)-(g), pp 395-398,  AMA5. </w:t>
      </w:r>
    </w:p>
    <w:p w:rsidR="00D8141B" w:rsidRPr="00D8141B" w:rsidRDefault="00D8141B" w:rsidP="00773899">
      <w:pPr>
        <w:pStyle w:val="BodyText5"/>
      </w:pPr>
      <w:r w:rsidRPr="00D8141B">
        <w:t xml:space="preserve">Complex regional pain syndrome types 1 and 2 are to be assessed using the method in </w:t>
      </w:r>
      <w:r w:rsidR="00BF09FF">
        <w:t>C</w:t>
      </w:r>
      <w:r w:rsidR="00BF09FF" w:rsidRPr="00D8141B">
        <w:t xml:space="preserve">hapter </w:t>
      </w:r>
      <w:r w:rsidRPr="00D8141B">
        <w:t>17</w:t>
      </w:r>
      <w:r w:rsidR="00BF09FF">
        <w:t xml:space="preserve"> of the Guidelines</w:t>
      </w:r>
      <w:r w:rsidRPr="00D8141B">
        <w:t>.</w:t>
      </w:r>
    </w:p>
    <w:p w:rsidR="00D8141B" w:rsidRPr="00D8141B" w:rsidRDefault="00D8141B" w:rsidP="00773899">
      <w:pPr>
        <w:pStyle w:val="BodyText5"/>
      </w:pPr>
      <w:r w:rsidRPr="00D8141B">
        <w:t>The nervous system chapter of AMA5 (chapter 13) lists many impairments where the range for the associated WPI is 0-9 per cent or 0-14 per cent. Where there is a range of impairment percentages listed, the assessor should nominate an impairment percentage based on the complete clinical circumstances revealed during the consultation and in relation to all other available information.</w:t>
      </w:r>
    </w:p>
    <w:p w:rsidR="00D8141B" w:rsidRPr="00D8141B" w:rsidRDefault="00D8141B" w:rsidP="00773899">
      <w:pPr>
        <w:pStyle w:val="Heading3"/>
      </w:pPr>
      <w:bookmarkStart w:id="85" w:name="_Toc144874647"/>
      <w:bookmarkStart w:id="86" w:name="_Toc144875235"/>
      <w:r w:rsidRPr="00D8141B">
        <w:t>Specific interpretation of AMA5</w:t>
      </w:r>
      <w:bookmarkEnd w:id="85"/>
      <w:bookmarkEnd w:id="86"/>
    </w:p>
    <w:p w:rsidR="00D8141B" w:rsidRPr="00D8141B" w:rsidRDefault="00D8141B" w:rsidP="00773899">
      <w:pPr>
        <w:pStyle w:val="BodyText5"/>
      </w:pPr>
      <w:r w:rsidRPr="00D8141B">
        <w:t xml:space="preserve">In assessing disturbances of mental status and integrative functioning, and emotional or behavioural disturbances, disturbances in the level of consciousness and awareness, disturbances of sleep and arousal function and disorders of communication (sections 13.3a, 13.3c, 13.3d, 13.3e, 13.3f, AMA5 pp 309-311, 317-327), the assessor should make ratings based on clinical assessment and the results of neuropsychometric testing where available. </w:t>
      </w:r>
    </w:p>
    <w:p w:rsidR="00D8141B" w:rsidRPr="00D8141B" w:rsidRDefault="00D8141B" w:rsidP="00773899">
      <w:pPr>
        <w:pStyle w:val="BodyText5"/>
        <w:numPr>
          <w:ilvl w:val="0"/>
          <w:numId w:val="0"/>
        </w:numPr>
        <w:ind w:left="709"/>
      </w:pPr>
      <w:r w:rsidRPr="00D8141B">
        <w:t>For traumatic brain injury, there should be evidence of a severe impact to the head or that the injury involved a high energy impact.</w:t>
      </w:r>
    </w:p>
    <w:p w:rsidR="00D8141B" w:rsidRPr="00D8141B" w:rsidRDefault="00D8141B" w:rsidP="00773899">
      <w:pPr>
        <w:pStyle w:val="BodyText5"/>
        <w:numPr>
          <w:ilvl w:val="0"/>
          <w:numId w:val="0"/>
        </w:numPr>
        <w:ind w:left="709"/>
      </w:pPr>
      <w:r w:rsidRPr="00D8141B">
        <w:t xml:space="preserve">Clinical assessment must include at least one of the following: </w:t>
      </w:r>
    </w:p>
    <w:p w:rsidR="00D8141B" w:rsidRPr="00D8141B" w:rsidRDefault="00D8141B" w:rsidP="00773899">
      <w:pPr>
        <w:pStyle w:val="Bulletpoint"/>
        <w:tabs>
          <w:tab w:val="left" w:pos="1134"/>
        </w:tabs>
        <w:ind w:left="1134"/>
        <w:rPr>
          <w:lang w:val="en-GB"/>
        </w:rPr>
      </w:pPr>
      <w:r w:rsidRPr="00D8141B">
        <w:rPr>
          <w:lang w:val="en-GB"/>
        </w:rPr>
        <w:t xml:space="preserve">Significant medically verified abnormalities in the Glasgow Coma Scale score, </w:t>
      </w:r>
    </w:p>
    <w:p w:rsidR="00D8141B" w:rsidRPr="00D8141B" w:rsidRDefault="00D8141B" w:rsidP="00773899">
      <w:pPr>
        <w:pStyle w:val="Bulletpoint"/>
        <w:tabs>
          <w:tab w:val="left" w:pos="1134"/>
        </w:tabs>
        <w:ind w:left="1134"/>
        <w:rPr>
          <w:lang w:val="en-GB"/>
        </w:rPr>
      </w:pPr>
      <w:r w:rsidRPr="00D8141B">
        <w:rPr>
          <w:lang w:val="en-GB"/>
        </w:rPr>
        <w:t xml:space="preserve">Significant medically verified duration of post traumatic amnesia </w:t>
      </w:r>
    </w:p>
    <w:p w:rsidR="00D8141B" w:rsidRPr="00D8141B" w:rsidRDefault="00D8141B" w:rsidP="00773899">
      <w:pPr>
        <w:pStyle w:val="Bulletpoint"/>
        <w:tabs>
          <w:tab w:val="left" w:pos="1134"/>
        </w:tabs>
        <w:ind w:left="1134"/>
        <w:rPr>
          <w:lang w:val="en-GB"/>
        </w:rPr>
      </w:pPr>
      <w:r w:rsidRPr="00D8141B">
        <w:rPr>
          <w:lang w:val="en-GB"/>
        </w:rPr>
        <w:t>Significant intracranial pathology on CT scan or MRI.</w:t>
      </w:r>
    </w:p>
    <w:p w:rsidR="00D8141B" w:rsidRPr="00D8141B" w:rsidRDefault="00D8141B" w:rsidP="00773899">
      <w:pPr>
        <w:pStyle w:val="BodyText5"/>
        <w:numPr>
          <w:ilvl w:val="0"/>
          <w:numId w:val="0"/>
        </w:numPr>
        <w:ind w:left="709"/>
        <w:rPr>
          <w:snapToGrid w:val="0"/>
          <w:lang w:val="en-GB"/>
        </w:rPr>
      </w:pPr>
      <w:r w:rsidRPr="00D8141B">
        <w:rPr>
          <w:snapToGrid w:val="0"/>
        </w:rPr>
        <w:t>Neuropsychological testing should be conducted by a registered clinical neuropsychologist who is a member, or is eligible for membership, of the Australian Psychological Society's College of Clinical Neuropsychology. Neuropsychological test data is to be considered in the context of the overall clinical history, examination and radiological findings and not in isolation</w:t>
      </w:r>
      <w:r w:rsidRPr="00D8141B">
        <w:rPr>
          <w:snapToGrid w:val="0"/>
          <w:lang w:val="en-GB"/>
        </w:rPr>
        <w:t>.</w:t>
      </w:r>
    </w:p>
    <w:p w:rsidR="00D8141B" w:rsidRPr="00D8141B" w:rsidRDefault="00D8141B" w:rsidP="00773899">
      <w:pPr>
        <w:pStyle w:val="BodyText5"/>
      </w:pPr>
      <w:r w:rsidRPr="00D8141B">
        <w:rPr>
          <w:b/>
          <w:bCs/>
        </w:rPr>
        <w:t xml:space="preserve">Assessment of arousal and sleep disorders (AMA5 section 13.3c, pp 317-319): </w:t>
      </w:r>
      <w:r w:rsidRPr="00D8141B">
        <w:t>refers to assessment of primary sleep disorders following neurological injury. The assessor should make ratings of arousal and sleep disorders based on the clinical assessment that would normally have been done for clinically significant disorders of this type (ie sleep studies or similar tests).</w:t>
      </w:r>
    </w:p>
    <w:p w:rsidR="00D8141B" w:rsidRPr="00D8141B" w:rsidRDefault="00D8141B" w:rsidP="00773899">
      <w:pPr>
        <w:pStyle w:val="BodyText5"/>
      </w:pPr>
      <w:r w:rsidRPr="00D8141B">
        <w:rPr>
          <w:b/>
          <w:bCs/>
        </w:rPr>
        <w:t xml:space="preserve">Olfaction and taste: </w:t>
      </w:r>
      <w:r w:rsidRPr="00D8141B">
        <w:rPr>
          <w:bCs/>
        </w:rPr>
        <w:t xml:space="preserve">The assessor should use AMA5 </w:t>
      </w:r>
      <w:r w:rsidR="00BF09FF">
        <w:rPr>
          <w:bCs/>
        </w:rPr>
        <w:t>C</w:t>
      </w:r>
      <w:r w:rsidRPr="00D8141B">
        <w:rPr>
          <w:bCs/>
        </w:rPr>
        <w:t xml:space="preserve">hapter 11, </w:t>
      </w:r>
      <w:r w:rsidR="00BF09FF">
        <w:rPr>
          <w:bCs/>
        </w:rPr>
        <w:t>S</w:t>
      </w:r>
      <w:r w:rsidRPr="00D8141B">
        <w:rPr>
          <w:bCs/>
        </w:rPr>
        <w:t xml:space="preserve">ection 11.4c (p 262) to assess olfaction and taste, for which a maximum of five per cent WPI is allowable for total loss of either sense. The effect </w:t>
      </w:r>
      <w:r w:rsidR="00BF09FF">
        <w:rPr>
          <w:bCs/>
        </w:rPr>
        <w:t xml:space="preserve">on activities of daily living </w:t>
      </w:r>
      <w:r w:rsidRPr="00D8141B">
        <w:rPr>
          <w:bCs/>
        </w:rPr>
        <w:t>should be considered</w:t>
      </w:r>
      <w:r w:rsidRPr="00D8141B">
        <w:t>.</w:t>
      </w:r>
    </w:p>
    <w:p w:rsidR="00D8141B" w:rsidRPr="00D8141B" w:rsidRDefault="00D8141B" w:rsidP="00773899">
      <w:pPr>
        <w:pStyle w:val="BodyText5"/>
      </w:pPr>
      <w:r w:rsidRPr="00D8141B">
        <w:rPr>
          <w:b/>
          <w:bCs/>
        </w:rPr>
        <w:t xml:space="preserve">Visual impairment assessment (chapter 8, pp 209-222 AMA4):  </w:t>
      </w:r>
      <w:r w:rsidRPr="00D8141B">
        <w:rPr>
          <w:bCs/>
        </w:rPr>
        <w:t>An ophthalmologist should assess all impairments of visual acuity, visual fields, extra-ocular movements or diplopia</w:t>
      </w:r>
      <w:r w:rsidRPr="00D8141B">
        <w:t>.</w:t>
      </w:r>
    </w:p>
    <w:p w:rsidR="00D8141B" w:rsidRPr="00D8141B" w:rsidRDefault="00D8141B" w:rsidP="00773899">
      <w:pPr>
        <w:pStyle w:val="BodyText5"/>
      </w:pPr>
      <w:r w:rsidRPr="00D8141B">
        <w:rPr>
          <w:b/>
          <w:bCs/>
        </w:rPr>
        <w:t xml:space="preserve">Trigeminal nerve assessment (p 331 AMA5):  </w:t>
      </w:r>
      <w:r w:rsidRPr="00D8141B">
        <w:rPr>
          <w:bCs/>
        </w:rPr>
        <w:t>Sensory impairments of the trigeminal nerve should be assessed with reference to AMA5 table 13-11 (p 331). The words 'sensory loss or dysaesthesia' should be added to the table after the words 'neuralgic pain' in each instance. Lesions of the ophthalmic division of the trigeminal nerve with impairment of corneal sensation should be apportioned with extra weighting</w:t>
      </w:r>
      <w:r w:rsidRPr="00D8141B">
        <w:rPr>
          <w:iCs/>
        </w:rPr>
        <w:t>.</w:t>
      </w:r>
    </w:p>
    <w:p w:rsidR="00D8141B" w:rsidRPr="00D8141B" w:rsidRDefault="00D8141B" w:rsidP="00773899">
      <w:pPr>
        <w:pStyle w:val="BodyText5"/>
        <w:numPr>
          <w:ilvl w:val="0"/>
          <w:numId w:val="0"/>
        </w:numPr>
        <w:ind w:left="709"/>
      </w:pPr>
      <w:r w:rsidRPr="00D8141B">
        <w:lastRenderedPageBreak/>
        <w:t>If present, motor loss for the trigeminal nerve should be assessed in terms of its impact on mastication and deglutition (p 262 AMA5).</w:t>
      </w:r>
    </w:p>
    <w:p w:rsidR="00D8141B" w:rsidRPr="00D8141B" w:rsidRDefault="00D8141B" w:rsidP="00773899">
      <w:pPr>
        <w:pStyle w:val="BodyText5"/>
        <w:numPr>
          <w:ilvl w:val="0"/>
          <w:numId w:val="0"/>
        </w:numPr>
        <w:ind w:left="709"/>
      </w:pPr>
      <w:r w:rsidRPr="00D8141B">
        <w:t>For bilateral injury to the trigeminal nerves, assess each side separately and combine the assessed WP</w:t>
      </w:r>
      <w:r w:rsidR="00130001">
        <w:t>I</w:t>
      </w:r>
      <w:r w:rsidRPr="00D8141B">
        <w:t>s.</w:t>
      </w:r>
    </w:p>
    <w:p w:rsidR="00D8141B" w:rsidRPr="00D8141B" w:rsidRDefault="00D8141B" w:rsidP="00773899">
      <w:pPr>
        <w:pStyle w:val="BodyText5"/>
      </w:pPr>
      <w:r w:rsidRPr="00D8141B">
        <w:rPr>
          <w:b/>
        </w:rPr>
        <w:t xml:space="preserve">Spinal accessory nerve: </w:t>
      </w:r>
      <w:r w:rsidRPr="00D8141B">
        <w:t xml:space="preserve">AMA5 provides insufficient reference to the spinal accessory nerve (cranial nerve XI). This nerve supplies the trapezius and sternomastoid muscles. For loss of use of the nerve to trapezius, the assessor should refer to AMA5 chapter 16 on upper limb assessment, and a maximum of 10 per cent impairment of the upper limb may be assigned. For additional loss of use of sternomastoid, a maximum of three per cent upper limb impairment may be added. </w:t>
      </w:r>
    </w:p>
    <w:p w:rsidR="00D8141B" w:rsidRPr="00D8141B" w:rsidRDefault="00D8141B" w:rsidP="00773899">
      <w:pPr>
        <w:pStyle w:val="BodyText5"/>
        <w:rPr>
          <w:iCs/>
        </w:rPr>
      </w:pPr>
      <w:r w:rsidRPr="00D8141B">
        <w:t>Impairment of sexual function caused by severe traumatic brain injury is to be assessed by using table 13.21 (p 342 AMA5).  For spinal cord, nerve root or more peripheral nerve injury, sexual impairment should only be assessed where there is appropriate objective evidence of spinal cord, cauda equina or bilateral nerve root dysfunction or lumbosacral plexopathy</w:t>
      </w:r>
      <w:r w:rsidRPr="00D8141B">
        <w:rPr>
          <w:iCs/>
        </w:rPr>
        <w:t>.</w:t>
      </w:r>
    </w:p>
    <w:p w:rsidR="00D8141B" w:rsidRPr="00D8141B" w:rsidRDefault="00D8141B" w:rsidP="00773899">
      <w:pPr>
        <w:pStyle w:val="BodyText5"/>
      </w:pPr>
      <w:r w:rsidRPr="00D8141B">
        <w:rPr>
          <w:iCs/>
        </w:rPr>
        <w:t>Impairment due to miscellaneous peripheral nerves should be evaluated with reference to the following table.</w:t>
      </w:r>
    </w:p>
    <w:p w:rsidR="00D8141B" w:rsidRPr="00773899" w:rsidRDefault="00D8141B" w:rsidP="00773899">
      <w:pPr>
        <w:keepNext/>
        <w:keepLines/>
        <w:spacing w:before="240" w:after="120" w:line="240" w:lineRule="auto"/>
        <w:ind w:left="709"/>
        <w:jc w:val="center"/>
        <w:rPr>
          <w:rFonts w:eastAsia="Times New Roman" w:cs="Arial"/>
          <w:b/>
          <w:bCs/>
          <w:sz w:val="24"/>
          <w:szCs w:val="24"/>
          <w:lang w:val="en-US"/>
        </w:rPr>
      </w:pPr>
      <w:r w:rsidRPr="00773899">
        <w:rPr>
          <w:rFonts w:eastAsia="Times New Roman" w:cs="Arial"/>
          <w:b/>
          <w:bCs/>
          <w:sz w:val="24"/>
          <w:szCs w:val="24"/>
          <w:lang w:val="en-US"/>
        </w:rPr>
        <w:t>Table 5.1 Criteria for Rating Miscellaneous Peripheral Nerves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5"/>
        <w:gridCol w:w="1611"/>
        <w:gridCol w:w="1663"/>
        <w:gridCol w:w="1671"/>
        <w:gridCol w:w="1671"/>
      </w:tblGrid>
      <w:tr w:rsidR="00D8141B" w:rsidRPr="00773899" w:rsidTr="00773899">
        <w:tc>
          <w:tcPr>
            <w:tcW w:w="1775" w:type="dxa"/>
          </w:tcPr>
          <w:p w:rsidR="00D8141B" w:rsidRPr="00773899" w:rsidRDefault="00D8141B" w:rsidP="00773899">
            <w:pPr>
              <w:keepNext/>
              <w:keepLines/>
              <w:spacing w:before="40" w:after="40" w:line="240" w:lineRule="auto"/>
              <w:rPr>
                <w:rFonts w:eastAsia="Times New Roman" w:cs="Arial"/>
                <w:lang w:val="en-US"/>
              </w:rPr>
            </w:pPr>
          </w:p>
        </w:tc>
        <w:tc>
          <w:tcPr>
            <w:tcW w:w="6616" w:type="dxa"/>
            <w:gridSpan w:val="4"/>
            <w:shd w:val="clear" w:color="auto" w:fill="D9D9D9" w:themeFill="background1" w:themeFillShade="D9"/>
          </w:tcPr>
          <w:p w:rsidR="00D8141B" w:rsidRPr="00773899" w:rsidRDefault="00D8141B" w:rsidP="00773899">
            <w:pPr>
              <w:keepNext/>
              <w:keepLines/>
              <w:spacing w:before="40" w:after="40" w:line="240" w:lineRule="auto"/>
              <w:rPr>
                <w:rFonts w:eastAsia="Times New Roman" w:cs="Arial"/>
                <w:b/>
                <w:lang w:val="en-US"/>
              </w:rPr>
            </w:pPr>
            <w:r w:rsidRPr="00773899">
              <w:rPr>
                <w:rFonts w:eastAsia="Times New Roman" w:cs="Arial"/>
                <w:b/>
                <w:lang w:val="en-US"/>
              </w:rPr>
              <w:t>Whole Person Impairment Rating</w:t>
            </w:r>
          </w:p>
        </w:tc>
      </w:tr>
      <w:tr w:rsidR="00D8141B" w:rsidRPr="00286F9C" w:rsidTr="00773899">
        <w:tc>
          <w:tcPr>
            <w:tcW w:w="1775"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Peripheral Nerve</w:t>
            </w:r>
          </w:p>
        </w:tc>
        <w:tc>
          <w:tcPr>
            <w:tcW w:w="1611"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0%</w:t>
            </w:r>
          </w:p>
        </w:tc>
        <w:tc>
          <w:tcPr>
            <w:tcW w:w="1663"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1%</w:t>
            </w:r>
          </w:p>
        </w:tc>
        <w:tc>
          <w:tcPr>
            <w:tcW w:w="1671"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 xml:space="preserve">2% - 3% </w:t>
            </w:r>
          </w:p>
        </w:tc>
        <w:tc>
          <w:tcPr>
            <w:tcW w:w="1671"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4% - 5%</w:t>
            </w:r>
          </w:p>
        </w:tc>
      </w:tr>
      <w:tr w:rsidR="00D8141B" w:rsidRPr="00286F9C" w:rsidTr="00773899">
        <w:tc>
          <w:tcPr>
            <w:tcW w:w="1775"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Clinical features</w:t>
            </w:r>
          </w:p>
        </w:tc>
        <w:tc>
          <w:tcPr>
            <w:tcW w:w="1611"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No neuralgia</w:t>
            </w:r>
          </w:p>
        </w:tc>
        <w:tc>
          <w:tcPr>
            <w:tcW w:w="1663"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Sensory loss only in an anatomic distribution</w:t>
            </w:r>
          </w:p>
        </w:tc>
        <w:tc>
          <w:tcPr>
            <w:tcW w:w="1671"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Mild to moderate neurogenic pain and sensory alteration in an anatomic distribution</w:t>
            </w:r>
          </w:p>
        </w:tc>
        <w:tc>
          <w:tcPr>
            <w:tcW w:w="1671"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Severe neurogenic pain and sensory alteration in an anatomic distribution</w:t>
            </w:r>
          </w:p>
        </w:tc>
      </w:tr>
      <w:tr w:rsidR="00D8141B" w:rsidRPr="00286F9C" w:rsidTr="00773899">
        <w:tc>
          <w:tcPr>
            <w:tcW w:w="1775" w:type="dxa"/>
          </w:tcPr>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Greater Occipital Nerve</w:t>
            </w:r>
          </w:p>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or</w:t>
            </w:r>
          </w:p>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Lesser Occipital Nerve</w:t>
            </w:r>
          </w:p>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or</w:t>
            </w:r>
          </w:p>
          <w:p w:rsidR="00D8141B" w:rsidRPr="00286F9C" w:rsidRDefault="00D8141B"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Greater</w:t>
            </w:r>
            <w:r w:rsidR="00773899" w:rsidRPr="00286F9C">
              <w:rPr>
                <w:rFonts w:eastAsia="Times New Roman" w:cs="Arial"/>
                <w:sz w:val="20"/>
                <w:szCs w:val="20"/>
                <w:lang w:val="en-US"/>
              </w:rPr>
              <w:t xml:space="preserve"> Auricular Nerve</w:t>
            </w:r>
          </w:p>
        </w:tc>
        <w:tc>
          <w:tcPr>
            <w:tcW w:w="1611" w:type="dxa"/>
          </w:tcPr>
          <w:p w:rsidR="00D8141B" w:rsidRPr="00286F9C" w:rsidRDefault="00D8141B" w:rsidP="00773899">
            <w:pPr>
              <w:keepNext/>
              <w:keepLines/>
              <w:spacing w:before="40" w:after="40" w:line="240" w:lineRule="auto"/>
              <w:rPr>
                <w:rFonts w:eastAsia="Times New Roman" w:cs="Arial"/>
                <w:sz w:val="20"/>
                <w:szCs w:val="20"/>
                <w:lang w:val="en-US"/>
              </w:rPr>
            </w:pPr>
          </w:p>
        </w:tc>
        <w:tc>
          <w:tcPr>
            <w:tcW w:w="1663" w:type="dxa"/>
          </w:tcPr>
          <w:p w:rsidR="00D8141B" w:rsidRPr="00286F9C" w:rsidRDefault="00D8141B" w:rsidP="00773899">
            <w:pPr>
              <w:keepNext/>
              <w:keepLines/>
              <w:spacing w:before="40" w:after="40" w:line="240" w:lineRule="auto"/>
              <w:rPr>
                <w:rFonts w:eastAsia="Times New Roman" w:cs="Arial"/>
                <w:sz w:val="20"/>
                <w:szCs w:val="20"/>
                <w:lang w:val="en-US"/>
              </w:rPr>
            </w:pPr>
          </w:p>
        </w:tc>
        <w:tc>
          <w:tcPr>
            <w:tcW w:w="1671" w:type="dxa"/>
          </w:tcPr>
          <w:p w:rsidR="00D8141B" w:rsidRPr="00286F9C" w:rsidRDefault="00D8141B" w:rsidP="00773899">
            <w:pPr>
              <w:keepNext/>
              <w:keepLines/>
              <w:spacing w:before="40" w:after="40" w:line="240" w:lineRule="auto"/>
              <w:rPr>
                <w:rFonts w:eastAsia="Times New Roman" w:cs="Arial"/>
                <w:sz w:val="20"/>
                <w:szCs w:val="20"/>
                <w:lang w:val="en-US"/>
              </w:rPr>
            </w:pPr>
          </w:p>
        </w:tc>
        <w:tc>
          <w:tcPr>
            <w:tcW w:w="1671" w:type="dxa"/>
          </w:tcPr>
          <w:p w:rsidR="00D8141B" w:rsidRPr="00286F9C" w:rsidRDefault="00D8141B" w:rsidP="00773899">
            <w:pPr>
              <w:keepNext/>
              <w:keepLines/>
              <w:spacing w:before="40" w:after="40" w:line="240" w:lineRule="auto"/>
              <w:rPr>
                <w:rFonts w:eastAsia="Times New Roman" w:cs="Arial"/>
                <w:sz w:val="20"/>
                <w:szCs w:val="20"/>
                <w:lang w:val="en-US"/>
              </w:rPr>
            </w:pPr>
          </w:p>
        </w:tc>
      </w:tr>
      <w:tr w:rsidR="00D8141B" w:rsidRPr="00286F9C" w:rsidTr="00773899">
        <w:tc>
          <w:tcPr>
            <w:tcW w:w="1775" w:type="dxa"/>
          </w:tcPr>
          <w:p w:rsidR="00D8141B" w:rsidRPr="00286F9C" w:rsidRDefault="00773899" w:rsidP="00773899">
            <w:pPr>
              <w:keepNext/>
              <w:keepLines/>
              <w:spacing w:before="40" w:after="40" w:line="240" w:lineRule="auto"/>
              <w:rPr>
                <w:rFonts w:eastAsia="Times New Roman" w:cs="Arial"/>
                <w:sz w:val="20"/>
                <w:szCs w:val="20"/>
                <w:lang w:val="en-US"/>
              </w:rPr>
            </w:pPr>
            <w:r w:rsidRPr="00286F9C">
              <w:rPr>
                <w:rFonts w:eastAsia="Times New Roman" w:cs="Arial"/>
                <w:sz w:val="20"/>
                <w:szCs w:val="20"/>
                <w:lang w:val="en-US"/>
              </w:rPr>
              <w:t>Intercostal Nerve</w:t>
            </w:r>
          </w:p>
        </w:tc>
        <w:tc>
          <w:tcPr>
            <w:tcW w:w="1611" w:type="dxa"/>
          </w:tcPr>
          <w:p w:rsidR="00D8141B" w:rsidRPr="00286F9C" w:rsidRDefault="00D8141B" w:rsidP="00773899">
            <w:pPr>
              <w:keepNext/>
              <w:keepLines/>
              <w:spacing w:before="40" w:after="40" w:line="240" w:lineRule="auto"/>
              <w:rPr>
                <w:rFonts w:eastAsia="Times New Roman" w:cs="Arial"/>
                <w:sz w:val="20"/>
                <w:szCs w:val="20"/>
                <w:lang w:val="en-US"/>
              </w:rPr>
            </w:pPr>
          </w:p>
        </w:tc>
        <w:tc>
          <w:tcPr>
            <w:tcW w:w="1663" w:type="dxa"/>
          </w:tcPr>
          <w:p w:rsidR="00D8141B" w:rsidRPr="00286F9C" w:rsidRDefault="00D8141B" w:rsidP="00773899">
            <w:pPr>
              <w:keepNext/>
              <w:keepLines/>
              <w:spacing w:before="40" w:after="40" w:line="240" w:lineRule="auto"/>
              <w:rPr>
                <w:rFonts w:eastAsia="Times New Roman" w:cs="Arial"/>
                <w:sz w:val="20"/>
                <w:szCs w:val="20"/>
                <w:lang w:val="en-US"/>
              </w:rPr>
            </w:pPr>
          </w:p>
        </w:tc>
        <w:tc>
          <w:tcPr>
            <w:tcW w:w="1671" w:type="dxa"/>
          </w:tcPr>
          <w:p w:rsidR="00D8141B" w:rsidRPr="00286F9C" w:rsidRDefault="00D8141B" w:rsidP="00773899">
            <w:pPr>
              <w:keepNext/>
              <w:keepLines/>
              <w:spacing w:before="40" w:after="40" w:line="240" w:lineRule="auto"/>
              <w:rPr>
                <w:rFonts w:eastAsia="Times New Roman" w:cs="Arial"/>
                <w:sz w:val="20"/>
                <w:szCs w:val="20"/>
                <w:lang w:val="en-US"/>
              </w:rPr>
            </w:pPr>
          </w:p>
        </w:tc>
        <w:tc>
          <w:tcPr>
            <w:tcW w:w="1671" w:type="dxa"/>
          </w:tcPr>
          <w:p w:rsidR="00D8141B" w:rsidRPr="00286F9C" w:rsidRDefault="00D8141B" w:rsidP="00773899">
            <w:pPr>
              <w:keepNext/>
              <w:keepLines/>
              <w:spacing w:before="40" w:after="40" w:line="240" w:lineRule="auto"/>
              <w:rPr>
                <w:rFonts w:eastAsia="Times New Roman" w:cs="Arial"/>
                <w:sz w:val="20"/>
                <w:szCs w:val="20"/>
                <w:lang w:val="en-US"/>
              </w:rPr>
            </w:pPr>
          </w:p>
        </w:tc>
      </w:tr>
      <w:tr w:rsidR="00D8141B" w:rsidRPr="00286F9C" w:rsidTr="00773899">
        <w:tc>
          <w:tcPr>
            <w:tcW w:w="1775" w:type="dxa"/>
          </w:tcPr>
          <w:p w:rsidR="00D8141B" w:rsidRPr="00286F9C" w:rsidRDefault="00773899" w:rsidP="00773899">
            <w:pPr>
              <w:spacing w:before="40" w:after="40" w:line="240" w:lineRule="auto"/>
              <w:rPr>
                <w:rFonts w:eastAsia="Times New Roman" w:cs="Arial"/>
                <w:sz w:val="20"/>
                <w:szCs w:val="20"/>
                <w:lang w:val="en-US"/>
              </w:rPr>
            </w:pPr>
            <w:r w:rsidRPr="00286F9C">
              <w:rPr>
                <w:rFonts w:eastAsia="Times New Roman" w:cs="Arial"/>
                <w:sz w:val="20"/>
                <w:szCs w:val="20"/>
                <w:lang w:val="en-US"/>
              </w:rPr>
              <w:t>Genitofemoral</w:t>
            </w:r>
          </w:p>
        </w:tc>
        <w:tc>
          <w:tcPr>
            <w:tcW w:w="1611" w:type="dxa"/>
          </w:tcPr>
          <w:p w:rsidR="00D8141B" w:rsidRPr="00286F9C" w:rsidRDefault="00D8141B" w:rsidP="00773899">
            <w:pPr>
              <w:spacing w:before="40" w:after="40" w:line="240" w:lineRule="auto"/>
              <w:rPr>
                <w:rFonts w:eastAsia="Times New Roman" w:cs="Arial"/>
                <w:sz w:val="20"/>
                <w:szCs w:val="20"/>
                <w:lang w:val="en-US"/>
              </w:rPr>
            </w:pPr>
          </w:p>
        </w:tc>
        <w:tc>
          <w:tcPr>
            <w:tcW w:w="1663" w:type="dxa"/>
          </w:tcPr>
          <w:p w:rsidR="00D8141B" w:rsidRPr="00286F9C" w:rsidRDefault="00D8141B" w:rsidP="00773899">
            <w:pPr>
              <w:spacing w:before="40" w:after="40" w:line="240" w:lineRule="auto"/>
              <w:rPr>
                <w:rFonts w:eastAsia="Times New Roman" w:cs="Arial"/>
                <w:sz w:val="20"/>
                <w:szCs w:val="20"/>
                <w:lang w:val="en-US"/>
              </w:rPr>
            </w:pPr>
          </w:p>
        </w:tc>
        <w:tc>
          <w:tcPr>
            <w:tcW w:w="1671" w:type="dxa"/>
          </w:tcPr>
          <w:p w:rsidR="00D8141B" w:rsidRPr="00286F9C" w:rsidRDefault="00D8141B" w:rsidP="00773899">
            <w:pPr>
              <w:spacing w:before="40" w:after="40" w:line="240" w:lineRule="auto"/>
              <w:rPr>
                <w:rFonts w:eastAsia="Times New Roman" w:cs="Arial"/>
                <w:sz w:val="20"/>
                <w:szCs w:val="20"/>
                <w:lang w:val="en-US"/>
              </w:rPr>
            </w:pPr>
          </w:p>
        </w:tc>
        <w:tc>
          <w:tcPr>
            <w:tcW w:w="1671" w:type="dxa"/>
          </w:tcPr>
          <w:p w:rsidR="00D8141B" w:rsidRPr="00286F9C" w:rsidRDefault="00D8141B" w:rsidP="00773899">
            <w:pPr>
              <w:spacing w:before="40" w:after="40" w:line="240" w:lineRule="auto"/>
              <w:rPr>
                <w:rFonts w:eastAsia="Times New Roman" w:cs="Arial"/>
                <w:sz w:val="20"/>
                <w:szCs w:val="20"/>
                <w:lang w:val="en-US"/>
              </w:rPr>
            </w:pPr>
          </w:p>
        </w:tc>
      </w:tr>
      <w:tr w:rsidR="00D8141B" w:rsidRPr="00286F9C" w:rsidTr="00773899">
        <w:tc>
          <w:tcPr>
            <w:tcW w:w="1775" w:type="dxa"/>
          </w:tcPr>
          <w:p w:rsidR="00D8141B" w:rsidRPr="00286F9C" w:rsidRDefault="00D8141B" w:rsidP="00773899">
            <w:pPr>
              <w:spacing w:before="40" w:after="40" w:line="240" w:lineRule="auto"/>
              <w:rPr>
                <w:rFonts w:eastAsia="Times New Roman" w:cs="Arial"/>
                <w:sz w:val="20"/>
                <w:szCs w:val="20"/>
                <w:lang w:val="en-US"/>
              </w:rPr>
            </w:pPr>
            <w:r w:rsidRPr="00286F9C">
              <w:rPr>
                <w:rFonts w:eastAsia="Times New Roman" w:cs="Arial"/>
                <w:sz w:val="20"/>
                <w:szCs w:val="20"/>
                <w:lang w:val="en-US"/>
              </w:rPr>
              <w:t>Ilio</w:t>
            </w:r>
            <w:r w:rsidR="00D1454D" w:rsidRPr="00286F9C">
              <w:rPr>
                <w:rFonts w:eastAsia="Times New Roman" w:cs="Arial"/>
                <w:sz w:val="20"/>
                <w:szCs w:val="20"/>
                <w:lang w:val="en-US"/>
              </w:rPr>
              <w:t>-</w:t>
            </w:r>
            <w:r w:rsidR="00773899" w:rsidRPr="00286F9C">
              <w:rPr>
                <w:rFonts w:eastAsia="Times New Roman" w:cs="Arial"/>
                <w:sz w:val="20"/>
                <w:szCs w:val="20"/>
                <w:lang w:val="en-US"/>
              </w:rPr>
              <w:t>inguinal</w:t>
            </w:r>
          </w:p>
        </w:tc>
        <w:tc>
          <w:tcPr>
            <w:tcW w:w="1611" w:type="dxa"/>
          </w:tcPr>
          <w:p w:rsidR="00D8141B" w:rsidRPr="00286F9C" w:rsidRDefault="00D8141B" w:rsidP="00773899">
            <w:pPr>
              <w:spacing w:before="40" w:after="40" w:line="240" w:lineRule="auto"/>
              <w:rPr>
                <w:rFonts w:eastAsia="Times New Roman" w:cs="Arial"/>
                <w:sz w:val="20"/>
                <w:szCs w:val="20"/>
                <w:lang w:val="en-US"/>
              </w:rPr>
            </w:pPr>
          </w:p>
        </w:tc>
        <w:tc>
          <w:tcPr>
            <w:tcW w:w="1663" w:type="dxa"/>
          </w:tcPr>
          <w:p w:rsidR="00D8141B" w:rsidRPr="00286F9C" w:rsidRDefault="00D8141B" w:rsidP="00773899">
            <w:pPr>
              <w:spacing w:before="40" w:after="40" w:line="240" w:lineRule="auto"/>
              <w:rPr>
                <w:rFonts w:eastAsia="Times New Roman" w:cs="Arial"/>
                <w:sz w:val="20"/>
                <w:szCs w:val="20"/>
                <w:lang w:val="en-US"/>
              </w:rPr>
            </w:pPr>
          </w:p>
        </w:tc>
        <w:tc>
          <w:tcPr>
            <w:tcW w:w="1671" w:type="dxa"/>
          </w:tcPr>
          <w:p w:rsidR="00D8141B" w:rsidRPr="00286F9C" w:rsidRDefault="00D8141B" w:rsidP="00773899">
            <w:pPr>
              <w:spacing w:before="40" w:after="40" w:line="240" w:lineRule="auto"/>
              <w:rPr>
                <w:rFonts w:eastAsia="Times New Roman" w:cs="Arial"/>
                <w:sz w:val="20"/>
                <w:szCs w:val="20"/>
                <w:lang w:val="en-US"/>
              </w:rPr>
            </w:pPr>
          </w:p>
        </w:tc>
        <w:tc>
          <w:tcPr>
            <w:tcW w:w="1671" w:type="dxa"/>
          </w:tcPr>
          <w:p w:rsidR="00D8141B" w:rsidRPr="00286F9C" w:rsidRDefault="00D8141B" w:rsidP="00773899">
            <w:pPr>
              <w:spacing w:before="40" w:after="40" w:line="240" w:lineRule="auto"/>
              <w:rPr>
                <w:rFonts w:eastAsia="Times New Roman" w:cs="Arial"/>
                <w:sz w:val="20"/>
                <w:szCs w:val="20"/>
                <w:lang w:val="en-US"/>
              </w:rPr>
            </w:pPr>
          </w:p>
        </w:tc>
      </w:tr>
      <w:tr w:rsidR="00D8141B" w:rsidRPr="00286F9C" w:rsidTr="00773899">
        <w:tc>
          <w:tcPr>
            <w:tcW w:w="1775" w:type="dxa"/>
          </w:tcPr>
          <w:p w:rsidR="00D8141B" w:rsidRPr="00286F9C" w:rsidRDefault="00D8141B" w:rsidP="00773899">
            <w:pPr>
              <w:spacing w:before="40" w:after="40" w:line="240" w:lineRule="auto"/>
              <w:rPr>
                <w:rFonts w:eastAsia="Times New Roman" w:cs="Arial"/>
                <w:sz w:val="20"/>
                <w:szCs w:val="20"/>
                <w:lang w:val="en-US"/>
              </w:rPr>
            </w:pPr>
            <w:r w:rsidRPr="00286F9C">
              <w:rPr>
                <w:rFonts w:eastAsia="Times New Roman" w:cs="Arial"/>
                <w:sz w:val="20"/>
                <w:szCs w:val="20"/>
                <w:lang w:val="en-US"/>
              </w:rPr>
              <w:t>Ilio</w:t>
            </w:r>
            <w:r w:rsidR="00D1454D" w:rsidRPr="00286F9C">
              <w:rPr>
                <w:rFonts w:eastAsia="Times New Roman" w:cs="Arial"/>
                <w:sz w:val="20"/>
                <w:szCs w:val="20"/>
                <w:lang w:val="en-US"/>
              </w:rPr>
              <w:t>-</w:t>
            </w:r>
            <w:r w:rsidR="00773899" w:rsidRPr="00286F9C">
              <w:rPr>
                <w:rFonts w:eastAsia="Times New Roman" w:cs="Arial"/>
                <w:sz w:val="20"/>
                <w:szCs w:val="20"/>
                <w:lang w:val="en-US"/>
              </w:rPr>
              <w:t>hypogastric</w:t>
            </w:r>
          </w:p>
        </w:tc>
        <w:tc>
          <w:tcPr>
            <w:tcW w:w="1611" w:type="dxa"/>
          </w:tcPr>
          <w:p w:rsidR="00D8141B" w:rsidRPr="00286F9C" w:rsidRDefault="00D8141B" w:rsidP="00773899">
            <w:pPr>
              <w:spacing w:before="40" w:after="40" w:line="240" w:lineRule="auto"/>
              <w:rPr>
                <w:rFonts w:eastAsia="Times New Roman" w:cs="Arial"/>
                <w:sz w:val="20"/>
                <w:szCs w:val="20"/>
                <w:lang w:val="en-US"/>
              </w:rPr>
            </w:pPr>
          </w:p>
        </w:tc>
        <w:tc>
          <w:tcPr>
            <w:tcW w:w="1663" w:type="dxa"/>
          </w:tcPr>
          <w:p w:rsidR="00D8141B" w:rsidRPr="00286F9C" w:rsidRDefault="00D8141B" w:rsidP="00773899">
            <w:pPr>
              <w:spacing w:before="40" w:after="40" w:line="240" w:lineRule="auto"/>
              <w:rPr>
                <w:rFonts w:eastAsia="Times New Roman" w:cs="Arial"/>
                <w:sz w:val="20"/>
                <w:szCs w:val="20"/>
                <w:lang w:val="en-US"/>
              </w:rPr>
            </w:pPr>
          </w:p>
        </w:tc>
        <w:tc>
          <w:tcPr>
            <w:tcW w:w="1671" w:type="dxa"/>
          </w:tcPr>
          <w:p w:rsidR="00D8141B" w:rsidRPr="00286F9C" w:rsidRDefault="00D8141B" w:rsidP="00773899">
            <w:pPr>
              <w:spacing w:before="40" w:after="40" w:line="240" w:lineRule="auto"/>
              <w:rPr>
                <w:rFonts w:eastAsia="Times New Roman" w:cs="Arial"/>
                <w:sz w:val="20"/>
                <w:szCs w:val="20"/>
                <w:lang w:val="en-US"/>
              </w:rPr>
            </w:pPr>
          </w:p>
        </w:tc>
        <w:tc>
          <w:tcPr>
            <w:tcW w:w="1671" w:type="dxa"/>
          </w:tcPr>
          <w:p w:rsidR="00D8141B" w:rsidRPr="00286F9C" w:rsidRDefault="00D8141B" w:rsidP="00773899">
            <w:pPr>
              <w:spacing w:before="40" w:after="40" w:line="240" w:lineRule="auto"/>
              <w:rPr>
                <w:rFonts w:eastAsia="Times New Roman" w:cs="Arial"/>
                <w:sz w:val="20"/>
                <w:szCs w:val="20"/>
                <w:lang w:val="en-US"/>
              </w:rPr>
            </w:pPr>
          </w:p>
        </w:tc>
      </w:tr>
      <w:tr w:rsidR="00D8141B" w:rsidRPr="00286F9C" w:rsidTr="00773899">
        <w:tc>
          <w:tcPr>
            <w:tcW w:w="1775" w:type="dxa"/>
          </w:tcPr>
          <w:p w:rsidR="00D8141B" w:rsidRPr="00286F9C" w:rsidRDefault="00773899" w:rsidP="00773899">
            <w:pPr>
              <w:spacing w:before="40" w:after="40" w:line="240" w:lineRule="auto"/>
              <w:rPr>
                <w:rFonts w:eastAsia="Times New Roman" w:cs="Arial"/>
                <w:color w:val="000000"/>
                <w:sz w:val="20"/>
                <w:szCs w:val="20"/>
                <w:lang w:val="en-US"/>
              </w:rPr>
            </w:pPr>
            <w:r w:rsidRPr="00286F9C">
              <w:rPr>
                <w:rFonts w:eastAsia="Times New Roman" w:cs="Arial"/>
                <w:color w:val="000000"/>
                <w:sz w:val="20"/>
                <w:szCs w:val="20"/>
                <w:lang w:val="en-US"/>
              </w:rPr>
              <w:t>Pudendal</w:t>
            </w:r>
          </w:p>
        </w:tc>
        <w:tc>
          <w:tcPr>
            <w:tcW w:w="1611" w:type="dxa"/>
          </w:tcPr>
          <w:p w:rsidR="00D8141B" w:rsidRPr="00286F9C" w:rsidRDefault="00D8141B" w:rsidP="00773899">
            <w:pPr>
              <w:spacing w:before="40" w:after="40" w:line="240" w:lineRule="auto"/>
              <w:rPr>
                <w:rFonts w:eastAsia="Times New Roman" w:cs="Arial"/>
                <w:sz w:val="20"/>
                <w:szCs w:val="20"/>
                <w:lang w:val="en-US"/>
              </w:rPr>
            </w:pPr>
          </w:p>
        </w:tc>
        <w:tc>
          <w:tcPr>
            <w:tcW w:w="1663" w:type="dxa"/>
          </w:tcPr>
          <w:p w:rsidR="00D8141B" w:rsidRPr="00286F9C" w:rsidRDefault="00D8141B" w:rsidP="00773899">
            <w:pPr>
              <w:spacing w:before="40" w:after="40" w:line="240" w:lineRule="auto"/>
              <w:rPr>
                <w:rFonts w:eastAsia="Times New Roman" w:cs="Arial"/>
                <w:sz w:val="20"/>
                <w:szCs w:val="20"/>
                <w:lang w:val="en-US"/>
              </w:rPr>
            </w:pPr>
          </w:p>
        </w:tc>
        <w:tc>
          <w:tcPr>
            <w:tcW w:w="1671" w:type="dxa"/>
          </w:tcPr>
          <w:p w:rsidR="00D8141B" w:rsidRPr="00286F9C" w:rsidRDefault="00D8141B" w:rsidP="00773899">
            <w:pPr>
              <w:spacing w:before="40" w:after="40" w:line="240" w:lineRule="auto"/>
              <w:rPr>
                <w:rFonts w:eastAsia="Times New Roman" w:cs="Arial"/>
                <w:sz w:val="20"/>
                <w:szCs w:val="20"/>
                <w:lang w:val="en-US"/>
              </w:rPr>
            </w:pPr>
          </w:p>
        </w:tc>
        <w:tc>
          <w:tcPr>
            <w:tcW w:w="1671" w:type="dxa"/>
          </w:tcPr>
          <w:p w:rsidR="00D8141B" w:rsidRPr="00286F9C" w:rsidRDefault="00D8141B" w:rsidP="00773899">
            <w:pPr>
              <w:spacing w:before="40" w:after="40" w:line="240" w:lineRule="auto"/>
              <w:rPr>
                <w:rFonts w:eastAsia="Times New Roman" w:cs="Arial"/>
                <w:sz w:val="20"/>
                <w:szCs w:val="20"/>
                <w:lang w:val="en-US"/>
              </w:rPr>
            </w:pPr>
          </w:p>
        </w:tc>
      </w:tr>
    </w:tbl>
    <w:p w:rsidR="00D8141B" w:rsidRPr="00D8141B" w:rsidRDefault="00D8141B" w:rsidP="00D8141B">
      <w:pPr>
        <w:spacing w:after="0" w:line="240" w:lineRule="auto"/>
        <w:ind w:left="851"/>
        <w:rPr>
          <w:rFonts w:eastAsia="Times New Roman" w:cs="Arial"/>
          <w:szCs w:val="20"/>
          <w:lang w:val="en-US"/>
        </w:rPr>
      </w:pPr>
    </w:p>
    <w:p w:rsidR="00773899" w:rsidRDefault="00773899" w:rsidP="0081060E">
      <w:pPr>
        <w:pStyle w:val="Heading1"/>
        <w:numPr>
          <w:ilvl w:val="0"/>
          <w:numId w:val="27"/>
        </w:numPr>
        <w:rPr>
          <w:b w:val="0"/>
        </w:rPr>
        <w:sectPr w:rsidR="00773899" w:rsidSect="002947BC">
          <w:pgSz w:w="11906" w:h="16838" w:code="9"/>
          <w:pgMar w:top="1134" w:right="1134" w:bottom="1134" w:left="1134" w:header="0" w:footer="720" w:gutter="0"/>
          <w:cols w:space="720"/>
          <w:titlePg/>
        </w:sectPr>
      </w:pPr>
      <w:bookmarkStart w:id="87" w:name="c6"/>
      <w:bookmarkStart w:id="88" w:name="_Toc529598380"/>
      <w:bookmarkStart w:id="89" w:name="_Toc144874648"/>
      <w:bookmarkStart w:id="90" w:name="_Toc422836862"/>
      <w:bookmarkStart w:id="91" w:name="_Hlt529258492"/>
      <w:bookmarkEnd w:id="87"/>
    </w:p>
    <w:p w:rsidR="00D8141B" w:rsidRPr="00551741" w:rsidRDefault="00D8141B" w:rsidP="00773899">
      <w:pPr>
        <w:pStyle w:val="Heading1"/>
        <w:tabs>
          <w:tab w:val="clear" w:pos="567"/>
          <w:tab w:val="left" w:pos="709"/>
        </w:tabs>
        <w:ind w:hanging="720"/>
      </w:pPr>
      <w:bookmarkStart w:id="92" w:name="_Toc487809949"/>
      <w:r w:rsidRPr="00551741">
        <w:lastRenderedPageBreak/>
        <w:t>Ear, nose, throat and related structures</w:t>
      </w:r>
      <w:bookmarkEnd w:id="88"/>
      <w:bookmarkEnd w:id="89"/>
      <w:bookmarkEnd w:id="90"/>
      <w:bookmarkEnd w:id="92"/>
    </w:p>
    <w:p w:rsidR="00D8141B" w:rsidRPr="00B502AA" w:rsidRDefault="00D8141B" w:rsidP="00B502AA">
      <w:pPr>
        <w:pStyle w:val="BodyText6"/>
        <w:numPr>
          <w:ilvl w:val="0"/>
          <w:numId w:val="0"/>
        </w:numPr>
        <w:tabs>
          <w:tab w:val="clear" w:pos="709"/>
        </w:tabs>
        <w:rPr>
          <w:rFonts w:cs="Times New Roman"/>
          <w:b/>
        </w:rPr>
      </w:pPr>
      <w:bookmarkStart w:id="93" w:name="_Toc144874649"/>
      <w:bookmarkStart w:id="94" w:name="_Toc144875237"/>
      <w:bookmarkEnd w:id="91"/>
      <w:r w:rsidRPr="00B502AA">
        <w:rPr>
          <w:b/>
        </w:rPr>
        <w:t>Chapter 11, AMA5 (page 245) applies to the assessment of permanent impairment of the ear (with the exception of hearing impairment), nose, throat and related structures, subject to the modifications set out below.</w:t>
      </w:r>
      <w:bookmarkEnd w:id="93"/>
      <w:bookmarkEnd w:id="94"/>
      <w:r w:rsidRPr="00B502AA">
        <w:rPr>
          <w:b/>
        </w:rPr>
        <w:t xml:space="preserve"> Before undertaking an impai</w:t>
      </w:r>
      <w:r w:rsidR="004A5BE6" w:rsidRPr="00B502AA">
        <w:rPr>
          <w:b/>
        </w:rPr>
        <w:t>rment assessment, users of the</w:t>
      </w:r>
      <w:r w:rsidRPr="00B502AA">
        <w:rPr>
          <w:b/>
        </w:rPr>
        <w:t xml:space="preserve"> Guidelines must be familiar with the</w:t>
      </w:r>
      <w:r w:rsidRPr="00B502AA">
        <w:rPr>
          <w:rFonts w:cs="Times New Roman"/>
          <w:b/>
        </w:rPr>
        <w:t xml:space="preserve"> following:</w:t>
      </w:r>
    </w:p>
    <w:p w:rsidR="00D8141B" w:rsidRPr="003F702E" w:rsidRDefault="004A5BE6" w:rsidP="00B502AA">
      <w:pPr>
        <w:pStyle w:val="Bulletpoint"/>
        <w:tabs>
          <w:tab w:val="left" w:pos="1134"/>
        </w:tabs>
        <w:ind w:left="1134"/>
        <w:rPr>
          <w:rFonts w:eastAsia="Calibri"/>
          <w:lang w:val="en-US"/>
        </w:rPr>
      </w:pPr>
      <w:r>
        <w:rPr>
          <w:rFonts w:eastAsia="Calibri"/>
          <w:lang w:val="en-US"/>
        </w:rPr>
        <w:t>The Introduction in the</w:t>
      </w:r>
      <w:r w:rsidR="00D8141B" w:rsidRPr="003F702E">
        <w:rPr>
          <w:rFonts w:eastAsia="Calibri"/>
          <w:lang w:val="en-US"/>
        </w:rPr>
        <w:t xml:space="preserve"> Guidelines</w:t>
      </w:r>
    </w:p>
    <w:p w:rsidR="00D8141B" w:rsidRPr="003F702E" w:rsidRDefault="00D8141B" w:rsidP="00B502AA">
      <w:pPr>
        <w:pStyle w:val="Bulletpoint"/>
        <w:tabs>
          <w:tab w:val="left" w:pos="1134"/>
        </w:tabs>
        <w:ind w:left="1134"/>
        <w:rPr>
          <w:rFonts w:eastAsia="Calibri"/>
          <w:lang w:val="en-US"/>
        </w:rPr>
      </w:pPr>
      <w:r w:rsidRPr="003F702E">
        <w:rPr>
          <w:rFonts w:eastAsia="Calibri"/>
          <w:lang w:val="en-US"/>
        </w:rPr>
        <w:t>Chapters 1 and 2 of AMA5</w:t>
      </w:r>
    </w:p>
    <w:p w:rsidR="00D8141B" w:rsidRPr="003F702E" w:rsidRDefault="00D8141B" w:rsidP="00B502AA">
      <w:pPr>
        <w:pStyle w:val="Bulletpoint"/>
        <w:tabs>
          <w:tab w:val="left" w:pos="1134"/>
        </w:tabs>
        <w:ind w:left="1134"/>
        <w:rPr>
          <w:rFonts w:eastAsia="Calibri"/>
          <w:lang w:val="en-US"/>
        </w:rPr>
      </w:pPr>
      <w:r w:rsidRPr="003F702E">
        <w:rPr>
          <w:rFonts w:eastAsia="Calibri"/>
          <w:lang w:val="en-US"/>
        </w:rPr>
        <w:t>Th</w:t>
      </w:r>
      <w:r w:rsidR="004A5BE6">
        <w:rPr>
          <w:rFonts w:eastAsia="Calibri"/>
          <w:lang w:val="en-US"/>
        </w:rPr>
        <w:t>e appropriate chapter/s of the</w:t>
      </w:r>
      <w:r w:rsidRPr="003F702E">
        <w:rPr>
          <w:rFonts w:eastAsia="Calibri"/>
          <w:lang w:val="en-US"/>
        </w:rPr>
        <w:t xml:space="preserve"> Guidelines for the body system they are assessing.</w:t>
      </w:r>
    </w:p>
    <w:p w:rsidR="00D8141B" w:rsidRPr="003F702E" w:rsidRDefault="00D8141B" w:rsidP="00B502AA">
      <w:pPr>
        <w:pStyle w:val="Bulletpoint"/>
        <w:tabs>
          <w:tab w:val="left" w:pos="1134"/>
        </w:tabs>
        <w:ind w:left="1134"/>
        <w:rPr>
          <w:rFonts w:eastAsia="Calibri"/>
          <w:lang w:val="en-US"/>
        </w:rPr>
      </w:pPr>
      <w:r w:rsidRPr="003F702E">
        <w:rPr>
          <w:rFonts w:eastAsia="Calibri"/>
          <w:lang w:val="en-US"/>
        </w:rPr>
        <w:t>The appropriate chapter/s of AMA5 for the body system they are assessing.</w:t>
      </w:r>
    </w:p>
    <w:p w:rsidR="00D8141B" w:rsidRPr="003F702E" w:rsidRDefault="004A5BE6" w:rsidP="00B502AA">
      <w:pPr>
        <w:pStyle w:val="BodyText6"/>
        <w:numPr>
          <w:ilvl w:val="0"/>
          <w:numId w:val="0"/>
        </w:numPr>
        <w:spacing w:before="240"/>
        <w:ind w:left="709" w:hanging="709"/>
        <w:rPr>
          <w:bCs/>
          <w:i/>
        </w:rPr>
      </w:pPr>
      <w:r>
        <w:rPr>
          <w:rFonts w:eastAsia="Calibri"/>
        </w:rPr>
        <w:t>The</w:t>
      </w:r>
      <w:r w:rsidR="00D8141B" w:rsidRPr="003F702E">
        <w:rPr>
          <w:rFonts w:eastAsia="Calibri"/>
        </w:rPr>
        <w:t xml:space="preserve"> Guidelines take precedence over AMA5</w:t>
      </w:r>
      <w:r w:rsidR="00D8141B" w:rsidRPr="003F702E">
        <w:rPr>
          <w:rFonts w:ascii="Calibri" w:eastAsia="Calibri" w:hAnsi="Calibri" w:cs="Calibri"/>
          <w:sz w:val="20"/>
        </w:rPr>
        <w:t>.</w:t>
      </w:r>
    </w:p>
    <w:p w:rsidR="00D8141B" w:rsidRPr="00D8141B" w:rsidRDefault="00D8141B" w:rsidP="00773899">
      <w:pPr>
        <w:pStyle w:val="Heading3"/>
      </w:pPr>
      <w:bookmarkStart w:id="95" w:name="_Toc144874650"/>
      <w:bookmarkStart w:id="96" w:name="_Toc144875238"/>
      <w:r w:rsidRPr="00D8141B">
        <w:t>Introduction</w:t>
      </w:r>
      <w:bookmarkEnd w:id="95"/>
      <w:bookmarkEnd w:id="96"/>
    </w:p>
    <w:p w:rsidR="00D8141B" w:rsidRPr="00D8141B" w:rsidRDefault="00F15823" w:rsidP="00B502AA">
      <w:pPr>
        <w:pStyle w:val="BodyText6"/>
      </w:pPr>
      <w:r>
        <w:tab/>
      </w:r>
      <w:r w:rsidR="00D8141B" w:rsidRPr="00D8141B">
        <w:t>AMA5 chapter 11 (pp 245-275) details the assessment of the ear, nose, throat and related structures. With the exception of hearing impairment, which is dealt with in chapter 9 of the Guidelines, AMA5 chapter 11 should be followed in assessing permanent impairment, with the variations included below.</w:t>
      </w:r>
    </w:p>
    <w:p w:rsidR="00D8141B" w:rsidRPr="00D8141B" w:rsidRDefault="00D8141B" w:rsidP="00B502AA">
      <w:pPr>
        <w:pStyle w:val="BodyText6"/>
        <w:rPr>
          <w:szCs w:val="20"/>
        </w:rPr>
      </w:pPr>
      <w:r w:rsidRPr="00D8141B">
        <w:rPr>
          <w:szCs w:val="20"/>
        </w:rPr>
        <w:t xml:space="preserve">The level of impairment arising from conditions that are not work related needs to be assessed by the medical assessor and taken into consideration in determining the level of permanent impairment. The level at which pre-existing conditions and lifestyle activities such as smoking contribute to the level of permanent impairment requires judgement on the part of the clinician undertaking the impairment assessment. The manner in which any deduction for these is applied needs to be recorded in the assessing specialist's report. </w:t>
      </w:r>
    </w:p>
    <w:p w:rsidR="00D8141B" w:rsidRPr="00D8141B" w:rsidRDefault="00D8141B" w:rsidP="00773899">
      <w:pPr>
        <w:pStyle w:val="Heading3"/>
      </w:pPr>
      <w:bookmarkStart w:id="97" w:name="_Toc144874651"/>
      <w:bookmarkStart w:id="98" w:name="_Toc144875239"/>
      <w:r w:rsidRPr="00D8141B">
        <w:t>The ear</w:t>
      </w:r>
      <w:bookmarkEnd w:id="97"/>
      <w:bookmarkEnd w:id="98"/>
    </w:p>
    <w:p w:rsidR="00D8141B" w:rsidRPr="00D8141B" w:rsidRDefault="00D8141B" w:rsidP="00B502AA">
      <w:pPr>
        <w:pStyle w:val="BodyText6"/>
      </w:pPr>
      <w:r w:rsidRPr="00D8141B">
        <w:t>Equilibrium is assessed according to AMA5 section 11.2b (pp 252-255), but add these words to AMA5 table 11-4 (p 253). class 2: 'without limiting the generality of the above, a positive Hallpikes test is a sign and an objective finding'.</w:t>
      </w:r>
    </w:p>
    <w:p w:rsidR="00D8141B" w:rsidRPr="00D8141B" w:rsidRDefault="00D8141B" w:rsidP="00773899">
      <w:pPr>
        <w:pStyle w:val="Heading3"/>
      </w:pPr>
      <w:bookmarkStart w:id="99" w:name="_Toc144874652"/>
      <w:bookmarkStart w:id="100" w:name="_Toc144875240"/>
      <w:r w:rsidRPr="00D8141B">
        <w:t>The face (AMA5, pp255–259)</w:t>
      </w:r>
      <w:bookmarkEnd w:id="99"/>
      <w:bookmarkEnd w:id="100"/>
    </w:p>
    <w:p w:rsidR="00D8141B" w:rsidRPr="00D8141B" w:rsidRDefault="00D8141B" w:rsidP="00B502AA">
      <w:pPr>
        <w:pStyle w:val="BodyText6"/>
      </w:pPr>
      <w:r w:rsidRPr="00D8141B">
        <w:t xml:space="preserve">AMA5 table 11-5 (p 256) should be replaced with table 6.1 below when assessing permanent impairment due to facial disorders and/or disfigurement. </w:t>
      </w:r>
    </w:p>
    <w:p w:rsidR="00D8141B" w:rsidRPr="00B502AA" w:rsidRDefault="00D8141B" w:rsidP="00B502AA">
      <w:pPr>
        <w:keepNext/>
        <w:spacing w:before="240" w:after="120" w:line="240" w:lineRule="auto"/>
        <w:ind w:left="709"/>
        <w:jc w:val="center"/>
        <w:outlineLvl w:val="3"/>
        <w:rPr>
          <w:rFonts w:eastAsia="Times New Roman" w:cs="Arial"/>
          <w:b/>
          <w:bCs/>
          <w:sz w:val="24"/>
          <w:szCs w:val="24"/>
          <w:lang w:val="en-GB"/>
        </w:rPr>
      </w:pPr>
      <w:bookmarkStart w:id="101" w:name="_Hlt529540250"/>
      <w:bookmarkStart w:id="102" w:name="_Ref529540240"/>
      <w:bookmarkStart w:id="103" w:name="_Toc144874653"/>
      <w:bookmarkStart w:id="104" w:name="_Toc144875241"/>
      <w:bookmarkEnd w:id="101"/>
      <w:r w:rsidRPr="00B502AA">
        <w:rPr>
          <w:rFonts w:eastAsia="Times New Roman" w:cs="Arial"/>
          <w:b/>
          <w:bCs/>
          <w:sz w:val="24"/>
          <w:szCs w:val="24"/>
          <w:lang w:val="en-GB"/>
        </w:rPr>
        <w:lastRenderedPageBreak/>
        <w:t>Table 6.1: Criteria for rat</w:t>
      </w:r>
      <w:r w:rsidR="00B502AA">
        <w:rPr>
          <w:rFonts w:eastAsia="Times New Roman" w:cs="Arial"/>
          <w:b/>
          <w:bCs/>
          <w:sz w:val="24"/>
          <w:szCs w:val="24"/>
          <w:lang w:val="en-GB"/>
        </w:rPr>
        <w:t>ing permanent impairment due to</w:t>
      </w:r>
      <w:r w:rsidR="00B502AA">
        <w:rPr>
          <w:rFonts w:eastAsia="Times New Roman" w:cs="Arial"/>
          <w:b/>
          <w:bCs/>
          <w:sz w:val="24"/>
          <w:szCs w:val="24"/>
          <w:lang w:val="en-GB"/>
        </w:rPr>
        <w:br/>
      </w:r>
      <w:r w:rsidRPr="00B502AA">
        <w:rPr>
          <w:rFonts w:eastAsia="Times New Roman" w:cs="Arial"/>
          <w:b/>
          <w:bCs/>
          <w:sz w:val="24"/>
          <w:szCs w:val="24"/>
          <w:lang w:val="en-GB"/>
        </w:rPr>
        <w:t>facial disorders and/or disfigurement</w:t>
      </w:r>
      <w:bookmarkEnd w:id="102"/>
      <w:bookmarkEnd w:id="103"/>
      <w:bookmarkEnd w:id="104"/>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6"/>
        <w:gridCol w:w="2410"/>
        <w:gridCol w:w="2268"/>
      </w:tblGrid>
      <w:tr w:rsidR="00D8141B" w:rsidRPr="00D8141B" w:rsidTr="00B502AA">
        <w:tc>
          <w:tcPr>
            <w:tcW w:w="2268"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1</w:t>
            </w:r>
            <w:r w:rsidRPr="00D8141B">
              <w:rPr>
                <w:rFonts w:eastAsia="Times New Roman" w:cs="Arial"/>
                <w:b/>
                <w:bCs/>
                <w:snapToGrid w:val="0"/>
                <w:sz w:val="20"/>
                <w:szCs w:val="20"/>
                <w:lang w:val="en-GB"/>
              </w:rPr>
              <w:br/>
              <w:t>0%–5% impairment of the whole person</w:t>
            </w:r>
          </w:p>
        </w:tc>
        <w:tc>
          <w:tcPr>
            <w:tcW w:w="2126"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2</w:t>
            </w:r>
            <w:r w:rsidRPr="00D8141B">
              <w:rPr>
                <w:rFonts w:eastAsia="Times New Roman" w:cs="Arial"/>
                <w:b/>
                <w:bCs/>
                <w:snapToGrid w:val="0"/>
                <w:sz w:val="20"/>
                <w:szCs w:val="20"/>
                <w:lang w:val="en-GB"/>
              </w:rPr>
              <w:br/>
              <w:t>6%–10% impairment of the whole person</w:t>
            </w:r>
          </w:p>
        </w:tc>
        <w:tc>
          <w:tcPr>
            <w:tcW w:w="2410"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3</w:t>
            </w:r>
            <w:r w:rsidRPr="00D8141B">
              <w:rPr>
                <w:rFonts w:eastAsia="Times New Roman" w:cs="Arial"/>
                <w:b/>
                <w:bCs/>
                <w:snapToGrid w:val="0"/>
                <w:sz w:val="20"/>
                <w:szCs w:val="20"/>
                <w:lang w:val="en-GB"/>
              </w:rPr>
              <w:br/>
              <w:t>11%–15% impairment of the whole person</w:t>
            </w:r>
          </w:p>
        </w:tc>
        <w:tc>
          <w:tcPr>
            <w:tcW w:w="2268"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4</w:t>
            </w:r>
            <w:r w:rsidRPr="00D8141B">
              <w:rPr>
                <w:rFonts w:eastAsia="Times New Roman" w:cs="Arial"/>
                <w:b/>
                <w:bCs/>
                <w:snapToGrid w:val="0"/>
                <w:sz w:val="20"/>
                <w:szCs w:val="20"/>
                <w:lang w:val="en-GB"/>
              </w:rPr>
              <w:br/>
              <w:t>16%–50% impairment of the whole person</w:t>
            </w:r>
          </w:p>
        </w:tc>
      </w:tr>
      <w:tr w:rsidR="00D8141B" w:rsidRPr="00D8141B" w:rsidTr="00B502AA">
        <w:tc>
          <w:tcPr>
            <w:tcW w:w="2268"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Facial abnormality limited to disorder of cutaneous structures, such as visible simple scars (not hypertrophic or atrophic) or abnormal pigmentation (refer to AMA5 Chapter 8 for skin disorders)</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mild, unilateral, facial paralysis affecting most branches</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 xml:space="preserve">or </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nasal distortion that affects physical appearance</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partial loss or deformity of the outer ear</w:t>
            </w:r>
          </w:p>
        </w:tc>
        <w:tc>
          <w:tcPr>
            <w:tcW w:w="2126"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Facial abnormality involves loss of supporting structure of part of face, with or without cutaneous disorder (eg, depressed cheek, nasal, or frontal bones)</w:t>
            </w:r>
          </w:p>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near complete loss of definition of the outer ear</w:t>
            </w:r>
          </w:p>
        </w:tc>
        <w:tc>
          <w:tcPr>
            <w:tcW w:w="2410"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Facial abnormality involves absence of normal anatomic part or area of face, such as loss of eye or loss of part of nose, with resulting cosmetic deformity, combine with any functional loss, eg, vision (</w:t>
            </w:r>
            <w:r w:rsidR="00A30D42" w:rsidRPr="00D8141B">
              <w:rPr>
                <w:rFonts w:eastAsia="Times New Roman" w:cs="Arial"/>
                <w:snapToGrid w:val="0"/>
                <w:sz w:val="20"/>
                <w:szCs w:val="20"/>
                <w:lang w:val="en-GB"/>
              </w:rPr>
              <w:t>AMA</w:t>
            </w:r>
            <w:r w:rsidR="00A30D42">
              <w:rPr>
                <w:rFonts w:eastAsia="Times New Roman" w:cs="Arial"/>
                <w:snapToGrid w:val="0"/>
                <w:sz w:val="20"/>
                <w:szCs w:val="20"/>
                <w:lang w:val="en-GB"/>
              </w:rPr>
              <w:t>4</w:t>
            </w:r>
            <w:r w:rsidR="00A30D42" w:rsidRPr="00D8141B">
              <w:rPr>
                <w:rFonts w:eastAsia="Times New Roman" w:cs="Arial"/>
                <w:snapToGrid w:val="0"/>
                <w:sz w:val="20"/>
                <w:szCs w:val="20"/>
                <w:lang w:val="en-GB"/>
              </w:rPr>
              <w:t xml:space="preserve"> </w:t>
            </w:r>
            <w:r w:rsidRPr="00D8141B">
              <w:rPr>
                <w:rFonts w:eastAsia="Times New Roman" w:cs="Arial"/>
                <w:snapToGrid w:val="0"/>
                <w:sz w:val="20"/>
                <w:szCs w:val="20"/>
                <w:lang w:val="en-GB"/>
              </w:rPr>
              <w:t>Chapter</w:t>
            </w:r>
            <w:r w:rsidR="00A30D42">
              <w:rPr>
                <w:rFonts w:eastAsia="Times New Roman" w:cs="Arial"/>
                <w:snapToGrid w:val="0"/>
                <w:sz w:val="20"/>
                <w:szCs w:val="20"/>
                <w:lang w:val="en-GB"/>
              </w:rPr>
              <w:t xml:space="preserve"> 8</w:t>
            </w:r>
            <w:r w:rsidRPr="00D8141B">
              <w:rPr>
                <w:rFonts w:eastAsia="Times New Roman" w:cs="Arial"/>
                <w:snapToGrid w:val="0"/>
                <w:sz w:val="20"/>
                <w:szCs w:val="20"/>
                <w:lang w:val="en-GB"/>
              </w:rPr>
              <w:t>)</w:t>
            </w:r>
          </w:p>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severe unilateral facial paralysis affecting most branches</w:t>
            </w:r>
          </w:p>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 xml:space="preserve">or </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mild, bilateral, facial paralysis affecting most branches</w:t>
            </w:r>
          </w:p>
        </w:tc>
        <w:tc>
          <w:tcPr>
            <w:tcW w:w="2268"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Massive or total distortion of normal facial anatomy with disfigurement so severe that it precludes social acceptance, </w:t>
            </w:r>
          </w:p>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severe, bilateral, facial paralysis affecting most branches</w:t>
            </w:r>
          </w:p>
          <w:p w:rsidR="00D8141B" w:rsidRPr="00D8141B" w:rsidRDefault="00D8141B" w:rsidP="00D8141B">
            <w:pPr>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 xml:space="preserve">or </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loss of a major portion of or entire nose</w:t>
            </w:r>
          </w:p>
        </w:tc>
      </w:tr>
    </w:tbl>
    <w:p w:rsidR="00D8141B" w:rsidRPr="00D8141B" w:rsidRDefault="00D8141B" w:rsidP="00B502AA">
      <w:pPr>
        <w:pStyle w:val="BodyText6"/>
        <w:numPr>
          <w:ilvl w:val="0"/>
          <w:numId w:val="0"/>
        </w:numPr>
        <w:spacing w:before="240"/>
        <w:ind w:left="709"/>
        <w:rPr>
          <w:snapToGrid w:val="0"/>
          <w:lang w:val="en-GB"/>
        </w:rPr>
      </w:pPr>
      <w:r w:rsidRPr="00D8141B">
        <w:rPr>
          <w:snapToGrid w:val="0"/>
          <w:lang w:val="en-GB"/>
        </w:rPr>
        <w:t xml:space="preserve">Note: </w:t>
      </w:r>
      <w:r w:rsidRPr="00D8141B">
        <w:rPr>
          <w:snapToGrid w:val="0"/>
          <w:lang w:val="en-GB"/>
        </w:rPr>
        <w:tab/>
      </w:r>
      <w:r w:rsidRPr="00D8141B">
        <w:rPr>
          <w:snapToGrid w:val="0"/>
        </w:rPr>
        <w:t>Tables used to classify the examples in AMA5 section 11.3 (pp 256-259)</w:t>
      </w:r>
      <w:r w:rsidR="00851BFB">
        <w:rPr>
          <w:snapToGrid w:val="0"/>
        </w:rPr>
        <w:t xml:space="preserve"> </w:t>
      </w:r>
      <w:r w:rsidRPr="00D8141B">
        <w:rPr>
          <w:snapToGrid w:val="0"/>
        </w:rPr>
        <w:t>should also be ignored and assessors should refer to the modified table above for classification</w:t>
      </w:r>
      <w:r w:rsidRPr="00D8141B">
        <w:rPr>
          <w:snapToGrid w:val="0"/>
          <w:lang w:val="en-GB"/>
        </w:rPr>
        <w:t>.</w:t>
      </w:r>
    </w:p>
    <w:p w:rsidR="00D8141B" w:rsidRPr="00D8141B" w:rsidRDefault="00D8141B" w:rsidP="00B502AA">
      <w:pPr>
        <w:pStyle w:val="BodyText6"/>
      </w:pPr>
      <w:r w:rsidRPr="00D8141B">
        <w:t>AMA5 example 11-11 (p 257): Add 'visual impairment related to enophthalmos must be assessed by an Ophthalmologist'.</w:t>
      </w:r>
    </w:p>
    <w:p w:rsidR="00D8141B" w:rsidRPr="00D8141B" w:rsidRDefault="00D8141B" w:rsidP="00B502AA">
      <w:pPr>
        <w:pStyle w:val="Heading3"/>
      </w:pPr>
      <w:bookmarkStart w:id="105" w:name="_Toc144874654"/>
      <w:bookmarkStart w:id="106" w:name="_Toc144875242"/>
      <w:r w:rsidRPr="00D8141B">
        <w:t>The nose, throat and related structures</w:t>
      </w:r>
      <w:bookmarkEnd w:id="105"/>
      <w:bookmarkEnd w:id="106"/>
    </w:p>
    <w:p w:rsidR="00D8141B" w:rsidRPr="00D8141B" w:rsidRDefault="00D8141B" w:rsidP="00B502AA">
      <w:pPr>
        <w:pStyle w:val="Heading3"/>
      </w:pPr>
      <w:bookmarkStart w:id="107" w:name="_Toc144874655"/>
      <w:bookmarkStart w:id="108" w:name="_Toc144875243"/>
      <w:r w:rsidRPr="00D8141B">
        <w:t>Respiration (AMA5 Section 11.4a, pp259–261)</w:t>
      </w:r>
      <w:bookmarkEnd w:id="107"/>
      <w:bookmarkEnd w:id="108"/>
    </w:p>
    <w:p w:rsidR="00D8141B" w:rsidRPr="00D8141B" w:rsidRDefault="00D8141B" w:rsidP="00B502AA">
      <w:pPr>
        <w:pStyle w:val="BodyText6"/>
      </w:pPr>
      <w:r w:rsidRPr="00D8141B">
        <w:t>In regard to sleep apnoea (third paragraph, AMA5 section 11.4a, p 259), a sleep study and an examination by an ear, nose and throat specialist is mandatory before assessment by an approved assessor.</w:t>
      </w:r>
    </w:p>
    <w:p w:rsidR="00D8141B" w:rsidRPr="00D8141B" w:rsidRDefault="00D8141B" w:rsidP="00B502AA">
      <w:pPr>
        <w:pStyle w:val="BodyText6"/>
      </w:pPr>
      <w:r w:rsidRPr="00D8141B">
        <w:t xml:space="preserve">The assessment of sleep apnoea is addressed in AMA5 section 5.6 (p 105) and assessors should refer to this chapter, as well as </w:t>
      </w:r>
      <w:r w:rsidR="00A30D42" w:rsidRPr="00A30D42">
        <w:t xml:space="preserve">paragraphs </w:t>
      </w:r>
      <w:r w:rsidRPr="00A30D42">
        <w:t>8.8</w:t>
      </w:r>
      <w:r w:rsidR="00A30D42">
        <w:t>–</w:t>
      </w:r>
      <w:r w:rsidRPr="00A30D42">
        <w:t>8.10</w:t>
      </w:r>
      <w:r w:rsidRPr="00D8141B">
        <w:t xml:space="preserve"> in the Guidelines.</w:t>
      </w:r>
    </w:p>
    <w:p w:rsidR="00D8141B" w:rsidRPr="00D8141B" w:rsidRDefault="00D8141B" w:rsidP="00B502AA">
      <w:pPr>
        <w:pStyle w:val="BodyText6"/>
      </w:pPr>
      <w:r w:rsidRPr="00D8141B">
        <w:rPr>
          <w:b/>
          <w:bCs/>
        </w:rPr>
        <w:t xml:space="preserve">AMA5 table 11-6 criteria for rating impairment due to air passage defects (p 260 AMA5) </w:t>
      </w:r>
      <w:r w:rsidRPr="00D8141B">
        <w:rPr>
          <w:bCs/>
        </w:rPr>
        <w:t>should be replaced with table 6.2, below, when assessing permanent impairment due  to air passage defects</w:t>
      </w:r>
      <w:r w:rsidRPr="00D8141B">
        <w:t>.</w:t>
      </w:r>
    </w:p>
    <w:p w:rsidR="00D8141B" w:rsidRPr="00B502AA" w:rsidRDefault="00D8141B" w:rsidP="00B502AA">
      <w:pPr>
        <w:keepNext/>
        <w:tabs>
          <w:tab w:val="left" w:pos="720"/>
        </w:tabs>
        <w:spacing w:before="240" w:after="120" w:line="240" w:lineRule="auto"/>
        <w:ind w:left="851" w:hanging="851"/>
        <w:jc w:val="center"/>
        <w:outlineLvl w:val="3"/>
        <w:rPr>
          <w:rFonts w:eastAsia="Times New Roman" w:cs="Arial"/>
          <w:b/>
          <w:bCs/>
          <w:sz w:val="24"/>
          <w:szCs w:val="24"/>
          <w:lang w:val="en-GB"/>
        </w:rPr>
      </w:pPr>
      <w:bookmarkStart w:id="109" w:name="_Toc144874656"/>
      <w:bookmarkStart w:id="110" w:name="_Toc144875244"/>
      <w:r w:rsidRPr="00B502AA">
        <w:rPr>
          <w:rFonts w:eastAsia="Times New Roman" w:cs="Arial"/>
          <w:b/>
          <w:bCs/>
          <w:sz w:val="24"/>
          <w:szCs w:val="24"/>
          <w:lang w:val="en-GB"/>
        </w:rPr>
        <w:lastRenderedPageBreak/>
        <w:t>Table 6.2: Criteria for rating permanent impairment due to air passage defects</w:t>
      </w:r>
      <w:bookmarkEnd w:id="109"/>
      <w:bookmarkEnd w:id="110"/>
    </w:p>
    <w:tbl>
      <w:tblPr>
        <w:tblW w:w="1011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4" w:type="dxa"/>
          <w:right w:w="84" w:type="dxa"/>
        </w:tblCellMar>
        <w:tblLook w:val="0000" w:firstRow="0" w:lastRow="0" w:firstColumn="0" w:lastColumn="0" w:noHBand="0" w:noVBand="0"/>
      </w:tblPr>
      <w:tblGrid>
        <w:gridCol w:w="1640"/>
        <w:gridCol w:w="1640"/>
        <w:gridCol w:w="1640"/>
        <w:gridCol w:w="1795"/>
        <w:gridCol w:w="1485"/>
        <w:gridCol w:w="1917"/>
      </w:tblGrid>
      <w:tr w:rsidR="00D8141B" w:rsidRPr="00D8141B" w:rsidTr="003F702E">
        <w:trPr>
          <w:cantSplit/>
        </w:trPr>
        <w:tc>
          <w:tcPr>
            <w:tcW w:w="10117" w:type="dxa"/>
            <w:gridSpan w:val="6"/>
            <w:shd w:val="pct10" w:color="auto" w:fill="auto"/>
          </w:tcPr>
          <w:p w:rsidR="00D8141B" w:rsidRPr="00D8141B" w:rsidRDefault="00D8141B" w:rsidP="00D8141B">
            <w:pPr>
              <w:keepNext/>
              <w:keepLines/>
              <w:widowControl w:val="0"/>
              <w:suppressAutoHyphens/>
              <w:spacing w:before="80" w:after="80" w:line="240" w:lineRule="auto"/>
              <w:ind w:left="851" w:hanging="851"/>
              <w:jc w:val="center"/>
              <w:rPr>
                <w:rFonts w:eastAsia="Times New Roman" w:cs="Arial"/>
                <w:b/>
                <w:bCs/>
                <w:snapToGrid w:val="0"/>
                <w:szCs w:val="20"/>
                <w:lang w:val="en-GB"/>
              </w:rPr>
            </w:pPr>
            <w:r w:rsidRPr="00D8141B">
              <w:rPr>
                <w:rFonts w:eastAsia="Times New Roman" w:cs="Arial"/>
                <w:b/>
                <w:bCs/>
                <w:snapToGrid w:val="0"/>
                <w:szCs w:val="20"/>
                <w:lang w:val="en-GB"/>
              </w:rPr>
              <w:t>Percentage impairment of the whole person</w:t>
            </w:r>
          </w:p>
        </w:tc>
      </w:tr>
      <w:tr w:rsidR="00D8141B" w:rsidRPr="00D8141B" w:rsidTr="003F702E">
        <w:tc>
          <w:tcPr>
            <w:tcW w:w="1640"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Cs w:val="20"/>
                <w:lang w:val="en-GB"/>
              </w:rPr>
            </w:pPr>
            <w:r w:rsidRPr="00D8141B">
              <w:rPr>
                <w:rFonts w:eastAsia="Times New Roman" w:cs="Arial"/>
                <w:b/>
                <w:bCs/>
                <w:snapToGrid w:val="0"/>
                <w:szCs w:val="20"/>
                <w:lang w:val="en-GB"/>
              </w:rPr>
              <w:t>Class 1a</w:t>
            </w:r>
            <w:r w:rsidRPr="00D8141B">
              <w:rPr>
                <w:rFonts w:eastAsia="Times New Roman" w:cs="Arial"/>
                <w:b/>
                <w:bCs/>
                <w:snapToGrid w:val="0"/>
                <w:szCs w:val="20"/>
                <w:lang w:val="en-GB"/>
              </w:rPr>
              <w:br/>
              <w:t xml:space="preserve">0%–5% </w:t>
            </w:r>
          </w:p>
        </w:tc>
        <w:tc>
          <w:tcPr>
            <w:tcW w:w="1640"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Cs w:val="20"/>
                <w:lang w:val="en-GB"/>
              </w:rPr>
            </w:pPr>
            <w:r w:rsidRPr="00D8141B">
              <w:rPr>
                <w:rFonts w:eastAsia="Times New Roman" w:cs="Arial"/>
                <w:b/>
                <w:bCs/>
                <w:snapToGrid w:val="0"/>
                <w:szCs w:val="20"/>
                <w:lang w:val="en-GB"/>
              </w:rPr>
              <w:t>Class 1</w:t>
            </w:r>
            <w:r w:rsidRPr="00D8141B">
              <w:rPr>
                <w:rFonts w:eastAsia="Times New Roman" w:cs="Arial"/>
                <w:b/>
                <w:bCs/>
                <w:snapToGrid w:val="0"/>
                <w:szCs w:val="20"/>
                <w:lang w:val="en-GB"/>
              </w:rPr>
              <w:br/>
              <w:t xml:space="preserve">0%–10% </w:t>
            </w:r>
          </w:p>
        </w:tc>
        <w:tc>
          <w:tcPr>
            <w:tcW w:w="1640"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Cs w:val="20"/>
                <w:lang w:val="en-GB"/>
              </w:rPr>
            </w:pPr>
            <w:r w:rsidRPr="00D8141B">
              <w:rPr>
                <w:rFonts w:eastAsia="Times New Roman" w:cs="Arial"/>
                <w:b/>
                <w:bCs/>
                <w:snapToGrid w:val="0"/>
                <w:szCs w:val="20"/>
                <w:lang w:val="en-GB"/>
              </w:rPr>
              <w:t>Class 2</w:t>
            </w:r>
            <w:r w:rsidRPr="00D8141B">
              <w:rPr>
                <w:rFonts w:eastAsia="Times New Roman" w:cs="Arial"/>
                <w:b/>
                <w:bCs/>
                <w:snapToGrid w:val="0"/>
                <w:szCs w:val="20"/>
                <w:lang w:val="en-GB"/>
              </w:rPr>
              <w:br/>
              <w:t xml:space="preserve">11%–29% </w:t>
            </w:r>
          </w:p>
        </w:tc>
        <w:tc>
          <w:tcPr>
            <w:tcW w:w="179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Cs w:val="20"/>
                <w:lang w:val="en-GB"/>
              </w:rPr>
            </w:pPr>
            <w:r w:rsidRPr="00D8141B">
              <w:rPr>
                <w:rFonts w:eastAsia="Times New Roman" w:cs="Arial"/>
                <w:b/>
                <w:bCs/>
                <w:snapToGrid w:val="0"/>
                <w:szCs w:val="20"/>
                <w:lang w:val="en-GB"/>
              </w:rPr>
              <w:t>Class 3</w:t>
            </w:r>
            <w:r w:rsidRPr="00D8141B">
              <w:rPr>
                <w:rFonts w:eastAsia="Times New Roman" w:cs="Arial"/>
                <w:b/>
                <w:bCs/>
                <w:snapToGrid w:val="0"/>
                <w:szCs w:val="20"/>
                <w:lang w:val="en-GB"/>
              </w:rPr>
              <w:br/>
              <w:t xml:space="preserve">30%–49% </w:t>
            </w:r>
          </w:p>
        </w:tc>
        <w:tc>
          <w:tcPr>
            <w:tcW w:w="148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Cs w:val="20"/>
                <w:lang w:val="en-GB"/>
              </w:rPr>
            </w:pPr>
            <w:r w:rsidRPr="00D8141B">
              <w:rPr>
                <w:rFonts w:eastAsia="Times New Roman" w:cs="Arial"/>
                <w:b/>
                <w:bCs/>
                <w:snapToGrid w:val="0"/>
                <w:szCs w:val="20"/>
                <w:lang w:val="en-GB"/>
              </w:rPr>
              <w:t>Class 4</w:t>
            </w:r>
            <w:r w:rsidRPr="00D8141B">
              <w:rPr>
                <w:rFonts w:eastAsia="Times New Roman" w:cs="Arial"/>
                <w:b/>
                <w:bCs/>
                <w:snapToGrid w:val="0"/>
                <w:szCs w:val="20"/>
                <w:lang w:val="en-GB"/>
              </w:rPr>
              <w:br/>
              <w:t xml:space="preserve">50%–89% </w:t>
            </w:r>
          </w:p>
        </w:tc>
        <w:tc>
          <w:tcPr>
            <w:tcW w:w="1917"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Cs w:val="20"/>
                <w:lang w:val="en-GB"/>
              </w:rPr>
            </w:pPr>
            <w:r w:rsidRPr="00D8141B">
              <w:rPr>
                <w:rFonts w:eastAsia="Times New Roman" w:cs="Arial"/>
                <w:b/>
                <w:bCs/>
                <w:snapToGrid w:val="0"/>
                <w:szCs w:val="20"/>
                <w:lang w:val="en-GB"/>
              </w:rPr>
              <w:t>Class 5</w:t>
            </w:r>
            <w:r w:rsidRPr="00D8141B">
              <w:rPr>
                <w:rFonts w:eastAsia="Times New Roman" w:cs="Arial"/>
                <w:b/>
                <w:bCs/>
                <w:snapToGrid w:val="0"/>
                <w:szCs w:val="20"/>
                <w:lang w:val="en-GB"/>
              </w:rPr>
              <w:br/>
              <w:t xml:space="preserve">90%+ </w:t>
            </w:r>
          </w:p>
        </w:tc>
      </w:tr>
      <w:tr w:rsidR="00D8141B" w:rsidRPr="00D8141B" w:rsidTr="003F702E">
        <w:tc>
          <w:tcPr>
            <w:tcW w:w="1640"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There are symptoms of significant difficulty in breathing through the nose. Examination reveals significant partial obstruction of the right and/or left nasal cavity or nasopharynx or significant septal perforation.</w:t>
            </w:r>
          </w:p>
        </w:tc>
        <w:tc>
          <w:tcPr>
            <w:tcW w:w="1640"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Dyspnea does not occur at rest</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dyspnea is not produced by walking freely on a level surface, climbing stairs freely, or performance of other usual activities of daily living</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dyspnea is not produced by stress, prolonged exertion, hurrying, hill-climbing, or recreational or similar activities requiring intensive effort*</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examination reveals partial obstruction of the oropharynx, laryngopharynx, larynx, upper trachea (to the fourth cartilaginous ring), lower trachea, bronchi, or complete (bilateral) obstruction of the nose or nasopharynx</w:t>
            </w:r>
          </w:p>
        </w:tc>
        <w:tc>
          <w:tcPr>
            <w:tcW w:w="1640"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Dyspnea does not occur at rest</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dyspnea is not produced by walking freely on a level surface, climbing one flight of stairs, or performance of other usual activities of daily living</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but</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dyspnea is produced by stress, prolonged exertion, hurrying, hill-climbing, or recreational or similar activities (except sedentary forms)</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examination reveals partial obstruction of the oropharynx, laryngopharynx, larynx, upper trachea (to the fourth cartilaginous ring), lower trachea, bronchi, or complete (bilateral) obstruction of the nose or nasopharynx</w:t>
            </w:r>
          </w:p>
        </w:tc>
        <w:tc>
          <w:tcPr>
            <w:tcW w:w="1795"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Dyspnea does not occur at rest</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dyspnea is produced by walking freely more than one or two level blocks, climbing one flight of stairs even with periods of rest, or performance of other usual activities of daily living</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dyspnea is produced by stress, prolonged exertion, hurrying, hill-climbing, or recreational or similar activities </w:t>
            </w:r>
          </w:p>
          <w:p w:rsidR="00D8141B" w:rsidRPr="00D8141B" w:rsidRDefault="00D8141B" w:rsidP="00D8141B">
            <w:pPr>
              <w:keepNext/>
              <w:keepLines/>
              <w:widowControl w:val="0"/>
              <w:spacing w:before="40" w:after="40" w:line="240" w:lineRule="auto"/>
              <w:ind w:left="851" w:hanging="851"/>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examination reveals partial obstruction of the oropharynx, laryngopharynx, larynx, upper trachea (to the fourth cartilaginous ring), lower trachea or bronchi</w:t>
            </w:r>
          </w:p>
        </w:tc>
        <w:tc>
          <w:tcPr>
            <w:tcW w:w="1485"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Dyspnea occurs at rest, although individual is not necessarily bedridden</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dyspnea is aggravated by the performance of any of the usual activities of daily living (beyond personal cleansing, dressing or grooming)</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and </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examination reveals partial obstruction of the oropharynx, laryngopharyx, larynx, upper trachea (to the fourth cartilaginous ring), lower trachea, and/or bronchi</w:t>
            </w:r>
          </w:p>
        </w:tc>
        <w:tc>
          <w:tcPr>
            <w:tcW w:w="1917"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Severe dyspnea occurs at rest and spontaneous respiration is inadequate</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respiratory ventilation is required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examination reveals partial obstruction of the oropharynx, laryngopharynx, larynx, upper trachea (to the fourth cartilaginous ring), lower trachea or bronchi</w:t>
            </w:r>
          </w:p>
        </w:tc>
      </w:tr>
    </w:tbl>
    <w:p w:rsidR="00D8141B" w:rsidRPr="00D8141B" w:rsidRDefault="00D8141B" w:rsidP="00B502AA">
      <w:pPr>
        <w:pStyle w:val="BodyText6"/>
        <w:numPr>
          <w:ilvl w:val="0"/>
          <w:numId w:val="0"/>
        </w:numPr>
        <w:tabs>
          <w:tab w:val="clear" w:pos="709"/>
        </w:tabs>
        <w:spacing w:before="240"/>
        <w:ind w:left="709" w:right="-1"/>
        <w:rPr>
          <w:snapToGrid w:val="0"/>
        </w:rPr>
      </w:pPr>
      <w:r w:rsidRPr="00D8141B">
        <w:rPr>
          <w:snapToGrid w:val="0"/>
        </w:rPr>
        <w:t>*Prophylactic restriction of activity, such as strenuous competitive sport, does not exclude subject from class 1.</w:t>
      </w:r>
    </w:p>
    <w:p w:rsidR="00D8141B" w:rsidRPr="00D8141B" w:rsidRDefault="00D8141B" w:rsidP="00B502AA">
      <w:pPr>
        <w:pStyle w:val="BodyText6"/>
        <w:numPr>
          <w:ilvl w:val="0"/>
          <w:numId w:val="0"/>
        </w:numPr>
        <w:ind w:left="709"/>
        <w:rPr>
          <w:snapToGrid w:val="0"/>
          <w:lang w:val="en-GB"/>
        </w:rPr>
      </w:pPr>
      <w:r w:rsidRPr="00D8141B">
        <w:rPr>
          <w:b/>
          <w:bCs/>
          <w:snapToGrid w:val="0"/>
        </w:rPr>
        <w:t xml:space="preserve">Note: </w:t>
      </w:r>
      <w:r w:rsidRPr="00D8141B">
        <w:rPr>
          <w:snapToGrid w:val="0"/>
        </w:rPr>
        <w:t>Individuals with successful permanent tracheostomy or stoma should be rated at 25 per cent WPI. AMA5 example 11-16 (p 261): Partial obstruction of the larynx affecting only one vocal cord is better linked to voice (AMA5 section 11.4e)</w:t>
      </w:r>
      <w:r w:rsidRPr="00D8141B">
        <w:rPr>
          <w:snapToGrid w:val="0"/>
          <w:lang w:val="en-GB"/>
        </w:rPr>
        <w:t>.</w:t>
      </w:r>
    </w:p>
    <w:p w:rsidR="00D8141B" w:rsidRPr="00D8141B" w:rsidRDefault="00D8141B" w:rsidP="00B502AA">
      <w:pPr>
        <w:pStyle w:val="BodyText6"/>
      </w:pPr>
      <w:r w:rsidRPr="00D8141B">
        <w:lastRenderedPageBreak/>
        <w:t xml:space="preserve">When using AMA5 </w:t>
      </w:r>
      <w:r w:rsidR="0096042E">
        <w:t>T</w:t>
      </w:r>
      <w:r w:rsidR="0096042E" w:rsidRPr="00D8141B">
        <w:t xml:space="preserve">able </w:t>
      </w:r>
      <w:r w:rsidRPr="00D8141B">
        <w:t xml:space="preserve">11-7 </w:t>
      </w:r>
      <w:r w:rsidR="0096042E">
        <w:t>‘R</w:t>
      </w:r>
      <w:r w:rsidR="0096042E" w:rsidRPr="00D8141B">
        <w:t xml:space="preserve">elationship </w:t>
      </w:r>
      <w:r w:rsidRPr="00D8141B">
        <w:t>of dietary restrictions to permanent impairment</w:t>
      </w:r>
      <w:r w:rsidR="0096042E">
        <w:t>’</w:t>
      </w:r>
      <w:r w:rsidRPr="00D8141B">
        <w:t xml:space="preserve"> (p 262), </w:t>
      </w:r>
      <w:r w:rsidR="0096042E">
        <w:t xml:space="preserve">the </w:t>
      </w:r>
      <w:r w:rsidRPr="00D8141B">
        <w:t xml:space="preserve">first </w:t>
      </w:r>
      <w:r w:rsidR="0096042E">
        <w:t xml:space="preserve">WPI </w:t>
      </w:r>
      <w:r w:rsidRPr="00D8141B">
        <w:t xml:space="preserve">category </w:t>
      </w:r>
      <w:r w:rsidR="0096042E">
        <w:t xml:space="preserve">is </w:t>
      </w:r>
      <w:r w:rsidRPr="00D8141B">
        <w:t>to be 0</w:t>
      </w:r>
      <w:r w:rsidR="0096042E">
        <w:t>–</w:t>
      </w:r>
      <w:r w:rsidRPr="00D8141B">
        <w:t>19 per cent, not 5-19 per cent.</w:t>
      </w:r>
    </w:p>
    <w:p w:rsidR="00D8141B" w:rsidRPr="00D8141B" w:rsidRDefault="00D8141B" w:rsidP="00B502AA">
      <w:pPr>
        <w:pStyle w:val="Heading3"/>
      </w:pPr>
      <w:bookmarkStart w:id="111" w:name="_Toc144874657"/>
      <w:bookmarkStart w:id="112" w:name="_Toc144875245"/>
      <w:r w:rsidRPr="00D8141B">
        <w:t>Speech (AMA5, pp 262–264)</w:t>
      </w:r>
      <w:bookmarkEnd w:id="111"/>
      <w:bookmarkEnd w:id="112"/>
    </w:p>
    <w:p w:rsidR="00D8141B" w:rsidRPr="00D8141B" w:rsidRDefault="00D8141B" w:rsidP="00B502AA">
      <w:pPr>
        <w:pStyle w:val="BodyText6"/>
      </w:pPr>
      <w:r w:rsidRPr="00D8141B">
        <w:t>Regarding the first sentence of the 'examining procedure' subsection (pp 263-264 AMA5):  the examiner should have sufficient hearing for the purpose- disregard 'normal hearing as defined in the earlier section of this chapter on hearing'.</w:t>
      </w:r>
    </w:p>
    <w:p w:rsidR="00D8141B" w:rsidRPr="00D8141B" w:rsidRDefault="00D8141B" w:rsidP="00B502AA">
      <w:pPr>
        <w:pStyle w:val="BodyText6"/>
      </w:pPr>
      <w:r w:rsidRPr="00D8141B">
        <w:t>Examining procedure (pp 263-264 AMA5), second paragraph: 'The examiner should base judgements of impairment on two kinds of evidence: (1) attention to and observation of the individual's speech in the office­ for example, during conversation, during the interview, and while reading and counting aloud- and (2) reports pertaining to the individual's performance in everyday living situations'. Disregard the next sentence: 'The reports or the evidence should be supplied by reliable observers who know the person well.'</w:t>
      </w:r>
    </w:p>
    <w:p w:rsidR="00D8141B" w:rsidRPr="00D8141B" w:rsidRDefault="00D8141B" w:rsidP="00B502AA">
      <w:pPr>
        <w:pStyle w:val="BodyText6"/>
      </w:pPr>
      <w:r w:rsidRPr="00D8141B">
        <w:t>Examining procedure (pp 263-264 AMA5):  where the word 'American' appears as a reference, substitute 'Australian', and change measurements to the metric system (eg 8.5 inch = 22cm).</w:t>
      </w:r>
    </w:p>
    <w:p w:rsidR="00D8141B" w:rsidRPr="00D8141B" w:rsidRDefault="00D8141B" w:rsidP="00B502AA">
      <w:pPr>
        <w:pStyle w:val="Heading3"/>
      </w:pPr>
      <w:bookmarkStart w:id="113" w:name="_Toc144874658"/>
      <w:bookmarkStart w:id="114" w:name="_Toc144875246"/>
      <w:r w:rsidRPr="00D8141B">
        <w:t>The voice (AMA5 Section 11.4e, pp 264–267)</w:t>
      </w:r>
      <w:bookmarkEnd w:id="113"/>
      <w:bookmarkEnd w:id="114"/>
    </w:p>
    <w:p w:rsidR="00D8141B" w:rsidRPr="00D8141B" w:rsidRDefault="00D8141B" w:rsidP="00B502AA">
      <w:pPr>
        <w:pStyle w:val="BodyText6"/>
      </w:pPr>
      <w:r w:rsidRPr="00D8141B">
        <w:t>Substitute the word 'laryngopharyngeal' for 'gastroesophageal' in all examples where it appears.</w:t>
      </w:r>
    </w:p>
    <w:p w:rsidR="00D8141B" w:rsidRPr="00D8141B" w:rsidRDefault="00D8141B" w:rsidP="00B502AA">
      <w:pPr>
        <w:pStyle w:val="BodyText6"/>
      </w:pPr>
      <w:r w:rsidRPr="00D8141B">
        <w:t>Example 11.25 (</w:t>
      </w:r>
      <w:r w:rsidR="00A30D42">
        <w:t>AMA5, p 269) ‘</w:t>
      </w:r>
      <w:r w:rsidRPr="00D8141B">
        <w:t xml:space="preserve">Impairment </w:t>
      </w:r>
      <w:r w:rsidR="00A30D42">
        <w:t>r</w:t>
      </w:r>
      <w:r w:rsidR="00A30D42" w:rsidRPr="00D8141B">
        <w:t>ating</w:t>
      </w:r>
      <w:r w:rsidR="00A30D42">
        <w:t>’</w:t>
      </w:r>
      <w:r w:rsidRPr="00D8141B">
        <w:t xml:space="preserve">, second sentence: add the </w:t>
      </w:r>
      <w:r w:rsidR="00A30D42">
        <w:t xml:space="preserve">words “including respiratory impairment” into the sentence to read </w:t>
      </w:r>
      <w:r w:rsidRPr="00D8141B">
        <w:t xml:space="preserve">'Combine with appropriate ratings due to other impairments including respiratory impairment to determine </w:t>
      </w:r>
      <w:r w:rsidR="00A30D42">
        <w:t>whole person impairment</w:t>
      </w:r>
      <w:r w:rsidR="00A30D42" w:rsidRPr="00D8141B">
        <w:t>'</w:t>
      </w:r>
      <w:r w:rsidRPr="00D8141B">
        <w:t>.</w:t>
      </w:r>
    </w:p>
    <w:p w:rsidR="00D8141B" w:rsidRPr="00D8141B" w:rsidRDefault="00D8141B" w:rsidP="00B502AA">
      <w:pPr>
        <w:pStyle w:val="Heading3"/>
      </w:pPr>
      <w:bookmarkStart w:id="115" w:name="_Toc144874659"/>
      <w:bookmarkStart w:id="116" w:name="_Toc144875247"/>
      <w:r w:rsidRPr="00D8141B">
        <w:t>Ear, nose, throat and related structures impairment evaluation summary</w:t>
      </w:r>
      <w:bookmarkEnd w:id="115"/>
      <w:bookmarkEnd w:id="116"/>
    </w:p>
    <w:p w:rsidR="00D8141B" w:rsidRDefault="00D8141B" w:rsidP="00B502AA">
      <w:pPr>
        <w:pStyle w:val="BodyText6"/>
      </w:pPr>
      <w:r w:rsidRPr="00D8141B">
        <w:t>AMA5 table 11-10 (pp 272-275): Disregard this table, except for impairment of olfaction and/or taste, and hearing impairment as determined in the Guidelines.</w:t>
      </w:r>
    </w:p>
    <w:p w:rsidR="00B502AA" w:rsidRDefault="00B502AA" w:rsidP="00B502AA">
      <w:pPr>
        <w:pStyle w:val="Heading1"/>
        <w:tabs>
          <w:tab w:val="clear" w:pos="567"/>
          <w:tab w:val="left" w:pos="709"/>
        </w:tabs>
        <w:ind w:hanging="720"/>
        <w:sectPr w:rsidR="00B502AA" w:rsidSect="002947BC">
          <w:pgSz w:w="11906" w:h="16838" w:code="9"/>
          <w:pgMar w:top="1134" w:right="1134" w:bottom="1134" w:left="1134" w:header="0" w:footer="720" w:gutter="0"/>
          <w:cols w:space="720"/>
          <w:titlePg/>
        </w:sectPr>
      </w:pPr>
      <w:bookmarkStart w:id="117" w:name="_Toc144874660"/>
      <w:bookmarkStart w:id="118" w:name="_Toc422836863"/>
      <w:bookmarkStart w:id="119" w:name="_Toc529598381"/>
    </w:p>
    <w:p w:rsidR="00D8141B" w:rsidRPr="00D8141B" w:rsidRDefault="00D8141B" w:rsidP="00B502AA">
      <w:pPr>
        <w:pStyle w:val="Heading1"/>
        <w:tabs>
          <w:tab w:val="clear" w:pos="567"/>
          <w:tab w:val="left" w:pos="709"/>
        </w:tabs>
        <w:ind w:hanging="720"/>
        <w:rPr>
          <w:bCs/>
        </w:rPr>
      </w:pPr>
      <w:bookmarkStart w:id="120" w:name="_Toc487809950"/>
      <w:r w:rsidRPr="00551741">
        <w:lastRenderedPageBreak/>
        <w:t>Urinary and reproductive systems</w:t>
      </w:r>
      <w:bookmarkEnd w:id="117"/>
      <w:bookmarkEnd w:id="118"/>
      <w:bookmarkEnd w:id="120"/>
      <w:r w:rsidRPr="00D8141B">
        <w:rPr>
          <w:bCs/>
        </w:rPr>
        <w:t xml:space="preserve"> </w:t>
      </w:r>
      <w:bookmarkEnd w:id="119"/>
    </w:p>
    <w:p w:rsidR="00D8141B" w:rsidRPr="00FA5A29" w:rsidRDefault="00D8141B" w:rsidP="00FA5A29">
      <w:pPr>
        <w:pStyle w:val="BodyText7"/>
        <w:numPr>
          <w:ilvl w:val="0"/>
          <w:numId w:val="0"/>
        </w:numPr>
        <w:tabs>
          <w:tab w:val="clear" w:pos="709"/>
        </w:tabs>
        <w:rPr>
          <w:rFonts w:cs="Times New Roman"/>
          <w:b/>
        </w:rPr>
      </w:pPr>
      <w:r w:rsidRPr="00FA5A29">
        <w:rPr>
          <w:b/>
        </w:rPr>
        <w:t>Chapter 7, AMA5 (page 143) applies to the assessment of permanent impairment of the urinary and reproductive systems, subject to the modifications set out below. Before undertaking an impai</w:t>
      </w:r>
      <w:r w:rsidR="004A5BE6" w:rsidRPr="00FA5A29">
        <w:rPr>
          <w:b/>
        </w:rPr>
        <w:t>rment assessment, users of the</w:t>
      </w:r>
      <w:r w:rsidRPr="00FA5A29">
        <w:rPr>
          <w:b/>
        </w:rPr>
        <w:t xml:space="preserve"> Guidelines must be familiar with the</w:t>
      </w:r>
      <w:r w:rsidRPr="00FA5A29">
        <w:rPr>
          <w:rFonts w:cs="Times New Roman"/>
          <w:b/>
        </w:rPr>
        <w:t xml:space="preserve"> following:</w:t>
      </w:r>
    </w:p>
    <w:p w:rsidR="00D8141B" w:rsidRPr="003F702E" w:rsidRDefault="004A5BE6" w:rsidP="00FA5A29">
      <w:pPr>
        <w:pStyle w:val="Bulletpoint"/>
        <w:tabs>
          <w:tab w:val="left" w:pos="1134"/>
        </w:tabs>
        <w:ind w:left="1134"/>
        <w:rPr>
          <w:rFonts w:eastAsia="Calibri"/>
          <w:lang w:val="en-US"/>
        </w:rPr>
      </w:pPr>
      <w:r>
        <w:rPr>
          <w:rFonts w:eastAsia="Calibri"/>
          <w:lang w:val="en-US"/>
        </w:rPr>
        <w:t>The Introduction in the</w:t>
      </w:r>
      <w:r w:rsidR="00D8141B" w:rsidRPr="003F702E">
        <w:rPr>
          <w:rFonts w:eastAsia="Calibri"/>
          <w:lang w:val="en-US"/>
        </w:rPr>
        <w:t xml:space="preserve"> Guidelines</w:t>
      </w:r>
    </w:p>
    <w:p w:rsidR="00D8141B" w:rsidRPr="003F702E" w:rsidRDefault="00D8141B" w:rsidP="00FA5A29">
      <w:pPr>
        <w:pStyle w:val="Bulletpoint"/>
        <w:tabs>
          <w:tab w:val="left" w:pos="1134"/>
        </w:tabs>
        <w:ind w:left="1134"/>
        <w:rPr>
          <w:rFonts w:eastAsia="Calibri"/>
          <w:lang w:val="en-US"/>
        </w:rPr>
      </w:pPr>
      <w:r w:rsidRPr="003F702E">
        <w:rPr>
          <w:rFonts w:eastAsia="Calibri"/>
          <w:lang w:val="en-US"/>
        </w:rPr>
        <w:t>Chapters 1 and 2 of AMA5</w:t>
      </w:r>
    </w:p>
    <w:p w:rsidR="00D8141B" w:rsidRPr="003F702E" w:rsidRDefault="00D8141B" w:rsidP="00FA5A29">
      <w:pPr>
        <w:pStyle w:val="Bulletpoint"/>
        <w:tabs>
          <w:tab w:val="left" w:pos="1134"/>
        </w:tabs>
        <w:ind w:left="1134"/>
        <w:rPr>
          <w:rFonts w:eastAsia="Calibri"/>
          <w:lang w:val="en-US"/>
        </w:rPr>
      </w:pPr>
      <w:r w:rsidRPr="003F702E">
        <w:rPr>
          <w:rFonts w:eastAsia="Calibri"/>
          <w:lang w:val="en-US"/>
        </w:rPr>
        <w:t xml:space="preserve">The appropriate chapter/s of </w:t>
      </w:r>
      <w:r w:rsidR="004A5BE6">
        <w:rPr>
          <w:rFonts w:eastAsia="Calibri"/>
          <w:lang w:val="en-US"/>
        </w:rPr>
        <w:t>the</w:t>
      </w:r>
      <w:r w:rsidRPr="003F702E">
        <w:rPr>
          <w:rFonts w:eastAsia="Calibri"/>
          <w:lang w:val="en-US"/>
        </w:rPr>
        <w:t xml:space="preserve"> Guidelines for the body system they are assessing.</w:t>
      </w:r>
    </w:p>
    <w:p w:rsidR="00D8141B" w:rsidRPr="003F702E" w:rsidRDefault="00D8141B" w:rsidP="00FA5A29">
      <w:pPr>
        <w:pStyle w:val="Bulletpoint"/>
        <w:tabs>
          <w:tab w:val="left" w:pos="1134"/>
        </w:tabs>
        <w:ind w:left="1134"/>
        <w:rPr>
          <w:rFonts w:eastAsia="Calibri"/>
          <w:lang w:val="en-US"/>
        </w:rPr>
      </w:pPr>
      <w:r w:rsidRPr="003F702E">
        <w:rPr>
          <w:rFonts w:eastAsia="Calibri"/>
          <w:lang w:val="en-US"/>
        </w:rPr>
        <w:t>The appropriate chapter/s of AMA5 for the body system they are assessing.</w:t>
      </w:r>
    </w:p>
    <w:p w:rsidR="00D8141B" w:rsidRPr="003F702E" w:rsidRDefault="004A5BE6" w:rsidP="00FA5A29">
      <w:pPr>
        <w:pStyle w:val="BodyText7"/>
        <w:numPr>
          <w:ilvl w:val="0"/>
          <w:numId w:val="0"/>
        </w:numPr>
        <w:spacing w:before="240"/>
        <w:ind w:left="709" w:hanging="709"/>
        <w:rPr>
          <w:bCs/>
        </w:rPr>
      </w:pPr>
      <w:r>
        <w:rPr>
          <w:rFonts w:eastAsia="Calibri"/>
        </w:rPr>
        <w:t>The</w:t>
      </w:r>
      <w:r w:rsidR="00D8141B" w:rsidRPr="003F702E">
        <w:rPr>
          <w:rFonts w:eastAsia="Calibri"/>
        </w:rPr>
        <w:t xml:space="preserve"> Guidelines take precedence over AMA5</w:t>
      </w:r>
      <w:r w:rsidR="00D8141B" w:rsidRPr="003F702E">
        <w:rPr>
          <w:rFonts w:ascii="Calibri" w:eastAsia="Calibri" w:hAnsi="Calibri" w:cs="Calibri"/>
          <w:sz w:val="20"/>
        </w:rPr>
        <w:t>.</w:t>
      </w:r>
    </w:p>
    <w:p w:rsidR="00D8141B" w:rsidRPr="00D8141B" w:rsidRDefault="00D8141B" w:rsidP="00B502AA">
      <w:pPr>
        <w:pStyle w:val="Heading3"/>
      </w:pPr>
      <w:bookmarkStart w:id="121" w:name="_Toc144874662"/>
      <w:bookmarkStart w:id="122" w:name="_Toc144875250"/>
      <w:r w:rsidRPr="00D8141B">
        <w:t>Introduction</w:t>
      </w:r>
      <w:bookmarkEnd w:id="121"/>
      <w:bookmarkEnd w:id="122"/>
    </w:p>
    <w:p w:rsidR="00D8141B" w:rsidRPr="00D8141B" w:rsidRDefault="00D8141B" w:rsidP="00FA5A29">
      <w:pPr>
        <w:pStyle w:val="BodyText7"/>
      </w:pPr>
      <w:r w:rsidRPr="00D8141B">
        <w:t>AMA5 chapter 7 (pp 143-171) provides clear details for assessment of the urinary and reproductive systems. Overall the chapter should be followed in assessing permanent impairment, with the variations included below.</w:t>
      </w:r>
    </w:p>
    <w:p w:rsidR="00D8141B" w:rsidRPr="00D8141B" w:rsidRDefault="00D8141B" w:rsidP="00FA5A29">
      <w:pPr>
        <w:pStyle w:val="BodyText7"/>
        <w:rPr>
          <w:szCs w:val="20"/>
        </w:rPr>
      </w:pPr>
      <w:r w:rsidRPr="00D8141B">
        <w:rPr>
          <w:szCs w:val="20"/>
        </w:rPr>
        <w:t xml:space="preserve">For both male and female sexual dysfunction, identifiable pathology should be present for an impairment percentage to be given. </w:t>
      </w:r>
    </w:p>
    <w:p w:rsidR="00D8141B" w:rsidRPr="00D8141B" w:rsidRDefault="00D8141B" w:rsidP="00B502AA">
      <w:pPr>
        <w:pStyle w:val="Heading3"/>
      </w:pPr>
      <w:bookmarkStart w:id="123" w:name="_Toc144874663"/>
      <w:bookmarkStart w:id="124" w:name="_Toc144875251"/>
      <w:r w:rsidRPr="00D8141B">
        <w:t>Urinary diversion</w:t>
      </w:r>
      <w:bookmarkEnd w:id="123"/>
      <w:bookmarkEnd w:id="124"/>
    </w:p>
    <w:p w:rsidR="00D8141B" w:rsidRPr="00D8141B" w:rsidRDefault="00D8141B" w:rsidP="00FA5A29">
      <w:pPr>
        <w:pStyle w:val="BodyText7"/>
      </w:pPr>
      <w:r w:rsidRPr="00D8141B">
        <w:t>AMA5 table 7-2 (p 150) should be replaced with table 7.1, below, when assessing permanent impairment due to urinary diversion disorders. This table includes ratings for neobladder and continent urinary diversion.</w:t>
      </w:r>
    </w:p>
    <w:p w:rsidR="00D8141B" w:rsidRPr="00D8141B" w:rsidRDefault="00D8141B" w:rsidP="00FA5A29">
      <w:pPr>
        <w:pStyle w:val="BodyText7"/>
      </w:pPr>
      <w:r w:rsidRPr="00D8141B">
        <w:rPr>
          <w:bCs/>
        </w:rPr>
        <w:t>Continent urinary diversion is defined as a continent urinary reservoir constructed of small or large bowel with a narrow catheterisable cutaneous stoma through which it must be emptied several times a day</w:t>
      </w:r>
      <w:r w:rsidRPr="00D8141B">
        <w:t>.</w:t>
      </w:r>
    </w:p>
    <w:p w:rsidR="00D8141B" w:rsidRPr="00FA5A29" w:rsidRDefault="00D8141B" w:rsidP="00FA5A29">
      <w:pPr>
        <w:keepNext/>
        <w:tabs>
          <w:tab w:val="num" w:pos="480"/>
          <w:tab w:val="left" w:pos="720"/>
        </w:tabs>
        <w:spacing w:before="240" w:after="120" w:line="240" w:lineRule="auto"/>
        <w:ind w:left="851" w:hanging="851"/>
        <w:jc w:val="center"/>
        <w:outlineLvl w:val="3"/>
        <w:rPr>
          <w:rFonts w:eastAsia="Times New Roman" w:cs="Arial"/>
          <w:b/>
          <w:bCs/>
          <w:sz w:val="24"/>
          <w:szCs w:val="24"/>
          <w:lang w:val="en-GB"/>
        </w:rPr>
      </w:pPr>
      <w:bookmarkStart w:id="125" w:name="_Toc144874664"/>
      <w:bookmarkStart w:id="126" w:name="_Toc144875252"/>
      <w:r w:rsidRPr="00FA5A29">
        <w:rPr>
          <w:rFonts w:eastAsia="Times New Roman" w:cs="Arial"/>
          <w:b/>
          <w:bCs/>
          <w:sz w:val="24"/>
          <w:szCs w:val="24"/>
          <w:lang w:val="en-GB"/>
        </w:rPr>
        <w:t xml:space="preserve">Table 7.1: Criteria for rating permanent impairment </w:t>
      </w:r>
      <w:r w:rsidRPr="00FA5A29">
        <w:rPr>
          <w:rFonts w:eastAsia="Times New Roman" w:cs="Arial"/>
          <w:b/>
          <w:bCs/>
          <w:sz w:val="24"/>
          <w:szCs w:val="24"/>
          <w:lang w:val="en-GB"/>
        </w:rPr>
        <w:br/>
        <w:t>due to urinary diversion disorders</w:t>
      </w:r>
      <w:bookmarkEnd w:id="125"/>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2835"/>
      </w:tblGrid>
      <w:tr w:rsidR="00D8141B" w:rsidRPr="00FA5A29" w:rsidTr="00FA5A29">
        <w:trPr>
          <w:jc w:val="center"/>
        </w:trPr>
        <w:tc>
          <w:tcPr>
            <w:tcW w:w="5382" w:type="dxa"/>
            <w:shd w:val="pct10" w:color="auto" w:fill="auto"/>
            <w:vAlign w:val="center"/>
          </w:tcPr>
          <w:p w:rsidR="00D8141B" w:rsidRPr="00FA5A29" w:rsidRDefault="00D8141B" w:rsidP="00FA5A29">
            <w:pPr>
              <w:keepNext/>
              <w:keepLines/>
              <w:widowControl w:val="0"/>
              <w:tabs>
                <w:tab w:val="num" w:pos="480"/>
              </w:tabs>
              <w:spacing w:before="80" w:after="80" w:line="240" w:lineRule="auto"/>
              <w:ind w:left="851" w:hanging="851"/>
              <w:jc w:val="center"/>
              <w:rPr>
                <w:rFonts w:eastAsia="Times New Roman" w:cs="Arial"/>
                <w:b/>
                <w:bCs/>
                <w:snapToGrid w:val="0"/>
                <w:lang w:val="en-GB"/>
              </w:rPr>
            </w:pPr>
            <w:r w:rsidRPr="00FA5A29">
              <w:rPr>
                <w:rFonts w:eastAsia="Times New Roman" w:cs="Arial"/>
                <w:b/>
                <w:bCs/>
                <w:snapToGrid w:val="0"/>
                <w:lang w:val="en-GB"/>
              </w:rPr>
              <w:t>Diversion type</w:t>
            </w:r>
          </w:p>
        </w:tc>
        <w:tc>
          <w:tcPr>
            <w:tcW w:w="2835" w:type="dxa"/>
            <w:shd w:val="pct10" w:color="auto" w:fill="auto"/>
            <w:vAlign w:val="center"/>
          </w:tcPr>
          <w:p w:rsidR="00D8141B" w:rsidRPr="00FA5A29" w:rsidRDefault="00D8141B" w:rsidP="00FA5A29">
            <w:pPr>
              <w:keepNext/>
              <w:keepLines/>
              <w:widowControl w:val="0"/>
              <w:tabs>
                <w:tab w:val="num" w:pos="480"/>
              </w:tabs>
              <w:spacing w:before="80" w:after="80" w:line="240" w:lineRule="auto"/>
              <w:ind w:left="34"/>
              <w:jc w:val="center"/>
              <w:rPr>
                <w:rFonts w:eastAsia="Times New Roman" w:cs="Arial"/>
                <w:b/>
                <w:bCs/>
                <w:snapToGrid w:val="0"/>
                <w:lang w:val="en-GB"/>
              </w:rPr>
            </w:pPr>
            <w:r w:rsidRPr="00FA5A29">
              <w:rPr>
                <w:rFonts w:eastAsia="Times New Roman" w:cs="Arial"/>
                <w:b/>
                <w:bCs/>
                <w:snapToGrid w:val="0"/>
                <w:lang w:val="en-GB"/>
              </w:rPr>
              <w:t>% Impairment of the whole person</w:t>
            </w:r>
          </w:p>
        </w:tc>
      </w:tr>
      <w:tr w:rsidR="00D8141B" w:rsidRPr="00FA5A29" w:rsidTr="00FA5A29">
        <w:trPr>
          <w:jc w:val="center"/>
        </w:trPr>
        <w:tc>
          <w:tcPr>
            <w:tcW w:w="5382" w:type="dxa"/>
          </w:tcPr>
          <w:p w:rsidR="00D8141B" w:rsidRPr="00286F9C" w:rsidRDefault="00D8141B" w:rsidP="00FA5A29">
            <w:pPr>
              <w:keepLines/>
              <w:widowControl w:val="0"/>
              <w:tabs>
                <w:tab w:val="num" w:pos="480"/>
              </w:tabs>
              <w:spacing w:before="80" w:after="80" w:line="240" w:lineRule="auto"/>
              <w:ind w:left="851" w:hanging="851"/>
              <w:rPr>
                <w:rFonts w:eastAsia="Times New Roman" w:cs="Arial"/>
                <w:snapToGrid w:val="0"/>
                <w:sz w:val="20"/>
                <w:szCs w:val="20"/>
                <w:lang w:val="en-GB"/>
              </w:rPr>
            </w:pPr>
            <w:r w:rsidRPr="00286F9C">
              <w:rPr>
                <w:rFonts w:eastAsia="Times New Roman" w:cs="Arial"/>
                <w:snapToGrid w:val="0"/>
                <w:sz w:val="20"/>
                <w:szCs w:val="20"/>
                <w:lang w:val="en-GB"/>
              </w:rPr>
              <w:t>Ureterointestinal</w:t>
            </w:r>
          </w:p>
          <w:p w:rsidR="00D8141B" w:rsidRPr="00286F9C" w:rsidRDefault="00D8141B" w:rsidP="00FA5A29">
            <w:pPr>
              <w:keepLines/>
              <w:widowControl w:val="0"/>
              <w:tabs>
                <w:tab w:val="num" w:pos="480"/>
              </w:tabs>
              <w:spacing w:before="80" w:after="80" w:line="240" w:lineRule="auto"/>
              <w:ind w:left="851" w:hanging="851"/>
              <w:rPr>
                <w:rFonts w:eastAsia="Times New Roman" w:cs="Arial"/>
                <w:snapToGrid w:val="0"/>
                <w:sz w:val="20"/>
                <w:szCs w:val="20"/>
                <w:lang w:val="en-GB"/>
              </w:rPr>
            </w:pPr>
            <w:r w:rsidRPr="00286F9C">
              <w:rPr>
                <w:rFonts w:eastAsia="Times New Roman" w:cs="Arial"/>
                <w:snapToGrid w:val="0"/>
                <w:sz w:val="20"/>
                <w:szCs w:val="20"/>
                <w:lang w:val="en-GB"/>
              </w:rPr>
              <w:t>Cutaneous ureterostomy</w:t>
            </w:r>
          </w:p>
          <w:p w:rsidR="00D8141B" w:rsidRPr="00286F9C" w:rsidRDefault="00D8141B" w:rsidP="00FA5A29">
            <w:pPr>
              <w:keepLines/>
              <w:widowControl w:val="0"/>
              <w:tabs>
                <w:tab w:val="num" w:pos="480"/>
              </w:tabs>
              <w:spacing w:before="80" w:after="80" w:line="240" w:lineRule="auto"/>
              <w:ind w:left="851" w:hanging="851"/>
              <w:rPr>
                <w:rFonts w:eastAsia="Times New Roman" w:cs="Arial"/>
                <w:snapToGrid w:val="0"/>
                <w:sz w:val="20"/>
                <w:szCs w:val="20"/>
                <w:lang w:val="en-GB"/>
              </w:rPr>
            </w:pPr>
            <w:r w:rsidRPr="00286F9C">
              <w:rPr>
                <w:rFonts w:eastAsia="Times New Roman" w:cs="Arial"/>
                <w:snapToGrid w:val="0"/>
                <w:sz w:val="20"/>
                <w:szCs w:val="20"/>
                <w:lang w:val="en-GB"/>
              </w:rPr>
              <w:t>Nephrostomy</w:t>
            </w:r>
          </w:p>
          <w:p w:rsidR="00D8141B" w:rsidRPr="00286F9C" w:rsidRDefault="00D8141B" w:rsidP="00FA5A29">
            <w:pPr>
              <w:keepLines/>
              <w:widowControl w:val="0"/>
              <w:spacing w:before="80" w:after="80" w:line="240" w:lineRule="auto"/>
              <w:rPr>
                <w:rFonts w:eastAsia="Times New Roman" w:cs="Arial"/>
                <w:snapToGrid w:val="0"/>
                <w:sz w:val="20"/>
                <w:szCs w:val="20"/>
                <w:lang w:val="en-GB"/>
              </w:rPr>
            </w:pPr>
            <w:r w:rsidRPr="00286F9C">
              <w:rPr>
                <w:rFonts w:eastAsia="Times New Roman" w:cs="Arial"/>
                <w:snapToGrid w:val="0"/>
                <w:sz w:val="20"/>
                <w:szCs w:val="20"/>
                <w:lang w:val="en-GB"/>
              </w:rPr>
              <w:t>Neobladder/replacement cystoplasty</w:t>
            </w:r>
          </w:p>
          <w:p w:rsidR="00D8141B" w:rsidRPr="00286F9C" w:rsidRDefault="00D8141B" w:rsidP="00FA5A29">
            <w:pPr>
              <w:keepLines/>
              <w:widowControl w:val="0"/>
              <w:tabs>
                <w:tab w:val="num" w:pos="480"/>
              </w:tabs>
              <w:spacing w:before="80" w:after="80" w:line="240" w:lineRule="auto"/>
              <w:ind w:left="851" w:hanging="851"/>
              <w:rPr>
                <w:rFonts w:eastAsia="Times New Roman" w:cs="Arial"/>
                <w:snapToGrid w:val="0"/>
                <w:sz w:val="20"/>
                <w:szCs w:val="20"/>
                <w:lang w:val="en-GB"/>
              </w:rPr>
            </w:pPr>
            <w:r w:rsidRPr="00286F9C">
              <w:rPr>
                <w:rFonts w:eastAsia="Times New Roman" w:cs="Arial"/>
                <w:snapToGrid w:val="0"/>
                <w:sz w:val="20"/>
                <w:szCs w:val="20"/>
                <w:lang w:val="en-GB"/>
              </w:rPr>
              <w:t>Continent urinary diversion</w:t>
            </w:r>
          </w:p>
        </w:tc>
        <w:tc>
          <w:tcPr>
            <w:tcW w:w="2835" w:type="dxa"/>
          </w:tcPr>
          <w:p w:rsidR="00D8141B" w:rsidRPr="00286F9C" w:rsidRDefault="00D8141B" w:rsidP="00FA5A29">
            <w:pPr>
              <w:keepLines/>
              <w:widowControl w:val="0"/>
              <w:tabs>
                <w:tab w:val="num" w:pos="480"/>
              </w:tabs>
              <w:spacing w:before="80" w:after="80" w:line="240" w:lineRule="auto"/>
              <w:ind w:left="851" w:hanging="851"/>
              <w:jc w:val="center"/>
              <w:rPr>
                <w:rFonts w:eastAsia="Times New Roman" w:cs="Arial"/>
                <w:snapToGrid w:val="0"/>
                <w:sz w:val="20"/>
                <w:szCs w:val="20"/>
                <w:lang w:val="en-GB"/>
              </w:rPr>
            </w:pPr>
            <w:r w:rsidRPr="00286F9C">
              <w:rPr>
                <w:rFonts w:eastAsia="Times New Roman" w:cs="Arial"/>
                <w:snapToGrid w:val="0"/>
                <w:sz w:val="20"/>
                <w:szCs w:val="20"/>
                <w:lang w:val="en-GB"/>
              </w:rPr>
              <w:t>10%</w:t>
            </w:r>
          </w:p>
          <w:p w:rsidR="00D8141B" w:rsidRPr="00286F9C" w:rsidRDefault="00D8141B" w:rsidP="00FA5A29">
            <w:pPr>
              <w:keepLines/>
              <w:widowControl w:val="0"/>
              <w:tabs>
                <w:tab w:val="num" w:pos="480"/>
              </w:tabs>
              <w:spacing w:before="80" w:after="80" w:line="240" w:lineRule="auto"/>
              <w:ind w:left="851" w:hanging="851"/>
              <w:jc w:val="center"/>
              <w:rPr>
                <w:rFonts w:eastAsia="Times New Roman" w:cs="Arial"/>
                <w:snapToGrid w:val="0"/>
                <w:sz w:val="20"/>
                <w:szCs w:val="20"/>
                <w:lang w:val="en-GB"/>
              </w:rPr>
            </w:pPr>
            <w:r w:rsidRPr="00286F9C">
              <w:rPr>
                <w:rFonts w:eastAsia="Times New Roman" w:cs="Arial"/>
                <w:snapToGrid w:val="0"/>
                <w:sz w:val="20"/>
                <w:szCs w:val="20"/>
                <w:lang w:val="en-GB"/>
              </w:rPr>
              <w:t>10%</w:t>
            </w:r>
          </w:p>
          <w:p w:rsidR="00D8141B" w:rsidRPr="00286F9C" w:rsidRDefault="00D8141B" w:rsidP="00FA5A29">
            <w:pPr>
              <w:keepLines/>
              <w:widowControl w:val="0"/>
              <w:tabs>
                <w:tab w:val="num" w:pos="480"/>
              </w:tabs>
              <w:spacing w:before="80" w:after="80" w:line="240" w:lineRule="auto"/>
              <w:ind w:left="851" w:hanging="851"/>
              <w:jc w:val="center"/>
              <w:rPr>
                <w:rFonts w:eastAsia="Times New Roman" w:cs="Arial"/>
                <w:snapToGrid w:val="0"/>
                <w:sz w:val="20"/>
                <w:szCs w:val="20"/>
                <w:lang w:val="en-GB"/>
              </w:rPr>
            </w:pPr>
            <w:r w:rsidRPr="00286F9C">
              <w:rPr>
                <w:rFonts w:eastAsia="Times New Roman" w:cs="Arial"/>
                <w:snapToGrid w:val="0"/>
                <w:sz w:val="20"/>
                <w:szCs w:val="20"/>
                <w:lang w:val="en-GB"/>
              </w:rPr>
              <w:t>15%</w:t>
            </w:r>
          </w:p>
          <w:p w:rsidR="00D8141B" w:rsidRPr="00286F9C" w:rsidRDefault="00D8141B" w:rsidP="00FA5A29">
            <w:pPr>
              <w:keepLines/>
              <w:widowControl w:val="0"/>
              <w:tabs>
                <w:tab w:val="num" w:pos="480"/>
              </w:tabs>
              <w:spacing w:before="80" w:after="80" w:line="240" w:lineRule="auto"/>
              <w:ind w:left="851" w:hanging="851"/>
              <w:jc w:val="center"/>
              <w:rPr>
                <w:rFonts w:eastAsia="Times New Roman" w:cs="Arial"/>
                <w:snapToGrid w:val="0"/>
                <w:sz w:val="20"/>
                <w:szCs w:val="20"/>
                <w:lang w:val="en-GB"/>
              </w:rPr>
            </w:pPr>
            <w:r w:rsidRPr="00286F9C">
              <w:rPr>
                <w:rFonts w:eastAsia="Times New Roman" w:cs="Arial"/>
                <w:snapToGrid w:val="0"/>
                <w:sz w:val="20"/>
                <w:szCs w:val="20"/>
                <w:lang w:val="en-GB"/>
              </w:rPr>
              <w:t>15%</w:t>
            </w:r>
          </w:p>
          <w:p w:rsidR="00D8141B" w:rsidRPr="00286F9C" w:rsidRDefault="00D8141B" w:rsidP="00FA5A29">
            <w:pPr>
              <w:keepLines/>
              <w:widowControl w:val="0"/>
              <w:spacing w:before="80" w:after="80" w:line="240" w:lineRule="auto"/>
              <w:jc w:val="center"/>
              <w:rPr>
                <w:rFonts w:eastAsia="Times New Roman" w:cs="Arial"/>
                <w:snapToGrid w:val="0"/>
                <w:sz w:val="20"/>
                <w:szCs w:val="20"/>
                <w:lang w:val="en-GB"/>
              </w:rPr>
            </w:pPr>
            <w:r w:rsidRPr="00286F9C">
              <w:rPr>
                <w:rFonts w:eastAsia="Times New Roman" w:cs="Arial"/>
                <w:snapToGrid w:val="0"/>
                <w:sz w:val="20"/>
                <w:szCs w:val="20"/>
                <w:lang w:val="en-GB"/>
              </w:rPr>
              <w:t>20%</w:t>
            </w:r>
          </w:p>
        </w:tc>
      </w:tr>
    </w:tbl>
    <w:p w:rsidR="00D8141B" w:rsidRPr="00D8141B" w:rsidRDefault="00D8141B" w:rsidP="00B502AA">
      <w:pPr>
        <w:pStyle w:val="Heading3"/>
      </w:pPr>
      <w:bookmarkStart w:id="127" w:name="_Toc144874665"/>
      <w:bookmarkStart w:id="128" w:name="_Toc144875253"/>
      <w:r w:rsidRPr="00D8141B">
        <w:t>Bladder</w:t>
      </w:r>
      <w:bookmarkEnd w:id="127"/>
      <w:bookmarkEnd w:id="128"/>
    </w:p>
    <w:p w:rsidR="00D8141B" w:rsidRPr="00D8141B" w:rsidRDefault="00D8141B" w:rsidP="00FA5A29">
      <w:pPr>
        <w:pStyle w:val="BodyText7"/>
      </w:pPr>
      <w:r w:rsidRPr="00D8141B">
        <w:t>AMA5 table 7-3 (p 151) should be replaced with table 7. 2 below when assessing permanent impairment due to bladder disease. This table includes ratings involving urge and total incontinence (defined in 7.8</w:t>
      </w:r>
      <w:r w:rsidR="00993784">
        <w:t xml:space="preserve"> of the Guidelines</w:t>
      </w:r>
      <w:r w:rsidRPr="00D8141B">
        <w:t>).</w:t>
      </w:r>
    </w:p>
    <w:p w:rsidR="00D8141B" w:rsidRPr="00FA5A29" w:rsidRDefault="00D8141B" w:rsidP="00FA5A29">
      <w:pPr>
        <w:keepNext/>
        <w:spacing w:before="240" w:after="120" w:line="240" w:lineRule="auto"/>
        <w:ind w:left="709"/>
        <w:outlineLvl w:val="3"/>
        <w:rPr>
          <w:rFonts w:eastAsia="Times New Roman" w:cs="Arial"/>
          <w:b/>
          <w:bCs/>
          <w:sz w:val="24"/>
          <w:szCs w:val="24"/>
          <w:lang w:val="en-GB"/>
        </w:rPr>
      </w:pPr>
      <w:bookmarkStart w:id="129" w:name="_Toc144874666"/>
      <w:bookmarkStart w:id="130" w:name="_Toc144875254"/>
      <w:r w:rsidRPr="00FA5A29">
        <w:rPr>
          <w:rFonts w:eastAsia="Times New Roman" w:cs="Arial"/>
          <w:b/>
          <w:bCs/>
          <w:sz w:val="24"/>
          <w:szCs w:val="24"/>
          <w:lang w:val="en-GB"/>
        </w:rPr>
        <w:lastRenderedPageBreak/>
        <w:t>Table 7.2: Criteria for rating permanent impairment due to bladder disease</w:t>
      </w:r>
      <w:bookmarkEnd w:id="129"/>
      <w:bookmarkEnd w:id="130"/>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8141B" w:rsidRPr="00D8141B" w:rsidTr="00FA5A29">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1</w:t>
            </w:r>
            <w:r w:rsidRPr="00D8141B">
              <w:rPr>
                <w:rFonts w:eastAsia="Times New Roman" w:cs="Arial"/>
                <w:b/>
                <w:bCs/>
                <w:snapToGrid w:val="0"/>
                <w:sz w:val="20"/>
                <w:szCs w:val="20"/>
                <w:lang w:val="en-GB"/>
              </w:rPr>
              <w:br/>
              <w:t>0%–15% impairment of the whole person</w:t>
            </w:r>
          </w:p>
        </w:tc>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2</w:t>
            </w:r>
            <w:r w:rsidRPr="00D8141B">
              <w:rPr>
                <w:rFonts w:eastAsia="Times New Roman" w:cs="Arial"/>
                <w:b/>
                <w:bCs/>
                <w:snapToGrid w:val="0"/>
                <w:sz w:val="20"/>
                <w:szCs w:val="20"/>
                <w:lang w:val="en-GB"/>
              </w:rPr>
              <w:br/>
              <w:t>16%–40% impairment of the whole person</w:t>
            </w:r>
          </w:p>
        </w:tc>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3</w:t>
            </w:r>
            <w:r w:rsidRPr="00D8141B">
              <w:rPr>
                <w:rFonts w:eastAsia="Times New Roman" w:cs="Arial"/>
                <w:b/>
                <w:bCs/>
                <w:snapToGrid w:val="0"/>
                <w:sz w:val="20"/>
                <w:szCs w:val="20"/>
                <w:lang w:val="en-GB"/>
              </w:rPr>
              <w:br/>
              <w:t>41%–70% impairment of the whole person</w:t>
            </w:r>
          </w:p>
        </w:tc>
      </w:tr>
      <w:tr w:rsidR="00D8141B" w:rsidRPr="00D8141B" w:rsidTr="00FA5A29">
        <w:tc>
          <w:tcPr>
            <w:tcW w:w="2835"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Symptoms and signs of bladder disorder</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requires intermittent treatment</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normal functioning between malfunctioning episodes</w:t>
            </w:r>
          </w:p>
        </w:tc>
        <w:tc>
          <w:tcPr>
            <w:tcW w:w="2835"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Symptoms and signs of bladder disorder e.g., urinary frequency (urinating more than every two hours); severe nocturia (urinating more than three times a night); urge incontinence more than once a week</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requires continuous treatment</w:t>
            </w:r>
          </w:p>
        </w:tc>
        <w:tc>
          <w:tcPr>
            <w:tcW w:w="2835"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Abnormal (ie under- or over-) reflex activity (eg, intermittent urine dribbling, loss of control, urinary urgency and urge incontinence once or more each day)</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and/or</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voluntary control of micturition; reflex or areflexic bladder on urodynamics</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and/or</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total incontinence eg, fistula </w:t>
            </w:r>
          </w:p>
        </w:tc>
      </w:tr>
    </w:tbl>
    <w:p w:rsidR="00D8141B" w:rsidRPr="00D8141B" w:rsidRDefault="00D8141B" w:rsidP="00FA5A29">
      <w:pPr>
        <w:pStyle w:val="BodyText7"/>
        <w:spacing w:before="240"/>
      </w:pPr>
      <w:r w:rsidRPr="00D8141B">
        <w:t>AMA5 example 7-16 (p151) should be reclassified as an example of class 2, as the urinary frequency is more than every two hours and continuous treatment would be expected.</w:t>
      </w:r>
    </w:p>
    <w:p w:rsidR="00D8141B" w:rsidRPr="00D8141B" w:rsidRDefault="00D8141B" w:rsidP="00B502AA">
      <w:pPr>
        <w:pStyle w:val="Heading3"/>
      </w:pPr>
      <w:bookmarkStart w:id="131" w:name="_Toc144874667"/>
      <w:bookmarkStart w:id="132" w:name="_Toc144875255"/>
      <w:r w:rsidRPr="00D8141B">
        <w:t>Urethra</w:t>
      </w:r>
      <w:bookmarkEnd w:id="131"/>
      <w:bookmarkEnd w:id="132"/>
    </w:p>
    <w:p w:rsidR="00D8141B" w:rsidRPr="00D8141B" w:rsidRDefault="00D8141B" w:rsidP="00FA5A29">
      <w:pPr>
        <w:pStyle w:val="BodyText7"/>
      </w:pPr>
      <w:r w:rsidRPr="00D8141B">
        <w:t>AMA5 table 7-4 (p 153) should be replaced with table 7.3 below when assessing permanent impairment due to urethral disease. This table includes ratings involving stress incontinence.</w:t>
      </w:r>
    </w:p>
    <w:p w:rsidR="00D8141B" w:rsidRPr="00FA5A29" w:rsidRDefault="00D8141B" w:rsidP="00FA5A29">
      <w:pPr>
        <w:keepNext/>
        <w:spacing w:before="240" w:after="120" w:line="240" w:lineRule="auto"/>
        <w:ind w:left="709"/>
        <w:outlineLvl w:val="3"/>
        <w:rPr>
          <w:rFonts w:eastAsia="Times New Roman" w:cs="Arial"/>
          <w:b/>
          <w:bCs/>
          <w:sz w:val="24"/>
          <w:szCs w:val="24"/>
          <w:lang w:val="en-GB"/>
        </w:rPr>
      </w:pPr>
      <w:bookmarkStart w:id="133" w:name="_Toc144874668"/>
      <w:bookmarkStart w:id="134" w:name="_Toc144875256"/>
      <w:r w:rsidRPr="00FA5A29">
        <w:rPr>
          <w:rFonts w:eastAsia="Times New Roman" w:cs="Arial"/>
          <w:b/>
          <w:bCs/>
          <w:sz w:val="24"/>
          <w:szCs w:val="24"/>
          <w:lang w:val="en-GB"/>
        </w:rPr>
        <w:t>Table 7.3: Criteria for rating permanent impairment due to urethral disease</w:t>
      </w:r>
      <w:bookmarkEnd w:id="133"/>
      <w:bookmarkEnd w:id="134"/>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770"/>
      </w:tblGrid>
      <w:tr w:rsidR="00D8141B" w:rsidRPr="00D8141B" w:rsidTr="00FA5A29">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1</w:t>
            </w:r>
            <w:r w:rsidRPr="00D8141B">
              <w:rPr>
                <w:rFonts w:eastAsia="Times New Roman" w:cs="Arial"/>
                <w:b/>
                <w:bCs/>
                <w:snapToGrid w:val="0"/>
                <w:sz w:val="20"/>
                <w:szCs w:val="20"/>
                <w:lang w:val="en-GB"/>
              </w:rPr>
              <w:br/>
              <w:t>0%–10% impairment of the whole person</w:t>
            </w:r>
          </w:p>
        </w:tc>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2</w:t>
            </w:r>
            <w:r w:rsidRPr="00D8141B">
              <w:rPr>
                <w:rFonts w:eastAsia="Times New Roman" w:cs="Arial"/>
                <w:b/>
                <w:bCs/>
                <w:snapToGrid w:val="0"/>
                <w:sz w:val="20"/>
                <w:szCs w:val="20"/>
                <w:lang w:val="en-GB"/>
              </w:rPr>
              <w:br/>
              <w:t>11%–20% impairment of the whole person</w:t>
            </w:r>
          </w:p>
        </w:tc>
        <w:tc>
          <w:tcPr>
            <w:tcW w:w="2770"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3</w:t>
            </w:r>
            <w:r w:rsidRPr="00D8141B">
              <w:rPr>
                <w:rFonts w:eastAsia="Times New Roman" w:cs="Arial"/>
                <w:b/>
                <w:bCs/>
                <w:snapToGrid w:val="0"/>
                <w:sz w:val="20"/>
                <w:szCs w:val="20"/>
                <w:lang w:val="en-GB"/>
              </w:rPr>
              <w:br/>
              <w:t>21%–40% impairment of the whole person</w:t>
            </w:r>
          </w:p>
        </w:tc>
      </w:tr>
      <w:tr w:rsidR="00D8141B" w:rsidRPr="00D8141B" w:rsidTr="00FA5A29">
        <w:tc>
          <w:tcPr>
            <w:tcW w:w="2835"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Symptoms and signs of urethral disorder</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requires intermittent therapy for control</w:t>
            </w:r>
          </w:p>
        </w:tc>
        <w:tc>
          <w:tcPr>
            <w:tcW w:w="2835"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Symptoms and signs of urethral disorder; stress urinary incontinence more than three times a week</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cannot effectively be controlled by treatment</w:t>
            </w:r>
          </w:p>
        </w:tc>
        <w:tc>
          <w:tcPr>
            <w:tcW w:w="2770"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Urethral dysfunction resulting in intermittent urine dribbling, or stress urinary incontinence at least daily </w:t>
            </w:r>
          </w:p>
        </w:tc>
      </w:tr>
    </w:tbl>
    <w:p w:rsidR="00D8141B" w:rsidRPr="00D8141B" w:rsidRDefault="00D8141B" w:rsidP="00B502AA">
      <w:pPr>
        <w:pStyle w:val="Heading3"/>
      </w:pPr>
      <w:bookmarkStart w:id="135" w:name="_Toc144874669"/>
      <w:bookmarkStart w:id="136" w:name="_Toc144875257"/>
      <w:r w:rsidRPr="00D8141B">
        <w:t>Urinary incontinence</w:t>
      </w:r>
      <w:bookmarkEnd w:id="135"/>
      <w:bookmarkEnd w:id="136"/>
    </w:p>
    <w:p w:rsidR="00D8141B" w:rsidRPr="00D8141B" w:rsidRDefault="00D8141B" w:rsidP="00FA5A29">
      <w:pPr>
        <w:pStyle w:val="BodyText7"/>
        <w:spacing w:after="80"/>
      </w:pPr>
      <w:r w:rsidRPr="00D8141B">
        <w:t>Urge</w:t>
      </w:r>
      <w:r w:rsidR="00FA5A29">
        <w:t xml:space="preserve"> </w:t>
      </w:r>
      <w:r w:rsidRPr="00D8141B">
        <w:t>urinary incontinence is the involuntary loss of urine associated with a strong desire to void. Stress urinary incontinence is the involuntary loss of urine occurring with clinically demonstrable raised intra-abdominal pressure. It is expected that urinary incontinence of a regular or severe nature (necessitating the use of protective pads or appliances) will be assessed as follows:</w:t>
      </w:r>
    </w:p>
    <w:p w:rsidR="00D8141B" w:rsidRPr="00D8141B" w:rsidRDefault="00D8141B" w:rsidP="00FA5A29">
      <w:pPr>
        <w:keepNext/>
        <w:tabs>
          <w:tab w:val="left" w:pos="6379"/>
        </w:tabs>
        <w:spacing w:after="80" w:line="260" w:lineRule="exact"/>
        <w:ind w:left="709"/>
        <w:rPr>
          <w:rFonts w:eastAsia="Times New Roman" w:cs="Arial"/>
          <w:snapToGrid w:val="0"/>
          <w:szCs w:val="20"/>
          <w:lang w:val="en-GB"/>
        </w:rPr>
      </w:pPr>
      <w:r w:rsidRPr="00D8141B">
        <w:rPr>
          <w:rFonts w:eastAsia="Times New Roman" w:cs="Arial"/>
          <w:b/>
          <w:bCs/>
          <w:snapToGrid w:val="0"/>
          <w:szCs w:val="20"/>
          <w:lang w:val="en-GB"/>
        </w:rPr>
        <w:t xml:space="preserve">Stress urinary incontinence </w:t>
      </w:r>
      <w:r w:rsidRPr="00D8141B">
        <w:rPr>
          <w:rFonts w:eastAsia="Times New Roman" w:cs="Arial"/>
          <w:b/>
          <w:snapToGrid w:val="0"/>
          <w:szCs w:val="20"/>
          <w:lang w:val="en-GB"/>
        </w:rPr>
        <w:t>(demonstrable clinically):</w:t>
      </w:r>
      <w:r w:rsidR="00FA5A29">
        <w:rPr>
          <w:rFonts w:eastAsia="Times New Roman" w:cs="Arial"/>
          <w:b/>
          <w:snapToGrid w:val="0"/>
          <w:szCs w:val="20"/>
          <w:lang w:val="en-GB"/>
        </w:rPr>
        <w:tab/>
      </w:r>
      <w:r w:rsidRPr="00D8141B">
        <w:rPr>
          <w:rFonts w:eastAsia="Times New Roman" w:cs="Arial"/>
          <w:snapToGrid w:val="0"/>
          <w:szCs w:val="20"/>
          <w:lang w:val="en-GB"/>
        </w:rPr>
        <w:t>11–25% according to severity</w:t>
      </w:r>
    </w:p>
    <w:p w:rsidR="00D8141B" w:rsidRPr="00D8141B" w:rsidRDefault="00D8141B" w:rsidP="00FA5A29">
      <w:pPr>
        <w:keepNext/>
        <w:tabs>
          <w:tab w:val="left" w:pos="6379"/>
        </w:tabs>
        <w:spacing w:after="80" w:line="260" w:lineRule="exact"/>
        <w:ind w:left="709"/>
        <w:rPr>
          <w:rFonts w:eastAsia="Times New Roman" w:cs="Arial"/>
          <w:snapToGrid w:val="0"/>
          <w:szCs w:val="20"/>
          <w:lang w:val="en-GB"/>
        </w:rPr>
      </w:pPr>
      <w:r w:rsidRPr="00D8141B">
        <w:rPr>
          <w:rFonts w:eastAsia="Times New Roman" w:cs="Arial"/>
          <w:b/>
          <w:bCs/>
          <w:snapToGrid w:val="0"/>
          <w:szCs w:val="20"/>
          <w:lang w:val="en-GB"/>
        </w:rPr>
        <w:t>Urge urinary incontinence:</w:t>
      </w:r>
      <w:r w:rsidRPr="00D8141B">
        <w:rPr>
          <w:rFonts w:eastAsia="Times New Roman" w:cs="Arial"/>
          <w:snapToGrid w:val="0"/>
          <w:szCs w:val="20"/>
          <w:lang w:val="en-GB"/>
        </w:rPr>
        <w:tab/>
        <w:t>16–40% according to severity</w:t>
      </w:r>
    </w:p>
    <w:p w:rsidR="00D8141B" w:rsidRPr="00D8141B" w:rsidRDefault="00D8141B" w:rsidP="00FA5A29">
      <w:pPr>
        <w:tabs>
          <w:tab w:val="left" w:pos="6379"/>
        </w:tabs>
        <w:spacing w:after="80" w:line="260" w:lineRule="exact"/>
        <w:ind w:left="709"/>
        <w:rPr>
          <w:rFonts w:eastAsia="Times New Roman" w:cs="Arial"/>
          <w:snapToGrid w:val="0"/>
          <w:szCs w:val="20"/>
          <w:lang w:val="en-GB"/>
        </w:rPr>
      </w:pPr>
      <w:r w:rsidRPr="00D8141B">
        <w:rPr>
          <w:rFonts w:eastAsia="Times New Roman" w:cs="Arial"/>
          <w:b/>
          <w:bCs/>
          <w:snapToGrid w:val="0"/>
          <w:szCs w:val="20"/>
          <w:lang w:val="en-GB"/>
        </w:rPr>
        <w:t>Mixed (urge and stress) incontinence</w:t>
      </w:r>
      <w:r w:rsidR="00FA5A29">
        <w:rPr>
          <w:rFonts w:eastAsia="Times New Roman" w:cs="Arial"/>
          <w:snapToGrid w:val="0"/>
          <w:szCs w:val="20"/>
          <w:lang w:val="en-GB"/>
        </w:rPr>
        <w:t>:</w:t>
      </w:r>
      <w:r w:rsidRPr="00D8141B">
        <w:rPr>
          <w:rFonts w:eastAsia="Times New Roman" w:cs="Arial"/>
          <w:snapToGrid w:val="0"/>
          <w:szCs w:val="20"/>
          <w:lang w:val="en-GB"/>
        </w:rPr>
        <w:tab/>
        <w:t>16–40% according to severity</w:t>
      </w:r>
    </w:p>
    <w:p w:rsidR="00D8141B" w:rsidRPr="00D8141B" w:rsidRDefault="00D8141B" w:rsidP="00FA5A29">
      <w:pPr>
        <w:tabs>
          <w:tab w:val="left" w:pos="6379"/>
        </w:tabs>
        <w:spacing w:after="80" w:line="260" w:lineRule="exact"/>
        <w:ind w:left="709"/>
        <w:rPr>
          <w:rFonts w:eastAsia="Times New Roman" w:cs="Arial"/>
          <w:snapToGrid w:val="0"/>
          <w:szCs w:val="20"/>
          <w:lang w:val="en-GB"/>
        </w:rPr>
      </w:pPr>
      <w:r w:rsidRPr="00D8141B">
        <w:rPr>
          <w:rFonts w:eastAsia="Times New Roman" w:cs="Arial"/>
          <w:b/>
          <w:bCs/>
          <w:snapToGrid w:val="0"/>
          <w:szCs w:val="20"/>
          <w:lang w:val="en-GB"/>
        </w:rPr>
        <w:t>Nocturnal enuresis or wet in bed:</w:t>
      </w:r>
      <w:r w:rsidRPr="00D8141B">
        <w:rPr>
          <w:rFonts w:eastAsia="Times New Roman" w:cs="Arial"/>
          <w:snapToGrid w:val="0"/>
          <w:szCs w:val="20"/>
          <w:lang w:val="en-GB"/>
        </w:rPr>
        <w:tab/>
        <w:t>16–40% according to severity</w:t>
      </w:r>
    </w:p>
    <w:p w:rsidR="00D8141B" w:rsidRPr="00D8141B" w:rsidRDefault="00D8141B" w:rsidP="00FA5A29">
      <w:pPr>
        <w:tabs>
          <w:tab w:val="left" w:pos="6379"/>
        </w:tabs>
        <w:spacing w:after="120" w:line="260" w:lineRule="exact"/>
        <w:ind w:left="709"/>
        <w:rPr>
          <w:rFonts w:eastAsia="Times New Roman" w:cs="Arial"/>
          <w:snapToGrid w:val="0"/>
          <w:szCs w:val="20"/>
          <w:lang w:val="en-GB"/>
        </w:rPr>
      </w:pPr>
      <w:r w:rsidRPr="00D8141B">
        <w:rPr>
          <w:rFonts w:eastAsia="Times New Roman" w:cs="Arial"/>
          <w:b/>
          <w:bCs/>
          <w:snapToGrid w:val="0"/>
          <w:szCs w:val="20"/>
          <w:lang w:val="en-GB"/>
        </w:rPr>
        <w:t xml:space="preserve">Total </w:t>
      </w:r>
      <w:r w:rsidRPr="00D8141B">
        <w:rPr>
          <w:rFonts w:eastAsia="Times New Roman" w:cs="Arial"/>
          <w:bCs/>
          <w:snapToGrid w:val="0"/>
          <w:szCs w:val="20"/>
          <w:lang w:val="en-GB"/>
        </w:rPr>
        <w:t>incontinence</w:t>
      </w:r>
      <w:r w:rsidRPr="00D8141B">
        <w:rPr>
          <w:rFonts w:eastAsia="Times New Roman" w:cs="Arial"/>
          <w:b/>
          <w:bCs/>
          <w:snapToGrid w:val="0"/>
          <w:szCs w:val="20"/>
          <w:lang w:val="en-GB"/>
        </w:rPr>
        <w:t xml:space="preserve"> </w:t>
      </w:r>
      <w:r w:rsidRPr="00D8141B">
        <w:rPr>
          <w:rFonts w:eastAsia="Times New Roman" w:cs="Arial"/>
          <w:snapToGrid w:val="0"/>
          <w:szCs w:val="20"/>
          <w:lang w:val="en-GB"/>
        </w:rPr>
        <w:t>(continuously wet, eg, from fistula):</w:t>
      </w:r>
      <w:r w:rsidRPr="00D8141B">
        <w:rPr>
          <w:rFonts w:eastAsia="Times New Roman" w:cs="Arial"/>
          <w:snapToGrid w:val="0"/>
          <w:szCs w:val="20"/>
          <w:lang w:val="en-GB"/>
        </w:rPr>
        <w:tab/>
        <w:t>50–70%</w:t>
      </w:r>
    </w:p>
    <w:p w:rsidR="00D8141B" w:rsidRPr="00D8141B" w:rsidRDefault="00D8141B" w:rsidP="00FA5A29">
      <w:pPr>
        <w:pStyle w:val="BodyText7"/>
        <w:numPr>
          <w:ilvl w:val="0"/>
          <w:numId w:val="0"/>
        </w:numPr>
        <w:ind w:left="709"/>
        <w:rPr>
          <w:snapToGrid w:val="0"/>
        </w:rPr>
      </w:pPr>
      <w:r w:rsidRPr="00D8141B">
        <w:rPr>
          <w:snapToGrid w:val="0"/>
        </w:rPr>
        <w:t>The highest scoring condition is to be used to assess impairment — combinations are not allowed.</w:t>
      </w:r>
    </w:p>
    <w:p w:rsidR="00D8141B" w:rsidRPr="00D8141B" w:rsidRDefault="00D8141B" w:rsidP="00FA5A29">
      <w:pPr>
        <w:pStyle w:val="Heading3"/>
      </w:pPr>
      <w:bookmarkStart w:id="137" w:name="_Toc144874670"/>
      <w:bookmarkStart w:id="138" w:name="_Toc144875258"/>
      <w:r w:rsidRPr="00D8141B">
        <w:lastRenderedPageBreak/>
        <w:t>Male reproductive organs</w:t>
      </w:r>
      <w:bookmarkEnd w:id="137"/>
      <w:bookmarkEnd w:id="138"/>
    </w:p>
    <w:p w:rsidR="00D8141B" w:rsidRPr="00D8141B" w:rsidRDefault="00D8141B" w:rsidP="00FA5A29">
      <w:pPr>
        <w:pStyle w:val="Heading3"/>
      </w:pPr>
      <w:bookmarkStart w:id="139" w:name="_Toc144874671"/>
      <w:bookmarkStart w:id="140" w:name="_Toc144875259"/>
      <w:r w:rsidRPr="00D8141B">
        <w:t>Penis</w:t>
      </w:r>
      <w:bookmarkEnd w:id="139"/>
      <w:bookmarkEnd w:id="140"/>
    </w:p>
    <w:p w:rsidR="00D8141B" w:rsidRPr="00D8141B" w:rsidRDefault="00D8141B" w:rsidP="00564D1A">
      <w:pPr>
        <w:pStyle w:val="BodyText7"/>
      </w:pPr>
      <w:r w:rsidRPr="00D8141B">
        <w:t xml:space="preserve">AMA5 (p 157): the box labelled 'class 3, 21-35 per cent' should read 'class 3, 20 per cent impairment of the whole person' as the descriptor 'no sexual function possible' does not allow a range. (The correct value is shown in </w:t>
      </w:r>
      <w:r w:rsidR="00993784">
        <w:t>AMA5 T</w:t>
      </w:r>
      <w:r w:rsidRPr="00D8141B">
        <w:t>able 7-5</w:t>
      </w:r>
      <w:r w:rsidR="00993784">
        <w:t>, p. 156</w:t>
      </w:r>
      <w:r w:rsidRPr="00D8141B">
        <w:t>). Note, however, that there is a loading for age, so a rate higher than 20 per cent is possible.</w:t>
      </w:r>
    </w:p>
    <w:p w:rsidR="00D8141B" w:rsidRPr="00D8141B" w:rsidRDefault="00D8141B" w:rsidP="00FA5A29">
      <w:pPr>
        <w:pStyle w:val="Heading3"/>
      </w:pPr>
      <w:bookmarkStart w:id="141" w:name="_Toc144874672"/>
      <w:bookmarkStart w:id="142" w:name="_Toc144875260"/>
      <w:r w:rsidRPr="00D8141B">
        <w:t>Testicles, epididymides and spermatic cords</w:t>
      </w:r>
      <w:bookmarkEnd w:id="141"/>
      <w:bookmarkEnd w:id="142"/>
    </w:p>
    <w:p w:rsidR="00D8141B" w:rsidRPr="00D8141B" w:rsidRDefault="00D8141B" w:rsidP="00564D1A">
      <w:pPr>
        <w:pStyle w:val="BodyText7"/>
      </w:pPr>
      <w:r w:rsidRPr="00D8141B">
        <w:t>AMA5 table 7-7 (p 159) should be replaced with table 7.4 below when assessing permanent impairment due to testicular, epididymal and spermatic cord disease. This table includes rating for infertility and equates impairment with female infertility (see table 7.5, in the Guidelines). Infertility in either sex must be considered to be of equal impact, age for age.</w:t>
      </w:r>
    </w:p>
    <w:p w:rsidR="00D8141B" w:rsidRPr="00D8141B" w:rsidRDefault="00D8141B" w:rsidP="00564D1A">
      <w:pPr>
        <w:pStyle w:val="BodyText7"/>
      </w:pPr>
      <w:r w:rsidRPr="00D8141B">
        <w:rPr>
          <w:bCs/>
        </w:rPr>
        <w:t>Male infertility is defined as azoospermia or other cause of inability to cause impregnation even with assisted contraception techniques</w:t>
      </w:r>
      <w:r w:rsidRPr="00D8141B">
        <w:t>.</w:t>
      </w:r>
    </w:p>
    <w:p w:rsidR="00D8141B" w:rsidRPr="00D8141B" w:rsidRDefault="00D8141B" w:rsidP="00564D1A">
      <w:pPr>
        <w:pStyle w:val="BodyText7"/>
      </w:pPr>
      <w:r w:rsidRPr="00D8141B">
        <w:t>Loss of sexual function related to spinal injury should only be assessed as an impairment where there is other objective evidence of spinal cord, cauda equina or bilateral nerve root dysfunction. The ratings described in table 13-21 on p 342 of AMA5 are used in this instance. There is no additional impairment rating system for loss of sexual function in the absence of objective clinical findings.</w:t>
      </w:r>
    </w:p>
    <w:p w:rsidR="00D8141B" w:rsidRPr="00FA5A29" w:rsidRDefault="00D8141B" w:rsidP="00564D1A">
      <w:pPr>
        <w:keepNext/>
        <w:spacing w:before="240" w:after="120" w:line="240" w:lineRule="auto"/>
        <w:ind w:left="709"/>
        <w:jc w:val="center"/>
        <w:outlineLvl w:val="3"/>
        <w:rPr>
          <w:rFonts w:eastAsia="Times New Roman" w:cs="Arial"/>
          <w:b/>
          <w:bCs/>
          <w:sz w:val="24"/>
          <w:szCs w:val="24"/>
          <w:lang w:val="en-GB"/>
        </w:rPr>
      </w:pPr>
      <w:bookmarkStart w:id="143" w:name="_Toc144874673"/>
      <w:bookmarkStart w:id="144" w:name="_Toc144875261"/>
      <w:r w:rsidRPr="00FA5A29">
        <w:rPr>
          <w:rFonts w:eastAsia="Times New Roman" w:cs="Arial"/>
          <w:b/>
          <w:bCs/>
          <w:sz w:val="24"/>
          <w:szCs w:val="24"/>
          <w:lang w:val="en-GB"/>
        </w:rPr>
        <w:t xml:space="preserve">Table 7.4: Criteria for rating permanent impairment due to testicular, </w:t>
      </w:r>
      <w:r w:rsidRPr="00FA5A29">
        <w:rPr>
          <w:rFonts w:eastAsia="Times New Roman" w:cs="Arial"/>
          <w:b/>
          <w:bCs/>
          <w:sz w:val="24"/>
          <w:szCs w:val="24"/>
          <w:lang w:val="en-GB"/>
        </w:rPr>
        <w:br/>
        <w:t>epididymal and spermatic cord disease</w:t>
      </w:r>
      <w:bookmarkEnd w:id="143"/>
      <w:bookmarkEnd w:id="144"/>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8141B" w:rsidRPr="00D8141B" w:rsidTr="00564D1A">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1</w:t>
            </w:r>
            <w:r w:rsidRPr="00D8141B">
              <w:rPr>
                <w:rFonts w:eastAsia="Times New Roman" w:cs="Arial"/>
                <w:b/>
                <w:bCs/>
                <w:snapToGrid w:val="0"/>
                <w:sz w:val="20"/>
                <w:szCs w:val="20"/>
                <w:lang w:val="en-GB"/>
              </w:rPr>
              <w:br/>
              <w:t>0%–10% impairment of the whole person</w:t>
            </w:r>
          </w:p>
        </w:tc>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2</w:t>
            </w:r>
            <w:r w:rsidRPr="00D8141B">
              <w:rPr>
                <w:rFonts w:eastAsia="Times New Roman" w:cs="Arial"/>
                <w:b/>
                <w:bCs/>
                <w:snapToGrid w:val="0"/>
                <w:sz w:val="20"/>
                <w:szCs w:val="20"/>
                <w:lang w:val="en-GB"/>
              </w:rPr>
              <w:br/>
              <w:t>11%–15% impairment of the whole person</w:t>
            </w:r>
          </w:p>
        </w:tc>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3</w:t>
            </w:r>
            <w:r w:rsidRPr="00D8141B">
              <w:rPr>
                <w:rFonts w:eastAsia="Times New Roman" w:cs="Arial"/>
                <w:b/>
                <w:bCs/>
                <w:snapToGrid w:val="0"/>
                <w:sz w:val="20"/>
                <w:szCs w:val="20"/>
                <w:lang w:val="en-GB"/>
              </w:rPr>
              <w:br/>
              <w:t>16%–35% impairment of the whole person</w:t>
            </w:r>
          </w:p>
        </w:tc>
      </w:tr>
      <w:tr w:rsidR="00D8141B" w:rsidRPr="00D8141B" w:rsidTr="00564D1A">
        <w:tc>
          <w:tcPr>
            <w:tcW w:w="2835"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Testicular, epididymal or spermatic cord disease symptoms and signs and anatomic alteration</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continuous treatment required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seminal or hormonal function or abnormalities</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solitary testicle</w:t>
            </w:r>
          </w:p>
        </w:tc>
        <w:tc>
          <w:tcPr>
            <w:tcW w:w="2835"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Testicular, epididymal or spermatic cord disease symptoms and signs and anatomic alteration</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cannot effectively be controlled by treatment</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detectable seminal or hormonal abnormalities</w:t>
            </w:r>
          </w:p>
        </w:tc>
        <w:tc>
          <w:tcPr>
            <w:tcW w:w="2835" w:type="dxa"/>
          </w:tcPr>
          <w:p w:rsidR="00D8141B" w:rsidRPr="00D8141B" w:rsidRDefault="00D8141B" w:rsidP="00D8141B">
            <w:pPr>
              <w:keepNext/>
              <w:keepLines/>
              <w:widowControl w:val="0"/>
              <w:tabs>
                <w:tab w:val="num" w:pos="480"/>
              </w:tab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Trauma or disease produces bilateral anatomic loss of the primary sex organs</w:t>
            </w:r>
          </w:p>
          <w:p w:rsidR="00D8141B" w:rsidRPr="00D8141B" w:rsidRDefault="00D8141B" w:rsidP="00D8141B">
            <w:pPr>
              <w:keepNext/>
              <w:keepLines/>
              <w:widowControl w:val="0"/>
              <w:tabs>
                <w:tab w:val="num" w:pos="480"/>
              </w:tab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Next/>
              <w:keepLines/>
              <w:widowControl w:val="0"/>
              <w:tabs>
                <w:tab w:val="num" w:pos="480"/>
              </w:tab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detectable seminal or hormonal function</w:t>
            </w:r>
          </w:p>
          <w:p w:rsidR="00D8141B" w:rsidRPr="00D8141B" w:rsidRDefault="00D8141B" w:rsidP="00D8141B">
            <w:pPr>
              <w:keepNext/>
              <w:keepLines/>
              <w:widowControl w:val="0"/>
              <w:tabs>
                <w:tab w:val="num" w:pos="480"/>
              </w:tab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Next/>
              <w:keepLines/>
              <w:widowControl w:val="0"/>
              <w:tabs>
                <w:tab w:val="num" w:pos="480"/>
              </w:tab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infertility </w:t>
            </w:r>
          </w:p>
        </w:tc>
      </w:tr>
    </w:tbl>
    <w:p w:rsidR="00D8141B" w:rsidRPr="00D8141B" w:rsidRDefault="00D8141B" w:rsidP="00564D1A">
      <w:pPr>
        <w:pStyle w:val="Heading3"/>
        <w:spacing w:before="360"/>
      </w:pPr>
      <w:bookmarkStart w:id="145" w:name="_Toc144874674"/>
      <w:bookmarkStart w:id="146" w:name="_Toc144875262"/>
      <w:r w:rsidRPr="00D8141B">
        <w:t>Female reproductive organs</w:t>
      </w:r>
      <w:bookmarkEnd w:id="145"/>
      <w:bookmarkEnd w:id="146"/>
    </w:p>
    <w:p w:rsidR="00D8141B" w:rsidRPr="00D8141B" w:rsidRDefault="00D8141B" w:rsidP="00564D1A">
      <w:pPr>
        <w:pStyle w:val="Heading3"/>
        <w:spacing w:before="240"/>
      </w:pPr>
      <w:bookmarkStart w:id="147" w:name="_Toc144874675"/>
      <w:bookmarkStart w:id="148" w:name="_Toc144875263"/>
      <w:r w:rsidRPr="00D8141B">
        <w:t>Fallopian tubes and ovaries</w:t>
      </w:r>
      <w:bookmarkEnd w:id="147"/>
      <w:bookmarkEnd w:id="148"/>
    </w:p>
    <w:p w:rsidR="00D8141B" w:rsidRPr="00D8141B" w:rsidRDefault="00D8141B" w:rsidP="00564D1A">
      <w:pPr>
        <w:pStyle w:val="BodyText7"/>
      </w:pPr>
      <w:r w:rsidRPr="00D8141B">
        <w:t xml:space="preserve">AMA5 table 7-11 (p 167) should be replaced with table 7.5 below when assessing permanent impairment due to fallopian tube and ovarian disease. This table includes rating for infertility and equates impairment with male infertility (see </w:t>
      </w:r>
      <w:r w:rsidRPr="00D8141B">
        <w:rPr>
          <w:u w:val="single"/>
        </w:rPr>
        <w:t>table 7.4</w:t>
      </w:r>
      <w:r w:rsidRPr="00D8141B">
        <w:t xml:space="preserve"> above). Infertility in either sex must be considered to be of equal impact, age for age.</w:t>
      </w:r>
    </w:p>
    <w:p w:rsidR="00D8141B" w:rsidRPr="00D8141B" w:rsidRDefault="00D8141B" w:rsidP="00564D1A">
      <w:pPr>
        <w:pStyle w:val="BodyText7"/>
      </w:pPr>
      <w:r w:rsidRPr="00D8141B">
        <w:rPr>
          <w:b/>
          <w:bCs/>
        </w:rPr>
        <w:t>Female infertility</w:t>
      </w:r>
      <w:r w:rsidRPr="00D8141B">
        <w:rPr>
          <w:bCs/>
        </w:rPr>
        <w:t>: a woman in the childbearing age is infertile when she is unable to conceive naturally. This may be due to anovulation, tubal blockage, cervical or vaginal blocking or an impairment of the uterus</w:t>
      </w:r>
      <w:r w:rsidRPr="00D8141B">
        <w:t>.</w:t>
      </w:r>
    </w:p>
    <w:p w:rsidR="00D8141B" w:rsidRPr="00FA5A29" w:rsidRDefault="00D8141B" w:rsidP="00564D1A">
      <w:pPr>
        <w:keepNext/>
        <w:spacing w:before="240" w:after="120" w:line="240" w:lineRule="auto"/>
        <w:ind w:left="709" w:right="-46"/>
        <w:jc w:val="center"/>
        <w:outlineLvl w:val="3"/>
        <w:rPr>
          <w:rFonts w:eastAsia="Times New Roman" w:cs="Arial"/>
          <w:b/>
          <w:bCs/>
          <w:sz w:val="24"/>
          <w:szCs w:val="24"/>
          <w:lang w:val="en-GB"/>
        </w:rPr>
      </w:pPr>
      <w:bookmarkStart w:id="149" w:name="_Toc144874676"/>
      <w:bookmarkStart w:id="150" w:name="_Toc144875264"/>
      <w:r w:rsidRPr="00FA5A29">
        <w:rPr>
          <w:rFonts w:eastAsia="Times New Roman" w:cs="Arial"/>
          <w:b/>
          <w:bCs/>
          <w:sz w:val="24"/>
          <w:szCs w:val="24"/>
          <w:lang w:val="en-GB"/>
        </w:rPr>
        <w:lastRenderedPageBreak/>
        <w:t>Table 7.5: Criteria for rating permanent impairment due to</w:t>
      </w:r>
      <w:r w:rsidR="00564D1A">
        <w:rPr>
          <w:rFonts w:eastAsia="Times New Roman" w:cs="Arial"/>
          <w:b/>
          <w:bCs/>
          <w:sz w:val="24"/>
          <w:szCs w:val="24"/>
          <w:lang w:val="en-GB"/>
        </w:rPr>
        <w:br/>
      </w:r>
      <w:r w:rsidRPr="00FA5A29">
        <w:rPr>
          <w:rFonts w:eastAsia="Times New Roman" w:cs="Arial"/>
          <w:b/>
          <w:bCs/>
          <w:sz w:val="24"/>
          <w:szCs w:val="24"/>
          <w:lang w:val="en-GB"/>
        </w:rPr>
        <w:t>fallopian tube</w:t>
      </w:r>
      <w:r w:rsidR="00D9496F" w:rsidRPr="00FA5A29">
        <w:rPr>
          <w:rFonts w:eastAsia="Times New Roman" w:cs="Arial"/>
          <w:b/>
          <w:bCs/>
          <w:sz w:val="24"/>
          <w:szCs w:val="24"/>
          <w:lang w:val="en-GB"/>
        </w:rPr>
        <w:t xml:space="preserve"> </w:t>
      </w:r>
      <w:r w:rsidRPr="00FA5A29">
        <w:rPr>
          <w:rFonts w:eastAsia="Times New Roman" w:cs="Arial"/>
          <w:b/>
          <w:bCs/>
          <w:sz w:val="24"/>
          <w:szCs w:val="24"/>
          <w:lang w:val="en-GB"/>
        </w:rPr>
        <w:t>and ovarian disease</w:t>
      </w:r>
      <w:bookmarkEnd w:id="149"/>
      <w:bookmarkEnd w:id="150"/>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8141B" w:rsidRPr="00D8141B" w:rsidTr="00564D1A">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1</w:t>
            </w:r>
            <w:r w:rsidRPr="00D8141B">
              <w:rPr>
                <w:rFonts w:eastAsia="Times New Roman" w:cs="Arial"/>
                <w:b/>
                <w:bCs/>
                <w:snapToGrid w:val="0"/>
                <w:sz w:val="20"/>
                <w:szCs w:val="20"/>
                <w:lang w:val="en-GB"/>
              </w:rPr>
              <w:br/>
              <w:t>0%–15% impairment of the whole person</w:t>
            </w:r>
          </w:p>
        </w:tc>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2</w:t>
            </w:r>
            <w:r w:rsidRPr="00D8141B">
              <w:rPr>
                <w:rFonts w:eastAsia="Times New Roman" w:cs="Arial"/>
                <w:b/>
                <w:bCs/>
                <w:snapToGrid w:val="0"/>
                <w:sz w:val="20"/>
                <w:szCs w:val="20"/>
                <w:lang w:val="en-GB"/>
              </w:rPr>
              <w:br/>
              <w:t>16%–25% impairment of the whole person</w:t>
            </w:r>
          </w:p>
        </w:tc>
        <w:tc>
          <w:tcPr>
            <w:tcW w:w="2835" w:type="dxa"/>
            <w:shd w:val="pct10" w:color="auto" w:fill="auto"/>
          </w:tcPr>
          <w:p w:rsidR="00D8141B" w:rsidRPr="00D8141B" w:rsidRDefault="00D8141B" w:rsidP="00D8141B">
            <w:pPr>
              <w:keepNext/>
              <w:keepLines/>
              <w:widowControl w:val="0"/>
              <w:spacing w:before="80" w:after="80" w:line="240" w:lineRule="auto"/>
              <w:rPr>
                <w:rFonts w:eastAsia="Times New Roman" w:cs="Arial"/>
                <w:b/>
                <w:bCs/>
                <w:snapToGrid w:val="0"/>
                <w:sz w:val="20"/>
                <w:szCs w:val="20"/>
                <w:lang w:val="en-GB"/>
              </w:rPr>
            </w:pPr>
            <w:r w:rsidRPr="00D8141B">
              <w:rPr>
                <w:rFonts w:eastAsia="Times New Roman" w:cs="Arial"/>
                <w:b/>
                <w:bCs/>
                <w:snapToGrid w:val="0"/>
                <w:sz w:val="20"/>
                <w:szCs w:val="20"/>
                <w:lang w:val="en-GB"/>
              </w:rPr>
              <w:t>Class 3</w:t>
            </w:r>
            <w:r w:rsidRPr="00D8141B">
              <w:rPr>
                <w:rFonts w:eastAsia="Times New Roman" w:cs="Arial"/>
                <w:b/>
                <w:bCs/>
                <w:snapToGrid w:val="0"/>
                <w:sz w:val="20"/>
                <w:szCs w:val="20"/>
                <w:lang w:val="en-GB"/>
              </w:rPr>
              <w:br/>
              <w:t>26%–35% impairment of the whole person</w:t>
            </w:r>
          </w:p>
        </w:tc>
      </w:tr>
      <w:tr w:rsidR="00D8141B" w:rsidRPr="00D8141B" w:rsidTr="00564D1A">
        <w:tc>
          <w:tcPr>
            <w:tcW w:w="2835"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Fallopian tube or ovarian disease or deformity symptoms and signs do not require continuous treatment</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only one functioning fallopian tube or ovary in the premenopausal period </w:t>
            </w:r>
          </w:p>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bilateral fallopian tube or ovarian functional loss in the postmenopausal period</w:t>
            </w:r>
          </w:p>
        </w:tc>
        <w:tc>
          <w:tcPr>
            <w:tcW w:w="2835"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Fallopian tube or ovarian disease or deformity symptoms and signs require continuous treatment, but tubal patency persists and ovulation is possible</w:t>
            </w:r>
          </w:p>
        </w:tc>
        <w:tc>
          <w:tcPr>
            <w:tcW w:w="2835"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Fallopian tube or ovarian disease or deformity symptoms and signs</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total tubal patency loss or failure to produce ova in the premenopausal period</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or</w:t>
            </w:r>
          </w:p>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bilateral fallopian tube or bilateral ovarian loss in the premenopausal period; infertility </w:t>
            </w:r>
          </w:p>
        </w:tc>
      </w:tr>
    </w:tbl>
    <w:p w:rsidR="00564D1A" w:rsidRDefault="00564D1A" w:rsidP="00564D1A">
      <w:pPr>
        <w:pStyle w:val="Heading1"/>
        <w:numPr>
          <w:ilvl w:val="0"/>
          <w:numId w:val="0"/>
        </w:numPr>
        <w:rPr>
          <w:b w:val="0"/>
        </w:rPr>
        <w:sectPr w:rsidR="00564D1A" w:rsidSect="002947BC">
          <w:pgSz w:w="11906" w:h="16838" w:code="9"/>
          <w:pgMar w:top="1134" w:right="1134" w:bottom="1134" w:left="1134" w:header="0" w:footer="720" w:gutter="0"/>
          <w:cols w:space="720"/>
          <w:titlePg/>
        </w:sectPr>
      </w:pPr>
      <w:bookmarkStart w:id="151" w:name="c8"/>
      <w:bookmarkStart w:id="152" w:name="_Toc529598382"/>
      <w:bookmarkStart w:id="153" w:name="_Toc144874677"/>
      <w:bookmarkStart w:id="154" w:name="_Toc422836864"/>
      <w:bookmarkStart w:id="155" w:name="_Hlt529258496"/>
      <w:bookmarkEnd w:id="151"/>
    </w:p>
    <w:p w:rsidR="00D8141B" w:rsidRPr="00D8141B" w:rsidRDefault="00D8141B" w:rsidP="00564D1A">
      <w:pPr>
        <w:pStyle w:val="Heading1"/>
        <w:tabs>
          <w:tab w:val="clear" w:pos="567"/>
          <w:tab w:val="left" w:pos="709"/>
        </w:tabs>
        <w:ind w:hanging="720"/>
        <w:rPr>
          <w:bCs/>
        </w:rPr>
      </w:pPr>
      <w:bookmarkStart w:id="156" w:name="_Toc487809951"/>
      <w:r w:rsidRPr="00551741">
        <w:lastRenderedPageBreak/>
        <w:t>Respiratory system</w:t>
      </w:r>
      <w:bookmarkEnd w:id="152"/>
      <w:bookmarkEnd w:id="153"/>
      <w:bookmarkEnd w:id="154"/>
      <w:bookmarkEnd w:id="156"/>
    </w:p>
    <w:bookmarkEnd w:id="155"/>
    <w:p w:rsidR="00D8141B" w:rsidRPr="00564D1A" w:rsidRDefault="00D8141B" w:rsidP="00564D1A">
      <w:pPr>
        <w:pStyle w:val="BodyText8"/>
        <w:numPr>
          <w:ilvl w:val="0"/>
          <w:numId w:val="0"/>
        </w:numPr>
        <w:tabs>
          <w:tab w:val="clear" w:pos="709"/>
        </w:tabs>
        <w:rPr>
          <w:rFonts w:cs="Times New Roman"/>
          <w:b/>
        </w:rPr>
      </w:pPr>
      <w:r w:rsidRPr="00564D1A">
        <w:rPr>
          <w:b/>
        </w:rPr>
        <w:t xml:space="preserve">Chapter 5, AMA5 </w:t>
      </w:r>
      <w:r w:rsidR="003F702E" w:rsidRPr="00564D1A">
        <w:rPr>
          <w:b/>
        </w:rPr>
        <w:t xml:space="preserve">(page 87) </w:t>
      </w:r>
      <w:r w:rsidRPr="00564D1A">
        <w:rPr>
          <w:b/>
        </w:rPr>
        <w:t>applies to the assessment of permanent impairment of the respiratory system, subject to the modifications set out below. Before undertaking an impai</w:t>
      </w:r>
      <w:r w:rsidR="004A5BE6" w:rsidRPr="00564D1A">
        <w:rPr>
          <w:b/>
        </w:rPr>
        <w:t>rment assessment, users of the</w:t>
      </w:r>
      <w:r w:rsidRPr="00564D1A">
        <w:rPr>
          <w:b/>
        </w:rPr>
        <w:t xml:space="preserve"> Guidelines must be familiar with the</w:t>
      </w:r>
      <w:r w:rsidRPr="00564D1A">
        <w:rPr>
          <w:rFonts w:cs="Times New Roman"/>
          <w:b/>
        </w:rPr>
        <w:t xml:space="preserve"> following:</w:t>
      </w:r>
    </w:p>
    <w:p w:rsidR="00D8141B" w:rsidRPr="003F702E" w:rsidRDefault="004A5BE6" w:rsidP="00564D1A">
      <w:pPr>
        <w:pStyle w:val="Bulletpoint"/>
        <w:tabs>
          <w:tab w:val="left" w:pos="1134"/>
        </w:tabs>
        <w:ind w:left="1134"/>
        <w:rPr>
          <w:rFonts w:eastAsia="Calibri"/>
          <w:lang w:val="en-US"/>
        </w:rPr>
      </w:pPr>
      <w:r>
        <w:rPr>
          <w:rFonts w:eastAsia="Calibri"/>
          <w:lang w:val="en-US"/>
        </w:rPr>
        <w:t>The Introduction in the</w:t>
      </w:r>
      <w:r w:rsidR="00D8141B" w:rsidRPr="003F702E">
        <w:rPr>
          <w:rFonts w:eastAsia="Calibri"/>
          <w:lang w:val="en-US"/>
        </w:rPr>
        <w:t xml:space="preserve"> Guidelines</w:t>
      </w:r>
    </w:p>
    <w:p w:rsidR="00D8141B" w:rsidRPr="003F702E" w:rsidRDefault="00D8141B" w:rsidP="00564D1A">
      <w:pPr>
        <w:pStyle w:val="Bulletpoint"/>
        <w:tabs>
          <w:tab w:val="left" w:pos="1134"/>
        </w:tabs>
        <w:ind w:left="1134"/>
        <w:rPr>
          <w:rFonts w:eastAsia="Calibri"/>
          <w:lang w:val="en-US"/>
        </w:rPr>
      </w:pPr>
      <w:r w:rsidRPr="003F702E">
        <w:rPr>
          <w:rFonts w:eastAsia="Calibri"/>
          <w:lang w:val="en-US"/>
        </w:rPr>
        <w:t>Chapters 1 and 2 of AMA5</w:t>
      </w:r>
    </w:p>
    <w:p w:rsidR="00D8141B" w:rsidRPr="003F702E" w:rsidRDefault="00D8141B" w:rsidP="00564D1A">
      <w:pPr>
        <w:pStyle w:val="Bulletpoint"/>
        <w:tabs>
          <w:tab w:val="left" w:pos="1134"/>
        </w:tabs>
        <w:ind w:left="1134"/>
        <w:rPr>
          <w:rFonts w:eastAsia="Calibri"/>
          <w:lang w:val="en-US"/>
        </w:rPr>
      </w:pPr>
      <w:r w:rsidRPr="003F702E">
        <w:rPr>
          <w:rFonts w:eastAsia="Calibri"/>
          <w:lang w:val="en-US"/>
        </w:rPr>
        <w:t>Th</w:t>
      </w:r>
      <w:r w:rsidR="004A5BE6">
        <w:rPr>
          <w:rFonts w:eastAsia="Calibri"/>
          <w:lang w:val="en-US"/>
        </w:rPr>
        <w:t>e appropriate chapter/s of the</w:t>
      </w:r>
      <w:r w:rsidRPr="003F702E">
        <w:rPr>
          <w:rFonts w:eastAsia="Calibri"/>
          <w:lang w:val="en-US"/>
        </w:rPr>
        <w:t xml:space="preserve"> Guidelines for the body system they are assessing.</w:t>
      </w:r>
    </w:p>
    <w:p w:rsidR="00D8141B" w:rsidRPr="003F702E" w:rsidRDefault="00D8141B" w:rsidP="00564D1A">
      <w:pPr>
        <w:pStyle w:val="Bulletpoint"/>
        <w:tabs>
          <w:tab w:val="left" w:pos="1134"/>
        </w:tabs>
        <w:ind w:left="1134"/>
        <w:rPr>
          <w:rFonts w:eastAsia="Calibri"/>
          <w:lang w:val="en-US"/>
        </w:rPr>
      </w:pPr>
      <w:r w:rsidRPr="003F702E">
        <w:rPr>
          <w:rFonts w:eastAsia="Calibri"/>
          <w:lang w:val="en-US"/>
        </w:rPr>
        <w:t>The appropriate chapter/s of AMA5 for the body system they are assessing.</w:t>
      </w:r>
    </w:p>
    <w:p w:rsidR="00D8141B" w:rsidRPr="003F702E" w:rsidRDefault="004A5BE6" w:rsidP="00564D1A">
      <w:pPr>
        <w:pStyle w:val="BodyText8"/>
        <w:numPr>
          <w:ilvl w:val="0"/>
          <w:numId w:val="0"/>
        </w:numPr>
        <w:spacing w:before="240"/>
        <w:ind w:left="709" w:hanging="709"/>
        <w:rPr>
          <w:bCs/>
        </w:rPr>
      </w:pPr>
      <w:r>
        <w:rPr>
          <w:rFonts w:eastAsia="Calibri"/>
        </w:rPr>
        <w:t>The</w:t>
      </w:r>
      <w:r w:rsidR="00D8141B" w:rsidRPr="003F702E">
        <w:rPr>
          <w:rFonts w:eastAsia="Calibri"/>
        </w:rPr>
        <w:t xml:space="preserve"> Guidelines take precedence over AMA5</w:t>
      </w:r>
      <w:r w:rsidR="00D8141B" w:rsidRPr="003F702E">
        <w:rPr>
          <w:rFonts w:ascii="Calibri" w:eastAsia="Calibri" w:hAnsi="Calibri" w:cs="Calibri"/>
          <w:sz w:val="20"/>
        </w:rPr>
        <w:t>.</w:t>
      </w:r>
    </w:p>
    <w:p w:rsidR="00D8141B" w:rsidRPr="00D8141B" w:rsidRDefault="00D8141B" w:rsidP="00564D1A">
      <w:pPr>
        <w:pStyle w:val="Heading3"/>
      </w:pPr>
      <w:bookmarkStart w:id="157" w:name="_Toc144874679"/>
      <w:bookmarkStart w:id="158" w:name="_Toc144875267"/>
      <w:r w:rsidRPr="00D8141B">
        <w:t>Introduction</w:t>
      </w:r>
      <w:bookmarkEnd w:id="157"/>
      <w:bookmarkEnd w:id="158"/>
    </w:p>
    <w:p w:rsidR="00D8141B" w:rsidRPr="00D8141B" w:rsidRDefault="00D8141B" w:rsidP="00564D1A">
      <w:pPr>
        <w:pStyle w:val="BodyText8"/>
      </w:pPr>
      <w:r w:rsidRPr="00D8141B">
        <w:t>AMA5 chapter 5 provides a useful summary of the methods for assessing permanent impairment arising from respiratory disorders.</w:t>
      </w:r>
    </w:p>
    <w:p w:rsidR="00D8141B" w:rsidRPr="00D8141B" w:rsidRDefault="00D8141B" w:rsidP="00564D1A">
      <w:pPr>
        <w:pStyle w:val="BodyText8"/>
        <w:rPr>
          <w:szCs w:val="20"/>
        </w:rPr>
      </w:pPr>
      <w:r w:rsidRPr="00D8141B">
        <w:rPr>
          <w:szCs w:val="20"/>
        </w:rPr>
        <w:t>The level of impairment arising from conditions that are not work related needs to be assessed by the medical assessor and taken into consideration in determining the level of permanent impairment. The level at which pre-existing conditions and lifestyle activities such as smoking contribute to the level of permanent impairment requires judgement on the part of the clinician undertaking the impairment assessment. The manner in which any deduction for these is applied needs to be recorded in the assessing specialist's report.</w:t>
      </w:r>
    </w:p>
    <w:p w:rsidR="00D8141B" w:rsidRPr="00D8141B" w:rsidRDefault="00D8141B" w:rsidP="00564D1A">
      <w:pPr>
        <w:pStyle w:val="Heading3"/>
      </w:pPr>
      <w:bookmarkStart w:id="159" w:name="_Toc144874680"/>
      <w:bookmarkStart w:id="160" w:name="_Toc144875268"/>
      <w:r w:rsidRPr="00D8141B">
        <w:t>Examinations, clinical studies and other tests for evaluating respiratory disease (AMA5 section 5.4)</w:t>
      </w:r>
      <w:bookmarkEnd w:id="159"/>
      <w:bookmarkEnd w:id="160"/>
    </w:p>
    <w:p w:rsidR="00D8141B" w:rsidRPr="00D8141B" w:rsidRDefault="00D8141B" w:rsidP="00564D1A">
      <w:pPr>
        <w:pStyle w:val="BodyText8"/>
      </w:pPr>
      <w:r w:rsidRPr="00D8141B">
        <w:t>AMA5 tables 5-2b, 5-3b, 5-4b, 5-5b, 5-6b and 5-7b (pp95-100) give the lower limits of normal values for pulmonary function tests. These are used in table 5-12 to determine the impairment classification for respiratory disorders.</w:t>
      </w:r>
    </w:p>
    <w:p w:rsidR="00D8141B" w:rsidRPr="00D8141B" w:rsidRDefault="00D8141B" w:rsidP="00564D1A">
      <w:pPr>
        <w:pStyle w:val="BodyText8"/>
      </w:pPr>
      <w:r w:rsidRPr="00D8141B">
        <w:t>Classes 2, 3 and 4 in table 5-12 (p107) list ranges of WPI. The assessor should nominate the nearest whole percentage based on the complete clinical circumstances when selecting within the range.</w:t>
      </w:r>
    </w:p>
    <w:p w:rsidR="00D8141B" w:rsidRPr="00D8141B" w:rsidRDefault="00D8141B" w:rsidP="00564D1A">
      <w:pPr>
        <w:pStyle w:val="Heading3"/>
      </w:pPr>
      <w:bookmarkStart w:id="161" w:name="_Toc144874681"/>
      <w:bookmarkStart w:id="162" w:name="_Toc144875269"/>
      <w:r w:rsidRPr="00D8141B">
        <w:t>Asthma (AMA5 section 5.5)</w:t>
      </w:r>
      <w:bookmarkEnd w:id="161"/>
      <w:bookmarkEnd w:id="162"/>
    </w:p>
    <w:p w:rsidR="00D8141B" w:rsidRPr="00D8141B" w:rsidRDefault="00D8141B" w:rsidP="00564D1A">
      <w:pPr>
        <w:pStyle w:val="BodyText8"/>
      </w:pPr>
      <w:r w:rsidRPr="00D8141B">
        <w:t>In assessing permanent impairment arising from occupational asthma, the assessor will require evidence from the treating physician that:</w:t>
      </w:r>
    </w:p>
    <w:p w:rsidR="00D8141B" w:rsidRPr="00D8141B" w:rsidRDefault="00D8141B" w:rsidP="00564D1A">
      <w:pPr>
        <w:pStyle w:val="Bulletpoint"/>
        <w:tabs>
          <w:tab w:val="left" w:pos="1134"/>
        </w:tabs>
        <w:ind w:left="1134"/>
        <w:rPr>
          <w:lang w:val="en-GB"/>
        </w:rPr>
      </w:pPr>
      <w:r w:rsidRPr="00D8141B">
        <w:rPr>
          <w:lang w:val="en-GB"/>
        </w:rPr>
        <w:t>At least three lung function tests have been performed over a six month period and that the results were consistent and repeatable over that period;</w:t>
      </w:r>
    </w:p>
    <w:p w:rsidR="00D8141B" w:rsidRPr="00D8141B" w:rsidRDefault="00D8141B" w:rsidP="00564D1A">
      <w:pPr>
        <w:pStyle w:val="Bulletpoint"/>
        <w:tabs>
          <w:tab w:val="left" w:pos="1134"/>
        </w:tabs>
        <w:ind w:left="1134"/>
        <w:rPr>
          <w:lang w:val="en-GB"/>
        </w:rPr>
      </w:pPr>
      <w:r w:rsidRPr="00D8141B">
        <w:rPr>
          <w:lang w:val="en-GB"/>
        </w:rPr>
        <w:t>the worker has received maximal treatment and is compliant with his/her medication regimen.</w:t>
      </w:r>
    </w:p>
    <w:p w:rsidR="00D8141B" w:rsidRPr="00D8141B" w:rsidRDefault="00D8141B" w:rsidP="00564D1A">
      <w:pPr>
        <w:pStyle w:val="BodyText8"/>
      </w:pPr>
      <w:r w:rsidRPr="00D8141B">
        <w:t>Bronchial challenge testing should not be performed as part of the impairment assessment, therefore in AMA5 table 5-9 (p 104) ignore column four (PC20 mg/mol or equivalent, etc).</w:t>
      </w:r>
    </w:p>
    <w:p w:rsidR="00D8141B" w:rsidRPr="00D8141B" w:rsidRDefault="00D8141B" w:rsidP="00564D1A">
      <w:pPr>
        <w:pStyle w:val="BodyText8"/>
      </w:pPr>
      <w:r w:rsidRPr="00D8141B">
        <w:t>Permanent impairment due to asthma is rated by the score for the best post-bronchodilator forced expiratory volume in one second (FEV1) (score in column 2, AMA5 table 5-9) plus per cent of FEV1 (score in column 3) plus minimum medication required (score in column 5). The total score derived is then used to assess the percent impairment in AMA5 table 5-10 (p 104).</w:t>
      </w:r>
    </w:p>
    <w:p w:rsidR="00D8141B" w:rsidRPr="00D8141B" w:rsidRDefault="00D8141B" w:rsidP="00564D1A">
      <w:pPr>
        <w:pStyle w:val="Heading3"/>
      </w:pPr>
      <w:bookmarkStart w:id="163" w:name="_Toc144874682"/>
      <w:bookmarkStart w:id="164" w:name="_Toc144875270"/>
      <w:r w:rsidRPr="00D8141B">
        <w:lastRenderedPageBreak/>
        <w:t>Obstructive sleep apnoea (A</w:t>
      </w:r>
      <w:r w:rsidRPr="00564D1A">
        <w:rPr>
          <w:rStyle w:val="Heading3Char"/>
        </w:rPr>
        <w:t>M</w:t>
      </w:r>
      <w:r w:rsidRPr="00D8141B">
        <w:t>A5 section 5.6)</w:t>
      </w:r>
      <w:bookmarkEnd w:id="163"/>
      <w:bookmarkEnd w:id="164"/>
    </w:p>
    <w:p w:rsidR="00D8141B" w:rsidRPr="00D8141B" w:rsidRDefault="00D8141B" w:rsidP="00564D1A">
      <w:pPr>
        <w:pStyle w:val="BodyText8"/>
      </w:pPr>
      <w:r w:rsidRPr="00D8141B">
        <w:t>This section needs to be read in conjunction with AMA5 section 11.4 (p 259) and section 13.3c (p 317).</w:t>
      </w:r>
    </w:p>
    <w:p w:rsidR="00D8141B" w:rsidRPr="00D8141B" w:rsidRDefault="00D8141B" w:rsidP="00564D1A">
      <w:pPr>
        <w:pStyle w:val="BodyText8"/>
      </w:pPr>
      <w:r w:rsidRPr="00D8141B">
        <w:t>Before permanent impairment can be assessed, the person must have appropriate assessment and treatment by an ear, nose and throat surgeon and a respiratory physician who specialises in sleep disorders.</w:t>
      </w:r>
    </w:p>
    <w:p w:rsidR="00D8141B" w:rsidRPr="00D8141B" w:rsidRDefault="00D8141B" w:rsidP="00564D1A">
      <w:pPr>
        <w:pStyle w:val="BodyText8"/>
      </w:pPr>
      <w:r w:rsidRPr="00D8141B">
        <w:t>Degree of permanent impairment due to sleep apnoea should be calculated with reference to AMA5 table 13-4 (p 317).</w:t>
      </w:r>
    </w:p>
    <w:p w:rsidR="00D8141B" w:rsidRPr="00D8141B" w:rsidRDefault="00D8141B" w:rsidP="00564D1A">
      <w:pPr>
        <w:pStyle w:val="Heading3"/>
      </w:pPr>
      <w:bookmarkStart w:id="165" w:name="_Toc144874683"/>
      <w:bookmarkStart w:id="166" w:name="_Toc144875271"/>
      <w:r w:rsidRPr="00D8141B">
        <w:t>Hypersensitivity pneumonitis (AMA5 section 5.7)</w:t>
      </w:r>
      <w:bookmarkEnd w:id="165"/>
      <w:bookmarkEnd w:id="166"/>
    </w:p>
    <w:p w:rsidR="00D8141B" w:rsidRPr="00D8141B" w:rsidRDefault="00D8141B" w:rsidP="00564D1A">
      <w:pPr>
        <w:pStyle w:val="BodyText8"/>
      </w:pPr>
      <w:r w:rsidRPr="00D8141B">
        <w:t>Permanent impairment arising from disorders included in this section are assessed according to the impairment classification in AMA5 table 5-12 (p107).</w:t>
      </w:r>
    </w:p>
    <w:p w:rsidR="00D8141B" w:rsidRPr="00D8141B" w:rsidRDefault="00D8141B" w:rsidP="00564D1A">
      <w:pPr>
        <w:pStyle w:val="Heading3"/>
      </w:pPr>
      <w:bookmarkStart w:id="167" w:name="_Toc144874684"/>
      <w:bookmarkStart w:id="168" w:name="_Toc144875272"/>
      <w:r w:rsidRPr="00D8141B">
        <w:t>Pneumoconiosis (AMA5 section 5.8)</w:t>
      </w:r>
      <w:bookmarkEnd w:id="167"/>
      <w:bookmarkEnd w:id="168"/>
    </w:p>
    <w:p w:rsidR="00D8141B" w:rsidRDefault="0012485A" w:rsidP="00564D1A">
      <w:pPr>
        <w:pStyle w:val="BodyText8"/>
      </w:pPr>
      <w:r w:rsidRPr="0012485A">
        <w:t xml:space="preserve">Permanent Impairment due to pneumoconiosis is to be assessed according to the impairment classification in AMA5 </w:t>
      </w:r>
      <w:r>
        <w:t>table 5-12 (p107).</w:t>
      </w:r>
    </w:p>
    <w:p w:rsidR="00D8141B" w:rsidRPr="00D8141B" w:rsidRDefault="00D8141B" w:rsidP="00564D1A">
      <w:pPr>
        <w:pStyle w:val="Heading3"/>
      </w:pPr>
      <w:bookmarkStart w:id="169" w:name="_Toc144874685"/>
      <w:bookmarkStart w:id="170" w:name="_Toc144875273"/>
      <w:r w:rsidRPr="00D8141B">
        <w:t>Lung cancer (AMA5 section 5.9)</w:t>
      </w:r>
      <w:bookmarkEnd w:id="169"/>
      <w:bookmarkEnd w:id="170"/>
    </w:p>
    <w:p w:rsidR="00D8141B" w:rsidRPr="00D8141B" w:rsidRDefault="00D8141B" w:rsidP="00564D1A">
      <w:pPr>
        <w:pStyle w:val="BodyText8"/>
      </w:pPr>
      <w:r w:rsidRPr="00D8141B">
        <w:t>Permanent impairment due to lung cancer should be assessed at least six months after surgery. Table 5-12 (AMA5 p107) (not table 5-11) should be used for assessment of permanent impairment.</w:t>
      </w:r>
    </w:p>
    <w:p w:rsidR="00D8141B" w:rsidRPr="00D8141B" w:rsidRDefault="00D8141B" w:rsidP="00564D1A">
      <w:pPr>
        <w:pStyle w:val="BodyText8"/>
      </w:pPr>
      <w:r w:rsidRPr="00D8141B">
        <w:t>Persons with residual lung cancer after treatment are classified in respiratory impairment class 4 (table 5-12) (AMA5</w:t>
      </w:r>
      <w:r w:rsidR="0052296E">
        <w:t xml:space="preserve"> </w:t>
      </w:r>
      <w:r w:rsidRPr="00D8141B">
        <w:t>p107).</w:t>
      </w:r>
    </w:p>
    <w:p w:rsidR="00D8141B" w:rsidRPr="00D8141B" w:rsidRDefault="00D8141B" w:rsidP="00564D1A">
      <w:pPr>
        <w:pStyle w:val="Heading3"/>
      </w:pPr>
      <w:bookmarkStart w:id="171" w:name="_Toc144874686"/>
      <w:bookmarkStart w:id="172" w:name="_Toc144875274"/>
      <w:r w:rsidRPr="00D8141B">
        <w:t>Permanent impairment due to respiratory disorders (AMA5 section 5.10)</w:t>
      </w:r>
      <w:bookmarkEnd w:id="171"/>
      <w:bookmarkEnd w:id="172"/>
    </w:p>
    <w:p w:rsidR="00D8141B" w:rsidRPr="00D8141B" w:rsidRDefault="00D8141B" w:rsidP="00564D1A">
      <w:pPr>
        <w:pStyle w:val="BodyText8"/>
      </w:pPr>
      <w:r w:rsidRPr="00D8141B">
        <w:t>Table 5-12 (p 107 AMA5) should be used to assess permanent impairment for respiratory disorders. The pulmonary function tests listed in table 5-12 must be performed under standard conditions. Exercise testing is not required on a routine basis.</w:t>
      </w:r>
    </w:p>
    <w:p w:rsidR="00D8141B" w:rsidRDefault="00D8141B" w:rsidP="00564D1A">
      <w:pPr>
        <w:pStyle w:val="BodyText8"/>
      </w:pPr>
      <w:r w:rsidRPr="00D8141B">
        <w:t xml:space="preserve">An isolated abnormal diffusing capacity for carbon monoxide (DCO) in the presence of otherwise normal results of lung function testing should be interpreted with caution and its aetiology should be clarified. </w:t>
      </w:r>
    </w:p>
    <w:p w:rsidR="00564D1A" w:rsidRDefault="00564D1A" w:rsidP="00564D1A">
      <w:pPr>
        <w:pStyle w:val="Heading1"/>
        <w:numPr>
          <w:ilvl w:val="0"/>
          <w:numId w:val="0"/>
        </w:numPr>
        <w:rPr>
          <w:b w:val="0"/>
        </w:rPr>
        <w:sectPr w:rsidR="00564D1A" w:rsidSect="002947BC">
          <w:pgSz w:w="11906" w:h="16838" w:code="9"/>
          <w:pgMar w:top="1134" w:right="1134" w:bottom="1134" w:left="1134" w:header="0" w:footer="720" w:gutter="0"/>
          <w:cols w:space="720"/>
          <w:titlePg/>
        </w:sectPr>
      </w:pPr>
      <w:bookmarkStart w:id="173" w:name="_Toc144874687"/>
      <w:bookmarkStart w:id="174" w:name="_Toc422836865"/>
    </w:p>
    <w:p w:rsidR="00D8141B" w:rsidRPr="00551741" w:rsidRDefault="00551741" w:rsidP="00564D1A">
      <w:pPr>
        <w:pStyle w:val="Heading1"/>
        <w:tabs>
          <w:tab w:val="clear" w:pos="567"/>
          <w:tab w:val="left" w:pos="709"/>
        </w:tabs>
        <w:ind w:hanging="720"/>
      </w:pPr>
      <w:bookmarkStart w:id="175" w:name="_Toc487809952"/>
      <w:r>
        <w:lastRenderedPageBreak/>
        <w:t>H</w:t>
      </w:r>
      <w:r w:rsidR="00D8141B" w:rsidRPr="00551741">
        <w:t>earing</w:t>
      </w:r>
      <w:bookmarkEnd w:id="173"/>
      <w:bookmarkEnd w:id="174"/>
      <w:bookmarkEnd w:id="175"/>
    </w:p>
    <w:p w:rsidR="00D8141B" w:rsidRPr="0057644C" w:rsidRDefault="00D8141B" w:rsidP="0057644C">
      <w:pPr>
        <w:pStyle w:val="BodyText9"/>
        <w:numPr>
          <w:ilvl w:val="0"/>
          <w:numId w:val="0"/>
        </w:numPr>
        <w:tabs>
          <w:tab w:val="clear" w:pos="709"/>
        </w:tabs>
        <w:rPr>
          <w:rFonts w:cs="Times New Roman"/>
          <w:b/>
        </w:rPr>
      </w:pPr>
      <w:bookmarkStart w:id="176" w:name="_Toc144874688"/>
      <w:bookmarkStart w:id="177" w:name="_Toc144875276"/>
      <w:r w:rsidRPr="0057644C">
        <w:rPr>
          <w:b/>
        </w:rPr>
        <w:t>Chapter 11, AMA5 (page 2</w:t>
      </w:r>
      <w:r w:rsidR="003F702E" w:rsidRPr="0057644C">
        <w:rPr>
          <w:b/>
        </w:rPr>
        <w:t>45</w:t>
      </w:r>
      <w:r w:rsidRPr="0057644C">
        <w:rPr>
          <w:b/>
        </w:rPr>
        <w:t>) applies to the assessment of permanent impairment of hearing, subject to the modifications set out below.</w:t>
      </w:r>
      <w:bookmarkEnd w:id="176"/>
      <w:bookmarkEnd w:id="177"/>
      <w:r w:rsidRPr="0057644C">
        <w:rPr>
          <w:b/>
        </w:rPr>
        <w:t xml:space="preserve"> Before undertaking an impai</w:t>
      </w:r>
      <w:r w:rsidR="004A5BE6" w:rsidRPr="0057644C">
        <w:rPr>
          <w:b/>
        </w:rPr>
        <w:t>rment assessment, users of the</w:t>
      </w:r>
      <w:r w:rsidRPr="0057644C">
        <w:rPr>
          <w:b/>
        </w:rPr>
        <w:t xml:space="preserve"> Guidelines must be familiar with the</w:t>
      </w:r>
      <w:r w:rsidRPr="0057644C">
        <w:rPr>
          <w:rFonts w:cs="Times New Roman"/>
          <w:b/>
        </w:rPr>
        <w:t xml:space="preserve"> following:</w:t>
      </w:r>
    </w:p>
    <w:p w:rsidR="00D8141B" w:rsidRPr="003F702E" w:rsidRDefault="004A5BE6" w:rsidP="0057644C">
      <w:pPr>
        <w:pStyle w:val="Bulletpoint"/>
        <w:tabs>
          <w:tab w:val="left" w:pos="1134"/>
        </w:tabs>
        <w:ind w:left="1134"/>
        <w:rPr>
          <w:rFonts w:eastAsia="Calibri"/>
          <w:lang w:val="en-US"/>
        </w:rPr>
      </w:pPr>
      <w:r>
        <w:rPr>
          <w:rFonts w:eastAsia="Calibri"/>
          <w:lang w:val="en-US"/>
        </w:rPr>
        <w:t>The Introduction in the</w:t>
      </w:r>
      <w:r w:rsidR="00D8141B" w:rsidRPr="003F702E">
        <w:rPr>
          <w:rFonts w:eastAsia="Calibri"/>
          <w:lang w:val="en-US"/>
        </w:rPr>
        <w:t xml:space="preserve"> Guidelines</w:t>
      </w:r>
    </w:p>
    <w:p w:rsidR="00D8141B" w:rsidRPr="003F702E" w:rsidRDefault="00D8141B" w:rsidP="0057644C">
      <w:pPr>
        <w:pStyle w:val="Bulletpoint"/>
        <w:tabs>
          <w:tab w:val="left" w:pos="1134"/>
        </w:tabs>
        <w:ind w:left="1134"/>
        <w:rPr>
          <w:rFonts w:eastAsia="Calibri"/>
          <w:lang w:val="en-US"/>
        </w:rPr>
      </w:pPr>
      <w:r w:rsidRPr="003F702E">
        <w:rPr>
          <w:rFonts w:eastAsia="Calibri"/>
          <w:lang w:val="en-US"/>
        </w:rPr>
        <w:t>Th</w:t>
      </w:r>
      <w:r w:rsidR="004A5BE6">
        <w:rPr>
          <w:rFonts w:eastAsia="Calibri"/>
          <w:lang w:val="en-US"/>
        </w:rPr>
        <w:t>e appropriate chapter/s of the</w:t>
      </w:r>
      <w:r w:rsidRPr="003F702E">
        <w:rPr>
          <w:rFonts w:eastAsia="Calibri"/>
          <w:lang w:val="en-US"/>
        </w:rPr>
        <w:t xml:space="preserve"> Guidelines for the body system they are assessing.</w:t>
      </w:r>
    </w:p>
    <w:p w:rsidR="00D8141B" w:rsidRPr="003F702E" w:rsidRDefault="00D8141B" w:rsidP="0057644C">
      <w:pPr>
        <w:pStyle w:val="Bulletpoint"/>
        <w:tabs>
          <w:tab w:val="left" w:pos="1134"/>
        </w:tabs>
        <w:ind w:left="1134"/>
        <w:rPr>
          <w:rFonts w:eastAsia="Calibri"/>
          <w:lang w:val="en-US"/>
        </w:rPr>
      </w:pPr>
      <w:r w:rsidRPr="003F702E">
        <w:rPr>
          <w:rFonts w:eastAsia="Calibri"/>
          <w:lang w:val="en-US"/>
        </w:rPr>
        <w:t xml:space="preserve">The </w:t>
      </w:r>
      <w:r w:rsidR="003F702E">
        <w:rPr>
          <w:rFonts w:eastAsia="Calibri"/>
          <w:lang w:val="en-US"/>
        </w:rPr>
        <w:t>N</w:t>
      </w:r>
      <w:r w:rsidR="00DD336A">
        <w:rPr>
          <w:rFonts w:eastAsia="Calibri"/>
          <w:lang w:val="en-US"/>
        </w:rPr>
        <w:t xml:space="preserve">ational Acoustic </w:t>
      </w:r>
      <w:r w:rsidR="003F702E">
        <w:rPr>
          <w:rFonts w:eastAsia="Calibri"/>
          <w:lang w:val="en-US"/>
        </w:rPr>
        <w:t>L</w:t>
      </w:r>
      <w:r w:rsidR="00DD336A">
        <w:rPr>
          <w:rFonts w:eastAsia="Calibri"/>
          <w:lang w:val="en-US"/>
        </w:rPr>
        <w:t>aboratory</w:t>
      </w:r>
      <w:r w:rsidR="003F702E">
        <w:rPr>
          <w:rFonts w:eastAsia="Calibri"/>
          <w:lang w:val="en-US"/>
        </w:rPr>
        <w:t xml:space="preserve"> Guide</w:t>
      </w:r>
      <w:r w:rsidRPr="003F702E">
        <w:rPr>
          <w:rFonts w:eastAsia="Calibri"/>
          <w:lang w:val="en-US"/>
        </w:rPr>
        <w:t>.</w:t>
      </w:r>
    </w:p>
    <w:p w:rsidR="00D8141B" w:rsidRPr="003F702E" w:rsidRDefault="004A5BE6" w:rsidP="0057644C">
      <w:pPr>
        <w:pStyle w:val="BodyText9"/>
        <w:numPr>
          <w:ilvl w:val="0"/>
          <w:numId w:val="0"/>
        </w:numPr>
        <w:spacing w:before="240"/>
        <w:ind w:left="709" w:hanging="709"/>
        <w:rPr>
          <w:bCs/>
        </w:rPr>
      </w:pPr>
      <w:r>
        <w:rPr>
          <w:rFonts w:eastAsia="Calibri"/>
        </w:rPr>
        <w:t>The</w:t>
      </w:r>
      <w:r w:rsidR="00D8141B" w:rsidRPr="003F702E">
        <w:rPr>
          <w:rFonts w:eastAsia="Calibri"/>
        </w:rPr>
        <w:t xml:space="preserve"> Guidelines take precedence over AMA5</w:t>
      </w:r>
      <w:r w:rsidR="00D8141B" w:rsidRPr="003F702E">
        <w:rPr>
          <w:rFonts w:ascii="Calibri" w:eastAsia="Calibri" w:hAnsi="Calibri" w:cs="Calibri"/>
          <w:sz w:val="20"/>
        </w:rPr>
        <w:t>.</w:t>
      </w:r>
    </w:p>
    <w:p w:rsidR="00D8141B" w:rsidRPr="00D8141B" w:rsidRDefault="00D8141B" w:rsidP="0057644C">
      <w:pPr>
        <w:pStyle w:val="Heading3"/>
      </w:pPr>
      <w:bookmarkStart w:id="178" w:name="_Toc144874689"/>
      <w:bookmarkStart w:id="179" w:name="_Toc144875277"/>
      <w:r w:rsidRPr="00D8141B">
        <w:t>Assessment of hearing impairment (hearing loss)</w:t>
      </w:r>
      <w:bookmarkEnd w:id="178"/>
      <w:bookmarkEnd w:id="179"/>
    </w:p>
    <w:p w:rsidR="00D8141B" w:rsidRPr="00D8141B" w:rsidRDefault="00D8141B" w:rsidP="0057644C">
      <w:pPr>
        <w:pStyle w:val="BodyText9"/>
      </w:pPr>
      <w:r w:rsidRPr="00D8141B">
        <w:t>A worker may present for assessment of hearing loss for compensation purposes before having undergone all or any of the health investigations that generally occur before assessment of permanent impairment.  For this reason and to ensure that conditions other than 'occupational hearing impairment'  are precluded, the medical assessment should be undertaken by an ear, nose and throat specialist or other appropriately qualified medical specialist. The medical assessment needs to be undertaken in accordance with the hearing impairment section of AMA5 table 11-10 (pp 272-275). The medical specialist performing the assessment must examine the worker. The medical specialist's assessment must be based on medical history and ear, nose and throat examination, evaluation of relevant audiological tests and evaluation of other relevant investigations available to the medical assessor. Only medical specialists can sign medical reports.</w:t>
      </w:r>
    </w:p>
    <w:p w:rsidR="00D8141B" w:rsidRPr="00D8141B" w:rsidRDefault="00D8141B" w:rsidP="0057644C">
      <w:pPr>
        <w:pStyle w:val="BodyText9"/>
        <w:rPr>
          <w:szCs w:val="20"/>
        </w:rPr>
      </w:pPr>
      <w:r w:rsidRPr="00D8141B">
        <w:rPr>
          <w:szCs w:val="20"/>
        </w:rPr>
        <w:t>Disregard AMA5 sections 11.1b and 11.2 (pp 246-255), but retain section 11.1a (interpretation of symptoms and signs, p 246).</w:t>
      </w:r>
    </w:p>
    <w:p w:rsidR="00D8141B" w:rsidRPr="00D8141B" w:rsidRDefault="00D8141B" w:rsidP="0057644C">
      <w:pPr>
        <w:pStyle w:val="BodyText9"/>
        <w:rPr>
          <w:szCs w:val="20"/>
        </w:rPr>
      </w:pPr>
      <w:r w:rsidRPr="00D8141B">
        <w:rPr>
          <w:szCs w:val="20"/>
        </w:rPr>
        <w:t>Some of the relevant tests are discussed in the AMA5 hearing impairment evaluation summary table 11-10 (pp 272-275). The relevant row for the Guidelines is the one headed 'hearing impairment' with the exception of the last column headed 'degree of impairment'.  The degree of impairment is determined according to the Guidelines.</w:t>
      </w:r>
    </w:p>
    <w:p w:rsidR="00D8141B" w:rsidRPr="00D8141B" w:rsidRDefault="00D8141B" w:rsidP="0057644C">
      <w:pPr>
        <w:pStyle w:val="BodyText9"/>
        <w:rPr>
          <w:szCs w:val="20"/>
        </w:rPr>
      </w:pPr>
      <w:r w:rsidRPr="00D8141B">
        <w:rPr>
          <w:szCs w:val="20"/>
        </w:rPr>
        <w:t xml:space="preserve">The level of hearing impairment caused by non-work-related conditions is assessed by the medical specialist and considered when determining the level of work-related hearing impairment. While this requires medical judgement on the part of the examining medical specialist, any non-work-related deductions should be recorded in the report. </w:t>
      </w:r>
    </w:p>
    <w:p w:rsidR="00D8141B" w:rsidRPr="00D8141B" w:rsidRDefault="00D8141B" w:rsidP="0057644C">
      <w:pPr>
        <w:pStyle w:val="BodyText9"/>
        <w:rPr>
          <w:szCs w:val="20"/>
        </w:rPr>
      </w:pPr>
      <w:r w:rsidRPr="00D8141B">
        <w:rPr>
          <w:szCs w:val="20"/>
        </w:rPr>
        <w:t>Disregard AMA5 tables 11-1, 11-2, 11-3 (pp 247-250). For the purposes of the Guidelines, National Acoustic Laboratory (NA</w:t>
      </w:r>
      <w:r w:rsidR="00DD336A">
        <w:rPr>
          <w:szCs w:val="20"/>
        </w:rPr>
        <w:t>L</w:t>
      </w:r>
      <w:r w:rsidRPr="00D8141B">
        <w:rPr>
          <w:szCs w:val="20"/>
        </w:rPr>
        <w:t>) tables from the NAL report No. 118, 'improved procedure for determining percentage loss of hearing' (January 1988) are adopted as follows:</w:t>
      </w:r>
    </w:p>
    <w:p w:rsidR="00D8141B" w:rsidRPr="00D8141B" w:rsidRDefault="00D8141B" w:rsidP="0057644C">
      <w:pPr>
        <w:pStyle w:val="Bulletpoint"/>
        <w:tabs>
          <w:tab w:val="left" w:pos="1134"/>
        </w:tabs>
        <w:ind w:left="1134"/>
        <w:rPr>
          <w:lang w:val="en-GB"/>
        </w:rPr>
      </w:pPr>
      <w:r w:rsidRPr="00D8141B">
        <w:rPr>
          <w:lang w:val="en-GB"/>
        </w:rPr>
        <w:t>Tables RB 500–4000 (pp 11–16)</w:t>
      </w:r>
    </w:p>
    <w:p w:rsidR="00D8141B" w:rsidRPr="00D8141B" w:rsidRDefault="00D8141B" w:rsidP="0057644C">
      <w:pPr>
        <w:pStyle w:val="Bulletpoint"/>
        <w:tabs>
          <w:tab w:val="left" w:pos="1134"/>
        </w:tabs>
        <w:ind w:left="1134"/>
        <w:rPr>
          <w:lang w:val="en-GB"/>
        </w:rPr>
      </w:pPr>
      <w:r w:rsidRPr="00D8141B">
        <w:rPr>
          <w:lang w:val="en-GB"/>
        </w:rPr>
        <w:t>Tables RM 500–4000 (pp 18–23)</w:t>
      </w:r>
    </w:p>
    <w:p w:rsidR="00D8141B" w:rsidRPr="00D8141B" w:rsidRDefault="00D8141B" w:rsidP="0057644C">
      <w:pPr>
        <w:pStyle w:val="Bulletpoint"/>
        <w:tabs>
          <w:tab w:val="left" w:pos="1134"/>
        </w:tabs>
        <w:ind w:left="1134"/>
        <w:rPr>
          <w:lang w:val="en-GB"/>
        </w:rPr>
      </w:pPr>
      <w:r w:rsidRPr="00D8141B">
        <w:rPr>
          <w:lang w:val="en-GB"/>
        </w:rPr>
        <w:t>Appendix 1 and 2 (pp 8–9)</w:t>
      </w:r>
    </w:p>
    <w:p w:rsidR="00D8141B" w:rsidRPr="00D8141B" w:rsidRDefault="00D8141B" w:rsidP="0057644C">
      <w:pPr>
        <w:pStyle w:val="Bulletpoint"/>
        <w:tabs>
          <w:tab w:val="left" w:pos="1134"/>
        </w:tabs>
        <w:ind w:left="1134"/>
        <w:rPr>
          <w:lang w:val="en-GB"/>
        </w:rPr>
      </w:pPr>
      <w:r w:rsidRPr="00D8141B">
        <w:rPr>
          <w:lang w:val="en-GB"/>
        </w:rPr>
        <w:t>Appendix 5 and 6 (pp 24–26)</w:t>
      </w:r>
    </w:p>
    <w:p w:rsidR="00D8141B" w:rsidRPr="00D8141B" w:rsidRDefault="00D8141B" w:rsidP="0057644C">
      <w:pPr>
        <w:pStyle w:val="Bulletpoint"/>
        <w:tabs>
          <w:tab w:val="left" w:pos="1134"/>
        </w:tabs>
        <w:ind w:left="1134"/>
        <w:rPr>
          <w:lang w:val="en-GB"/>
        </w:rPr>
      </w:pPr>
      <w:r w:rsidRPr="00D8141B">
        <w:rPr>
          <w:lang w:val="en-GB"/>
        </w:rPr>
        <w:t>Tables EB 4000–8000 (pp 28–30) (The extension tables)</w:t>
      </w:r>
    </w:p>
    <w:p w:rsidR="00D8141B" w:rsidRPr="00D8141B" w:rsidRDefault="00D8141B" w:rsidP="0057644C">
      <w:pPr>
        <w:pStyle w:val="Bulletpoint"/>
        <w:tabs>
          <w:tab w:val="left" w:pos="1134"/>
        </w:tabs>
        <w:ind w:left="1134"/>
        <w:rPr>
          <w:lang w:val="en-GB"/>
        </w:rPr>
      </w:pPr>
      <w:r w:rsidRPr="00D8141B">
        <w:rPr>
          <w:lang w:val="en-GB"/>
        </w:rPr>
        <w:t>Table EM 4000–8000 (pp 32–34) (The extension tables)</w:t>
      </w:r>
    </w:p>
    <w:p w:rsidR="00D8141B" w:rsidRPr="00D8141B" w:rsidRDefault="00D8141B" w:rsidP="0057644C">
      <w:pPr>
        <w:pStyle w:val="BodyText9"/>
        <w:numPr>
          <w:ilvl w:val="0"/>
          <w:numId w:val="0"/>
        </w:numPr>
        <w:ind w:left="709"/>
        <w:rPr>
          <w:snapToGrid w:val="0"/>
          <w:lang w:val="en-GB"/>
        </w:rPr>
      </w:pPr>
      <w:r w:rsidRPr="00D8141B">
        <w:rPr>
          <w:snapToGrid w:val="0"/>
        </w:rPr>
        <w:t>Where an assessor uses the extension tables, they must provide an explanation of the worker's "special requirement to be able to hear at frequencies above 4000Hz."  (NAL Report no.118, p6).</w:t>
      </w:r>
    </w:p>
    <w:p w:rsidR="00D8141B" w:rsidRPr="00D8141B" w:rsidRDefault="00D8141B" w:rsidP="0057644C">
      <w:pPr>
        <w:pStyle w:val="BodyText9"/>
        <w:numPr>
          <w:ilvl w:val="0"/>
          <w:numId w:val="0"/>
        </w:numPr>
        <w:ind w:left="709"/>
        <w:rPr>
          <w:snapToGrid w:val="0"/>
          <w:lang w:val="en-GB"/>
        </w:rPr>
      </w:pPr>
      <w:r w:rsidRPr="00D8141B">
        <w:rPr>
          <w:snapToGrid w:val="0"/>
        </w:rPr>
        <w:lastRenderedPageBreak/>
        <w:t>In the presence of significant conduction hearing loss, the extension tables do not apply</w:t>
      </w:r>
      <w:r w:rsidRPr="00D8141B">
        <w:rPr>
          <w:snapToGrid w:val="0"/>
          <w:lang w:val="en-GB"/>
        </w:rPr>
        <w:t>.</w:t>
      </w:r>
    </w:p>
    <w:p w:rsidR="00D8141B" w:rsidRPr="00D8141B" w:rsidRDefault="00D8141B" w:rsidP="0057644C">
      <w:pPr>
        <w:pStyle w:val="BodyText9"/>
        <w:numPr>
          <w:ilvl w:val="0"/>
          <w:numId w:val="0"/>
        </w:numPr>
        <w:ind w:left="709"/>
        <w:rPr>
          <w:snapToGrid w:val="0"/>
          <w:lang w:val="en-GB"/>
        </w:rPr>
      </w:pPr>
      <w:r w:rsidRPr="00D8141B">
        <w:rPr>
          <w:snapToGrid w:val="0"/>
        </w:rPr>
        <w:t>AMA5 table 11-3 is replaced by table 9.1 at the end of this chapter</w:t>
      </w:r>
      <w:r w:rsidRPr="00D8141B">
        <w:rPr>
          <w:snapToGrid w:val="0"/>
          <w:lang w:val="en-GB"/>
        </w:rPr>
        <w:t>.</w:t>
      </w:r>
    </w:p>
    <w:p w:rsidR="00D8141B" w:rsidRPr="00D8141B" w:rsidRDefault="00D8141B" w:rsidP="0057644C">
      <w:pPr>
        <w:pStyle w:val="Heading3"/>
      </w:pPr>
      <w:bookmarkStart w:id="180" w:name="_Toc144874690"/>
      <w:bookmarkStart w:id="181" w:name="_Toc144875278"/>
      <w:r w:rsidRPr="00D8141B">
        <w:t>Hearing impairment</w:t>
      </w:r>
      <w:bookmarkEnd w:id="180"/>
      <w:bookmarkEnd w:id="181"/>
    </w:p>
    <w:p w:rsidR="00D8141B" w:rsidRPr="00D8141B" w:rsidRDefault="00D8141B" w:rsidP="0057644C">
      <w:pPr>
        <w:pStyle w:val="BodyText9"/>
      </w:pPr>
      <w:r w:rsidRPr="00D8141B">
        <w:t>Impairment of a worker's hearing is determined according to evaluation of the individual's binaural hearing impairment.</w:t>
      </w:r>
    </w:p>
    <w:p w:rsidR="00D8141B" w:rsidRPr="00DD67AF" w:rsidRDefault="00D8141B" w:rsidP="0057644C">
      <w:pPr>
        <w:pStyle w:val="BodyText9"/>
      </w:pPr>
      <w:r w:rsidRPr="00DD67AF">
        <w:t>Permanent hearing impairment should be evaluated when the condition is stable. Prosthetic devices (that is, hearing aids) must not be worn during the evaluation of hearing sensitivity.</w:t>
      </w:r>
    </w:p>
    <w:p w:rsidR="00D8141B" w:rsidRPr="00DD67AF" w:rsidRDefault="00D8141B" w:rsidP="0057644C">
      <w:pPr>
        <w:pStyle w:val="BodyText9"/>
      </w:pPr>
      <w:r w:rsidRPr="00DD67AF">
        <w:t>Hearing threshold level for pure tones is defined as the number of decibels above standard audiometric zero for a given frequency at which the listener's threshold of hearing lies when tested in a suitable sound attenuated environment. It is the reading on the hearing level dial of an audiometer that is calibrated according to Australian Standard AS 2586-1983.</w:t>
      </w:r>
    </w:p>
    <w:p w:rsidR="00D8141B" w:rsidRPr="00DD67AF" w:rsidRDefault="00D8141B" w:rsidP="0057644C">
      <w:pPr>
        <w:pStyle w:val="BodyText9"/>
      </w:pPr>
      <w:r w:rsidRPr="00DD67AF">
        <w:t xml:space="preserve">Evaluation of binaural hearing impairment is determined by using the tables in the 1988 NAL publication with allowance for </w:t>
      </w:r>
      <w:r w:rsidR="00802CA9">
        <w:t>presbyacusis</w:t>
      </w:r>
      <w:r w:rsidRPr="00DD67AF">
        <w:t xml:space="preserve"> according to the </w:t>
      </w:r>
      <w:r w:rsidR="00802CA9">
        <w:t>presbyacusis</w:t>
      </w:r>
      <w:r w:rsidRPr="00DD67AF">
        <w:t xml:space="preserve"> correction table, if applicable, in the same publication.</w:t>
      </w:r>
    </w:p>
    <w:p w:rsidR="00D8141B" w:rsidRPr="00B537BF" w:rsidRDefault="00D8141B" w:rsidP="0057644C">
      <w:pPr>
        <w:pStyle w:val="BodyText9"/>
        <w:numPr>
          <w:ilvl w:val="0"/>
          <w:numId w:val="0"/>
        </w:numPr>
        <w:ind w:left="709"/>
        <w:rPr>
          <w:snapToGrid w:val="0"/>
          <w:lang w:val="en-GB"/>
        </w:rPr>
      </w:pPr>
      <w:r w:rsidRPr="00B537BF">
        <w:rPr>
          <w:snapToGrid w:val="0"/>
        </w:rPr>
        <w:t>The binaural tables RB 500-4000 (NAL no 118, pp11-16) are to be used. The extension tables EB 4000-8000 (pp28-30) may be used when the worker has a "special requirement to be able to hear at frequencies above 4000Hz" (NAL report no.118, p6). Where an assessor uses the extension tables, they must provide an explanation of the worker's special requirement to be able to hear at frequencies above 4000Hz. For the purposes of calculating binaural hearing impairment, the better and worse ear may vary as between frequencies</w:t>
      </w:r>
      <w:r w:rsidRPr="00B537BF">
        <w:rPr>
          <w:snapToGrid w:val="0"/>
          <w:lang w:val="en-GB"/>
        </w:rPr>
        <w:t xml:space="preserve">. </w:t>
      </w:r>
    </w:p>
    <w:p w:rsidR="00D8141B" w:rsidRDefault="00D8141B" w:rsidP="0057644C">
      <w:pPr>
        <w:pStyle w:val="BodyText9"/>
        <w:numPr>
          <w:ilvl w:val="0"/>
          <w:numId w:val="0"/>
        </w:numPr>
        <w:spacing w:after="240"/>
        <w:ind w:left="709"/>
        <w:rPr>
          <w:snapToGrid w:val="0"/>
        </w:rPr>
      </w:pPr>
      <w:r w:rsidRPr="00D8141B">
        <w:rPr>
          <w:snapToGrid w:val="0"/>
        </w:rPr>
        <w:t>Where it is necessary to use the monaural tables, the binaural hearing impairment (BHI) is determined by the formula:</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529"/>
        <w:gridCol w:w="1337"/>
      </w:tblGrid>
      <w:tr w:rsidR="00FA33FF" w:rsidRPr="00FA33FF" w:rsidTr="00FA33FF">
        <w:tc>
          <w:tcPr>
            <w:tcW w:w="1525" w:type="dxa"/>
          </w:tcPr>
          <w:p w:rsidR="00FA33FF" w:rsidRPr="00FA33FF" w:rsidRDefault="00FA33FF" w:rsidP="00FA33FF">
            <w:pPr>
              <w:spacing w:after="60" w:line="260" w:lineRule="exact"/>
              <w:jc w:val="center"/>
              <w:rPr>
                <w:rFonts w:cs="Arial"/>
                <w:snapToGrid w:val="0"/>
                <w:sz w:val="22"/>
                <w:szCs w:val="22"/>
                <w:lang w:val="en-GB"/>
              </w:rPr>
            </w:pPr>
            <w:r w:rsidRPr="00FA33FF">
              <w:rPr>
                <w:rFonts w:cs="Arial"/>
                <w:snapToGrid w:val="0"/>
                <w:sz w:val="22"/>
                <w:szCs w:val="22"/>
                <w:lang w:val="en-GB"/>
              </w:rPr>
              <w:t>BHI =</w:t>
            </w:r>
          </w:p>
        </w:tc>
        <w:tc>
          <w:tcPr>
            <w:tcW w:w="5529" w:type="dxa"/>
            <w:tcBorders>
              <w:bottom w:val="single" w:sz="4" w:space="0" w:color="auto"/>
            </w:tcBorders>
          </w:tcPr>
          <w:p w:rsidR="00FA33FF" w:rsidRPr="00FA33FF" w:rsidRDefault="00FA33FF" w:rsidP="00FA33FF">
            <w:pPr>
              <w:spacing w:after="60" w:line="260" w:lineRule="exact"/>
              <w:jc w:val="center"/>
              <w:rPr>
                <w:rFonts w:cs="Arial"/>
                <w:snapToGrid w:val="0"/>
                <w:sz w:val="22"/>
                <w:szCs w:val="22"/>
                <w:lang w:val="en-GB"/>
              </w:rPr>
            </w:pPr>
            <w:r w:rsidRPr="00FA33FF">
              <w:rPr>
                <w:rFonts w:cs="Arial"/>
                <w:snapToGrid w:val="0"/>
                <w:sz w:val="22"/>
                <w:szCs w:val="22"/>
                <w:lang w:val="en-GB"/>
              </w:rPr>
              <w:t>[4 x (better ear hearing loss)] + worse ear hearing loss</w:t>
            </w:r>
          </w:p>
        </w:tc>
        <w:tc>
          <w:tcPr>
            <w:tcW w:w="1337" w:type="dxa"/>
          </w:tcPr>
          <w:p w:rsidR="00FA33FF" w:rsidRPr="00FA33FF" w:rsidRDefault="00FA33FF" w:rsidP="00FA33FF">
            <w:pPr>
              <w:spacing w:after="60" w:line="260" w:lineRule="exact"/>
              <w:rPr>
                <w:rFonts w:cs="Arial"/>
                <w:snapToGrid w:val="0"/>
                <w:sz w:val="22"/>
                <w:szCs w:val="22"/>
                <w:lang w:val="en-GB"/>
              </w:rPr>
            </w:pPr>
          </w:p>
        </w:tc>
      </w:tr>
      <w:tr w:rsidR="00FA33FF" w:rsidRPr="00FA33FF" w:rsidTr="00FA33FF">
        <w:tc>
          <w:tcPr>
            <w:tcW w:w="8391" w:type="dxa"/>
            <w:gridSpan w:val="3"/>
          </w:tcPr>
          <w:p w:rsidR="00FA33FF" w:rsidRPr="00FA33FF" w:rsidRDefault="00FA33FF" w:rsidP="00FA33FF">
            <w:pPr>
              <w:spacing w:before="60" w:line="260" w:lineRule="exact"/>
              <w:jc w:val="center"/>
              <w:rPr>
                <w:rFonts w:cs="Arial"/>
                <w:snapToGrid w:val="0"/>
                <w:sz w:val="22"/>
                <w:szCs w:val="22"/>
                <w:lang w:val="en-GB"/>
              </w:rPr>
            </w:pPr>
            <w:r w:rsidRPr="00FA33FF">
              <w:rPr>
                <w:rFonts w:cs="Arial"/>
                <w:snapToGrid w:val="0"/>
                <w:sz w:val="22"/>
                <w:szCs w:val="22"/>
                <w:lang w:val="en-GB"/>
              </w:rPr>
              <w:t>5</w:t>
            </w:r>
          </w:p>
        </w:tc>
      </w:tr>
    </w:tbl>
    <w:p w:rsidR="00D8141B" w:rsidRPr="00A314EF" w:rsidRDefault="00B72D84" w:rsidP="0057644C">
      <w:pPr>
        <w:pStyle w:val="BodyText9"/>
        <w:spacing w:before="240"/>
      </w:pPr>
      <w:r w:rsidRPr="00A314EF">
        <w:t>Presbyacusis correction (NAL publication, p 24) only applies to occupational hearing loss contracted by gradual process (eg occupational noise induced hearing loss and/or occupational solvent induced hearing loss). Please note when calculating by formula for presbyacusis correction (e.g. when the worker is above 81 years), use the formula at appendix 6 at line 160 (NAL publication, p 26) which uses the correct number of 1.79059. Note: there is a typographical error at Table P on p 25 of the NAL publication, with the number 1.79509 incorrectly used.</w:t>
      </w:r>
    </w:p>
    <w:p w:rsidR="00472F22" w:rsidRPr="00D8141B" w:rsidRDefault="00472F22" w:rsidP="0057644C">
      <w:pPr>
        <w:pStyle w:val="BodyText9"/>
      </w:pPr>
      <w:r w:rsidRPr="00A40F68">
        <w:t>Binaural hearing impairment and severe tinnitus:</w:t>
      </w:r>
      <w:r w:rsidRPr="00D8141B">
        <w:t xml:space="preserve"> Once binaural hearing loss has been assessed at </w:t>
      </w:r>
      <w:r>
        <w:t>a measurable hearing loss</w:t>
      </w:r>
      <w:r w:rsidRPr="00D8141B">
        <w:t xml:space="preserve">, up to 5 percent may be added to the work-related binaural hearing impairment for severe tinnitus caused by a work-related injury: </w:t>
      </w:r>
    </w:p>
    <w:p w:rsidR="00472F22" w:rsidRPr="00D8141B" w:rsidRDefault="00472F22" w:rsidP="0057644C">
      <w:pPr>
        <w:pStyle w:val="Bulletpoint"/>
        <w:tabs>
          <w:tab w:val="left" w:pos="1134"/>
        </w:tabs>
        <w:ind w:left="1134"/>
        <w:rPr>
          <w:lang w:val="en-GB"/>
        </w:rPr>
      </w:pPr>
      <w:r w:rsidRPr="00D8141B">
        <w:rPr>
          <w:lang w:val="en-GB"/>
        </w:rPr>
        <w:t xml:space="preserve">after </w:t>
      </w:r>
      <w:r>
        <w:rPr>
          <w:lang w:val="en-GB"/>
        </w:rPr>
        <w:t>presbyacusis</w:t>
      </w:r>
      <w:r w:rsidRPr="00D8141B">
        <w:rPr>
          <w:lang w:val="en-GB"/>
        </w:rPr>
        <w:t xml:space="preserve"> correction, if applicable</w:t>
      </w:r>
    </w:p>
    <w:p w:rsidR="00472F22" w:rsidRPr="00D8141B" w:rsidRDefault="00472F22" w:rsidP="0057644C">
      <w:pPr>
        <w:pStyle w:val="Bulletpoint"/>
        <w:tabs>
          <w:tab w:val="left" w:pos="1134"/>
        </w:tabs>
        <w:ind w:left="1134"/>
        <w:rPr>
          <w:lang w:val="en-GB"/>
        </w:rPr>
      </w:pPr>
      <w:r w:rsidRPr="00D8141B">
        <w:rPr>
          <w:lang w:val="en-GB"/>
        </w:rPr>
        <w:t>before determining WPI.</w:t>
      </w:r>
    </w:p>
    <w:p w:rsidR="00472F22" w:rsidRPr="00D8141B" w:rsidRDefault="00472F22" w:rsidP="0057644C">
      <w:pPr>
        <w:pStyle w:val="BodyText9"/>
        <w:numPr>
          <w:ilvl w:val="0"/>
          <w:numId w:val="0"/>
        </w:numPr>
        <w:spacing w:before="120"/>
        <w:ind w:left="709"/>
        <w:rPr>
          <w:snapToGrid w:val="0"/>
          <w:lang w:val="en-GB"/>
        </w:rPr>
      </w:pPr>
      <w:r w:rsidRPr="00D8141B">
        <w:rPr>
          <w:snapToGrid w:val="0"/>
        </w:rPr>
        <w:t>Assessment of severe tinnitus is based on a medical specialist's assessment</w:t>
      </w:r>
      <w:r w:rsidRPr="00D8141B">
        <w:rPr>
          <w:snapToGrid w:val="0"/>
          <w:lang w:val="en-GB"/>
        </w:rPr>
        <w:t>.</w:t>
      </w:r>
    </w:p>
    <w:p w:rsidR="00D8141B" w:rsidRPr="00D8141B" w:rsidRDefault="00D8141B" w:rsidP="0057644C">
      <w:pPr>
        <w:pStyle w:val="BodyText9"/>
      </w:pPr>
      <w:r w:rsidRPr="00D8141B">
        <w:t xml:space="preserve">Only hearing ear: A worker has an 'only hearing ear' if he or she has suffered a non-work-related severe or profound sensorineural hearing loss in the other ear. If a worker suffers a work-related injury causing a hearing loss in the only hearing ear of x dBHL at a relevant frequency, the worker's work-related binaural hearing impairment at that frequency is calculated from the binaural tables using x dB as the hearing threshold level in both ears. </w:t>
      </w:r>
      <w:r w:rsidRPr="00D8141B">
        <w:lastRenderedPageBreak/>
        <w:t xml:space="preserve">Deduction for </w:t>
      </w:r>
      <w:r w:rsidR="00084614">
        <w:t>presbyacusis</w:t>
      </w:r>
      <w:r w:rsidRPr="00D8141B">
        <w:t xml:space="preserve"> if applicable and addition for severe tinnitus is undertaken according to the Guidelines.</w:t>
      </w:r>
    </w:p>
    <w:p w:rsidR="00D8141B" w:rsidRPr="00D8141B" w:rsidRDefault="00D8141B" w:rsidP="0057644C">
      <w:pPr>
        <w:pStyle w:val="BodyText9"/>
      </w:pPr>
      <w:r w:rsidRPr="00D8141B">
        <w:t>When necessary, binaural hearing impairment figures should be rounded to the nearest 0.1 per cent. Rounding up should occur if equal to or greater than 0.05 per cent, and rounding down should occur if equal to or less than 0.04 per cent.</w:t>
      </w:r>
    </w:p>
    <w:p w:rsidR="00D8141B" w:rsidRPr="00D8141B" w:rsidRDefault="00D8141B" w:rsidP="0057644C">
      <w:pPr>
        <w:pStyle w:val="BodyText9"/>
      </w:pPr>
      <w:r w:rsidRPr="00D8141B">
        <w:t xml:space="preserve">Table 9.1 is used to convert binaural hearing impairment, after deduction for </w:t>
      </w:r>
      <w:r w:rsidR="00802CA9">
        <w:t>presbyacusis</w:t>
      </w:r>
      <w:r w:rsidRPr="00D8141B">
        <w:t xml:space="preserve"> if applicable and after addition for severe tinnitus, to WPI.</w:t>
      </w:r>
    </w:p>
    <w:p w:rsidR="00D8141B" w:rsidRPr="00D8141B" w:rsidRDefault="00D8141B" w:rsidP="0057644C">
      <w:pPr>
        <w:pStyle w:val="BodyText9"/>
      </w:pPr>
      <w:r w:rsidRPr="00D8141B">
        <w:t xml:space="preserve">The method of subtracting a previous impairment  for </w:t>
      </w:r>
      <w:r w:rsidR="00FA33FF" w:rsidRPr="00D8141B">
        <w:t>noise</w:t>
      </w:r>
      <w:r w:rsidR="00FA33FF">
        <w:t>-</w:t>
      </w:r>
      <w:r w:rsidRPr="00D8141B">
        <w:t>induced hearing loss, where the previous impairment was not assessed in accordance with the Guidelines, is as shown in the following example:</w:t>
      </w:r>
    </w:p>
    <w:p w:rsidR="00D8141B" w:rsidRPr="00D8141B" w:rsidRDefault="00D8141B" w:rsidP="0057644C">
      <w:pPr>
        <w:pStyle w:val="Bulletpoint"/>
        <w:tabs>
          <w:tab w:val="left" w:pos="1134"/>
        </w:tabs>
        <w:ind w:left="1134"/>
        <w:rPr>
          <w:lang w:val="en-US"/>
        </w:rPr>
      </w:pPr>
      <w:r w:rsidRPr="00D8141B">
        <w:rPr>
          <w:lang w:val="en-US"/>
        </w:rPr>
        <w:t>The current level of binaural hearing impairment is established by the relevant specialist.</w:t>
      </w:r>
    </w:p>
    <w:p w:rsidR="00D8141B" w:rsidRPr="00D8141B" w:rsidRDefault="00D8141B" w:rsidP="0057644C">
      <w:pPr>
        <w:pStyle w:val="Bulletpoint"/>
        <w:tabs>
          <w:tab w:val="left" w:pos="1134"/>
        </w:tabs>
        <w:ind w:left="1134"/>
        <w:rPr>
          <w:lang w:val="en-US"/>
        </w:rPr>
      </w:pPr>
      <w:r w:rsidRPr="00D8141B">
        <w:rPr>
          <w:lang w:val="en-US"/>
        </w:rPr>
        <w:t xml:space="preserve">Convert this to WPI from </w:t>
      </w:r>
      <w:r w:rsidR="00FA33FF">
        <w:rPr>
          <w:lang w:val="en-US"/>
        </w:rPr>
        <w:t>T</w:t>
      </w:r>
      <w:r w:rsidR="00FA33FF" w:rsidRPr="00D8141B">
        <w:rPr>
          <w:lang w:val="en-US"/>
        </w:rPr>
        <w:t xml:space="preserve">able </w:t>
      </w:r>
      <w:r w:rsidRPr="00D8141B">
        <w:rPr>
          <w:lang w:val="en-US"/>
        </w:rPr>
        <w:t>9.1 in the Guidelines.</w:t>
      </w:r>
    </w:p>
    <w:p w:rsidR="00D8141B" w:rsidRPr="00D8141B" w:rsidRDefault="00D8141B" w:rsidP="0057644C">
      <w:pPr>
        <w:pStyle w:val="Bulletpoint"/>
        <w:tabs>
          <w:tab w:val="left" w:pos="1134"/>
        </w:tabs>
        <w:ind w:left="1134"/>
        <w:rPr>
          <w:lang w:val="en-US"/>
        </w:rPr>
      </w:pPr>
      <w:r w:rsidRPr="00D8141B">
        <w:rPr>
          <w:lang w:val="en-US"/>
        </w:rPr>
        <w:t>Calculate the proportion of the current binaural hearing impairment that was accounted for by the earlier assessment and express it as a percentage of the current hearing impairment.</w:t>
      </w:r>
    </w:p>
    <w:p w:rsidR="00D8141B" w:rsidRPr="00D8141B" w:rsidRDefault="00D8141B" w:rsidP="0057644C">
      <w:pPr>
        <w:pStyle w:val="Bulletpoint"/>
        <w:tabs>
          <w:tab w:val="left" w:pos="1134"/>
        </w:tabs>
        <w:ind w:left="1134"/>
        <w:rPr>
          <w:lang w:val="en-US"/>
        </w:rPr>
      </w:pPr>
      <w:r w:rsidRPr="00D8141B">
        <w:rPr>
          <w:lang w:val="en-US"/>
        </w:rPr>
        <w:t>The percentage of current hearing impairment that remains is the amount to be compensated.</w:t>
      </w:r>
    </w:p>
    <w:p w:rsidR="00D8141B" w:rsidRPr="00D8141B" w:rsidRDefault="00D8141B" w:rsidP="0057644C">
      <w:pPr>
        <w:pStyle w:val="Bulletpoint"/>
        <w:tabs>
          <w:tab w:val="left" w:pos="1134"/>
        </w:tabs>
        <w:ind w:left="1134"/>
        <w:rPr>
          <w:lang w:val="en-US"/>
        </w:rPr>
      </w:pPr>
      <w:r w:rsidRPr="00D8141B">
        <w:rPr>
          <w:lang w:val="en-US"/>
        </w:rPr>
        <w:t>This needs to be expressed in terms of WPI for calculation of compensation entitlement.</w:t>
      </w:r>
    </w:p>
    <w:p w:rsidR="00D8141B" w:rsidRPr="0057644C" w:rsidRDefault="00D8141B" w:rsidP="0057644C">
      <w:pPr>
        <w:pStyle w:val="BodyText9"/>
        <w:numPr>
          <w:ilvl w:val="0"/>
          <w:numId w:val="0"/>
        </w:numPr>
        <w:ind w:left="709" w:hanging="709"/>
        <w:rPr>
          <w:b/>
        </w:rPr>
      </w:pPr>
      <w:r w:rsidRPr="0057644C">
        <w:rPr>
          <w:b/>
        </w:rPr>
        <w:t>Example:</w:t>
      </w:r>
    </w:p>
    <w:p w:rsidR="00D8141B" w:rsidRPr="00D8141B" w:rsidRDefault="00D8141B" w:rsidP="0057644C">
      <w:pPr>
        <w:pStyle w:val="Bulletpoint"/>
        <w:tabs>
          <w:tab w:val="left" w:pos="1134"/>
        </w:tabs>
        <w:ind w:left="1134" w:hanging="425"/>
        <w:rPr>
          <w:lang w:val="en-US"/>
        </w:rPr>
      </w:pPr>
      <w:r w:rsidRPr="00D8141B">
        <w:rPr>
          <w:lang w:val="en-US"/>
        </w:rPr>
        <w:t xml:space="preserve">The current binaural hearing loss is eight per cent. </w:t>
      </w:r>
    </w:p>
    <w:p w:rsidR="00D8141B" w:rsidRPr="00D8141B" w:rsidRDefault="00FA33FF" w:rsidP="0057644C">
      <w:pPr>
        <w:pStyle w:val="Bulletpoint"/>
        <w:tabs>
          <w:tab w:val="left" w:pos="1134"/>
        </w:tabs>
        <w:ind w:left="1134" w:hanging="425"/>
        <w:rPr>
          <w:lang w:val="en-US"/>
        </w:rPr>
      </w:pPr>
      <w:r>
        <w:rPr>
          <w:lang w:val="en-US"/>
        </w:rPr>
        <w:t>The</w:t>
      </w:r>
      <w:r w:rsidR="00D8141B" w:rsidRPr="00D8141B">
        <w:rPr>
          <w:lang w:val="en-US"/>
        </w:rPr>
        <w:t xml:space="preserve"> WPI is four per cent. </w:t>
      </w:r>
    </w:p>
    <w:p w:rsidR="00D8141B" w:rsidRPr="00D8141B" w:rsidRDefault="00D8141B" w:rsidP="0057644C">
      <w:pPr>
        <w:pStyle w:val="Bulletpoint"/>
        <w:tabs>
          <w:tab w:val="left" w:pos="1134"/>
        </w:tabs>
        <w:ind w:left="1134" w:hanging="425"/>
        <w:rPr>
          <w:lang w:val="en-US"/>
        </w:rPr>
      </w:pPr>
      <w:r w:rsidRPr="00D8141B">
        <w:rPr>
          <w:lang w:val="en-US"/>
        </w:rPr>
        <w:t>The binaural hearing impairment for which compensation was paid previously is six per cent</w:t>
      </w:r>
      <w:r w:rsidR="00FA33FF">
        <w:rPr>
          <w:lang w:val="en-US"/>
        </w:rPr>
        <w:t>,</w:t>
      </w:r>
      <w:r w:rsidRPr="00D8141B">
        <w:rPr>
          <w:lang w:val="en-US"/>
        </w:rPr>
        <w:t xml:space="preserve"> which is 75 per cent of the current </w:t>
      </w:r>
      <w:r w:rsidR="00FA33FF">
        <w:rPr>
          <w:lang w:val="en-US"/>
        </w:rPr>
        <w:t xml:space="preserve">binaural </w:t>
      </w:r>
      <w:r w:rsidRPr="00D8141B">
        <w:rPr>
          <w:lang w:val="en-US"/>
        </w:rPr>
        <w:t>hearing impairment of eight per cent.</w:t>
      </w:r>
    </w:p>
    <w:p w:rsidR="00D8141B" w:rsidRPr="00D8141B" w:rsidRDefault="00D8141B" w:rsidP="0057644C">
      <w:pPr>
        <w:pStyle w:val="Bulletpoint"/>
        <w:tabs>
          <w:tab w:val="left" w:pos="1134"/>
        </w:tabs>
        <w:ind w:left="1134" w:hanging="425"/>
        <w:rPr>
          <w:lang w:val="en-US"/>
        </w:rPr>
      </w:pPr>
      <w:r w:rsidRPr="00D8141B">
        <w:rPr>
          <w:lang w:val="en-US"/>
        </w:rPr>
        <w:t xml:space="preserve">The remaining percentage, 25 per cent, is the percentage of WPI to be compensated. </w:t>
      </w:r>
    </w:p>
    <w:p w:rsidR="00D8141B" w:rsidRPr="00D8141B" w:rsidRDefault="00D8141B" w:rsidP="0057644C">
      <w:pPr>
        <w:pStyle w:val="Bulletpoint"/>
        <w:keepNext w:val="0"/>
        <w:tabs>
          <w:tab w:val="left" w:pos="1134"/>
        </w:tabs>
        <w:ind w:left="1134" w:hanging="425"/>
        <w:rPr>
          <w:lang w:val="en-US"/>
        </w:rPr>
      </w:pPr>
      <w:r w:rsidRPr="00D8141B">
        <w:rPr>
          <w:lang w:val="en-US"/>
        </w:rPr>
        <w:t>25 percent of the WPI of four per cent is one per cent</w:t>
      </w:r>
      <w:r w:rsidR="00FA33FF">
        <w:rPr>
          <w:lang w:val="en-US"/>
        </w:rPr>
        <w:t xml:space="preserve"> WPI</w:t>
      </w:r>
      <w:r w:rsidRPr="00D8141B">
        <w:rPr>
          <w:lang w:val="en-US"/>
        </w:rPr>
        <w:t xml:space="preserve">. </w:t>
      </w:r>
    </w:p>
    <w:p w:rsidR="00D8141B" w:rsidRPr="00564D1A" w:rsidRDefault="00D8141B" w:rsidP="0057644C">
      <w:pPr>
        <w:keepNext/>
        <w:spacing w:before="240" w:after="120" w:line="240" w:lineRule="auto"/>
        <w:outlineLvl w:val="3"/>
        <w:rPr>
          <w:rFonts w:eastAsia="Times New Roman" w:cs="Arial"/>
          <w:b/>
          <w:bCs/>
          <w:snapToGrid w:val="0"/>
          <w:sz w:val="24"/>
          <w:szCs w:val="24"/>
        </w:rPr>
      </w:pPr>
      <w:bookmarkStart w:id="182" w:name="_Toc144874691"/>
      <w:bookmarkStart w:id="183" w:name="_Toc144875279"/>
      <w:r w:rsidRPr="00564D1A">
        <w:rPr>
          <w:rFonts w:eastAsia="Times New Roman" w:cs="Arial"/>
          <w:b/>
          <w:bCs/>
          <w:sz w:val="24"/>
          <w:szCs w:val="24"/>
          <w:lang w:val="en-GB"/>
        </w:rPr>
        <w:lastRenderedPageBreak/>
        <w:t xml:space="preserve">Table 9.1: </w:t>
      </w:r>
      <w:r w:rsidRPr="00564D1A">
        <w:rPr>
          <w:rFonts w:eastAsia="Times New Roman" w:cs="Arial"/>
          <w:b/>
          <w:bCs/>
          <w:snapToGrid w:val="0"/>
          <w:sz w:val="24"/>
          <w:szCs w:val="24"/>
        </w:rPr>
        <w:t>Relationship of binaural hearing impairment to whole person impairment</w:t>
      </w:r>
      <w:bookmarkEnd w:id="182"/>
      <w:bookmarkEnd w:id="183"/>
    </w:p>
    <w:tbl>
      <w:tblPr>
        <w:tblW w:w="0" w:type="auto"/>
        <w:tblInd w:w="704" w:type="dxa"/>
        <w:tblLayout w:type="fixed"/>
        <w:tblCellMar>
          <w:left w:w="0" w:type="dxa"/>
          <w:right w:w="0" w:type="dxa"/>
        </w:tblCellMar>
        <w:tblLook w:val="0000" w:firstRow="0" w:lastRow="0" w:firstColumn="0" w:lastColumn="0" w:noHBand="0" w:noVBand="0"/>
      </w:tblPr>
      <w:tblGrid>
        <w:gridCol w:w="1276"/>
        <w:gridCol w:w="140"/>
        <w:gridCol w:w="768"/>
        <w:gridCol w:w="1785"/>
        <w:gridCol w:w="1134"/>
        <w:gridCol w:w="1276"/>
        <w:gridCol w:w="1701"/>
      </w:tblGrid>
      <w:tr w:rsidR="00D8141B" w:rsidRPr="00D8141B" w:rsidTr="00F329EB">
        <w:trPr>
          <w:trHeight w:val="528"/>
        </w:trPr>
        <w:tc>
          <w:tcPr>
            <w:tcW w:w="2184" w:type="dxa"/>
            <w:gridSpan w:val="3"/>
            <w:tcBorders>
              <w:top w:val="single" w:sz="4" w:space="0" w:color="auto"/>
              <w:left w:val="single" w:sz="4" w:space="0" w:color="auto"/>
              <w:bottom w:val="single" w:sz="4" w:space="0" w:color="auto"/>
              <w:right w:val="single" w:sz="4" w:space="0" w:color="auto"/>
            </w:tcBorders>
            <w:shd w:val="pct10" w:color="auto" w:fill="auto"/>
            <w:vAlign w:val="center"/>
          </w:tcPr>
          <w:p w:rsidR="00D8141B" w:rsidRPr="00D8141B" w:rsidRDefault="00D8141B" w:rsidP="00F329EB">
            <w:pPr>
              <w:keepNext/>
              <w:keepLines/>
              <w:widowControl w:val="0"/>
              <w:suppressAutoHyphens/>
              <w:spacing w:before="80" w:after="8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 Binaural hearing impairment</w:t>
            </w:r>
          </w:p>
        </w:tc>
        <w:tc>
          <w:tcPr>
            <w:tcW w:w="1785"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D8141B" w:rsidRDefault="00D8141B" w:rsidP="00F329EB">
            <w:pPr>
              <w:keepNext/>
              <w:keepLines/>
              <w:widowControl w:val="0"/>
              <w:suppressAutoHyphens/>
              <w:spacing w:before="80" w:after="8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 Whole person impairment</w:t>
            </w:r>
          </w:p>
        </w:tc>
        <w:tc>
          <w:tcPr>
            <w:tcW w:w="241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D8141B" w:rsidRPr="00D8141B" w:rsidRDefault="00D8141B" w:rsidP="00F329EB">
            <w:pPr>
              <w:keepNext/>
              <w:keepLines/>
              <w:widowControl w:val="0"/>
              <w:suppressAutoHyphens/>
              <w:spacing w:before="80" w:after="8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 Binaural hearing impairment</w:t>
            </w:r>
          </w:p>
        </w:tc>
        <w:tc>
          <w:tcPr>
            <w:tcW w:w="1701"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D8141B" w:rsidRDefault="00D8141B" w:rsidP="00F329EB">
            <w:pPr>
              <w:keepNext/>
              <w:keepLines/>
              <w:widowControl w:val="0"/>
              <w:suppressAutoHyphens/>
              <w:spacing w:before="80" w:after="80" w:line="240" w:lineRule="auto"/>
              <w:ind w:left="-62"/>
              <w:jc w:val="center"/>
              <w:rPr>
                <w:rFonts w:eastAsia="Times New Roman" w:cs="Arial"/>
                <w:b/>
                <w:bCs/>
                <w:snapToGrid w:val="0"/>
                <w:sz w:val="20"/>
                <w:szCs w:val="20"/>
                <w:lang w:val="en-GB"/>
              </w:rPr>
            </w:pPr>
            <w:r w:rsidRPr="00D8141B">
              <w:rPr>
                <w:rFonts w:eastAsia="Times New Roman" w:cs="Arial"/>
                <w:b/>
                <w:bCs/>
                <w:snapToGrid w:val="0"/>
                <w:sz w:val="20"/>
                <w:szCs w:val="20"/>
                <w:lang w:val="en-GB"/>
              </w:rPr>
              <w:t>% Whole person impairment</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0.0</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5.9</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0</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51.1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–53.0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26</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53.1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–55.0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27</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6.0</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6.7</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55.1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–57.0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28</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6.8</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8.7</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57.1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–59.0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29</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8.8</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10.6</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5</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59.1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–61.0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30</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10.7</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12.5</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6</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61.1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–63.0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31</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12.6</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14.4</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7</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63.1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–65.0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32</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14.5</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16.3</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8</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65.1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–67.0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33</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16.4</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18.3</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9</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67.1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–69.0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34</w:t>
            </w:r>
          </w:p>
        </w:tc>
      </w:tr>
      <w:tr w:rsidR="00D8141B" w:rsidRPr="00621229" w:rsidTr="00F329EB">
        <w:trPr>
          <w:trHeight w:val="249"/>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18.4</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20.4</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10</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69.1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–71.0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35</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20.5</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22.7</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11</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71.1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–73.0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36</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22.8</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25.0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12</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73.1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–75.0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37</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25.1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27.0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13</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75.1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–77.0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38</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27.1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29.0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14</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77.1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–79.0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39</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29.1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31.0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15</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79.1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–81.0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40</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31.1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33.0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16</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81.1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–83.0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41</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33.1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35.0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17</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83.1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–85.0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42</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35.1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37.0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18</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85.1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–87.0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43</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37.1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39.0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19</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87.1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–89.0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44</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39.1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41.0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20</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89.1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–91.0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45</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41.1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43.0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21</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91.1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–93.0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46</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43.1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45.0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22</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93.1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–95.0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47</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45.1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47.0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23</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95.1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–97.0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48</w:t>
            </w:r>
          </w:p>
        </w:tc>
      </w:tr>
      <w:tr w:rsidR="00D8141B" w:rsidRPr="00621229" w:rsidTr="00F329EB">
        <w:trPr>
          <w:trHeight w:val="247"/>
        </w:trPr>
        <w:tc>
          <w:tcPr>
            <w:tcW w:w="1276" w:type="dxa"/>
            <w:tcBorders>
              <w:lef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47.1</w:t>
            </w:r>
          </w:p>
        </w:tc>
        <w:tc>
          <w:tcPr>
            <w:tcW w:w="140" w:type="dxa"/>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49.0</w:t>
            </w:r>
          </w:p>
        </w:tc>
        <w:tc>
          <w:tcPr>
            <w:tcW w:w="1785"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24</w:t>
            </w:r>
          </w:p>
        </w:tc>
        <w:tc>
          <w:tcPr>
            <w:tcW w:w="1134" w:type="dxa"/>
            <w:tcBorders>
              <w:lef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97.1</w:t>
            </w:r>
          </w:p>
        </w:tc>
        <w:tc>
          <w:tcPr>
            <w:tcW w:w="1276" w:type="dxa"/>
            <w:tcBorders>
              <w:right w:val="single" w:sz="4" w:space="0" w:color="auto"/>
            </w:tcBorders>
            <w:vAlign w:val="center"/>
          </w:tcPr>
          <w:p w:rsidR="00D8141B" w:rsidRPr="00621229" w:rsidRDefault="00D8141B" w:rsidP="00621229">
            <w:pPr>
              <w:keepNext/>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–99.0</w:t>
            </w:r>
          </w:p>
        </w:tc>
        <w:tc>
          <w:tcPr>
            <w:tcW w:w="1701" w:type="dxa"/>
            <w:tcBorders>
              <w:left w:val="single" w:sz="4" w:space="0" w:color="auto"/>
              <w:right w:val="single" w:sz="4" w:space="0" w:color="auto"/>
            </w:tcBorders>
          </w:tcPr>
          <w:p w:rsidR="00D8141B" w:rsidRPr="00621229" w:rsidRDefault="00D8141B" w:rsidP="00621229">
            <w:pPr>
              <w:keepNext/>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49</w:t>
            </w:r>
          </w:p>
        </w:tc>
      </w:tr>
      <w:tr w:rsidR="00D8141B" w:rsidRPr="00621229" w:rsidTr="00F329EB">
        <w:trPr>
          <w:trHeight w:val="247"/>
        </w:trPr>
        <w:tc>
          <w:tcPr>
            <w:tcW w:w="1276" w:type="dxa"/>
            <w:tcBorders>
              <w:left w:val="single" w:sz="4" w:space="0" w:color="auto"/>
              <w:bottom w:val="single" w:sz="4" w:space="0" w:color="auto"/>
            </w:tcBorders>
          </w:tcPr>
          <w:p w:rsidR="00D8141B" w:rsidRPr="00621229" w:rsidRDefault="00D8141B" w:rsidP="00621229">
            <w:pPr>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49.1</w:t>
            </w:r>
          </w:p>
        </w:tc>
        <w:tc>
          <w:tcPr>
            <w:tcW w:w="140" w:type="dxa"/>
            <w:tcBorders>
              <w:bottom w:val="single" w:sz="4" w:space="0" w:color="auto"/>
            </w:tcBorders>
            <w:vAlign w:val="center"/>
          </w:tcPr>
          <w:p w:rsidR="00D8141B" w:rsidRPr="00621229" w:rsidRDefault="00D8141B" w:rsidP="00621229">
            <w:pPr>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c>
          <w:tcPr>
            <w:tcW w:w="768" w:type="dxa"/>
            <w:tcBorders>
              <w:bottom w:val="single" w:sz="4" w:space="0" w:color="auto"/>
              <w:right w:val="single" w:sz="4" w:space="0" w:color="auto"/>
            </w:tcBorders>
          </w:tcPr>
          <w:p w:rsidR="00D8141B" w:rsidRPr="00621229" w:rsidRDefault="00D8141B" w:rsidP="00621229">
            <w:pPr>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51.0</w:t>
            </w:r>
          </w:p>
        </w:tc>
        <w:tc>
          <w:tcPr>
            <w:tcW w:w="1785" w:type="dxa"/>
            <w:tcBorders>
              <w:left w:val="single" w:sz="4" w:space="0" w:color="auto"/>
              <w:bottom w:val="single" w:sz="4" w:space="0" w:color="auto"/>
              <w:right w:val="single" w:sz="4" w:space="0" w:color="auto"/>
            </w:tcBorders>
          </w:tcPr>
          <w:p w:rsidR="00D8141B" w:rsidRPr="00621229" w:rsidRDefault="00D8141B" w:rsidP="00621229">
            <w:pPr>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25</w:t>
            </w:r>
          </w:p>
        </w:tc>
        <w:tc>
          <w:tcPr>
            <w:tcW w:w="1134" w:type="dxa"/>
            <w:tcBorders>
              <w:left w:val="single" w:sz="4" w:space="0" w:color="auto"/>
              <w:bottom w:val="single" w:sz="4" w:space="0" w:color="auto"/>
            </w:tcBorders>
            <w:vAlign w:val="center"/>
          </w:tcPr>
          <w:p w:rsidR="00D8141B" w:rsidRPr="00621229" w:rsidRDefault="00D8141B" w:rsidP="00621229">
            <w:pPr>
              <w:keepLines/>
              <w:widowControl w:val="0"/>
              <w:tabs>
                <w:tab w:val="num" w:pos="480"/>
              </w:tabs>
              <w:suppressAutoHyphens/>
              <w:spacing w:before="20" w:after="20" w:line="240" w:lineRule="auto"/>
              <w:ind w:left="851" w:hanging="851"/>
              <w:jc w:val="right"/>
              <w:rPr>
                <w:rFonts w:eastAsia="Times New Roman" w:cs="Arial"/>
                <w:snapToGrid w:val="0"/>
                <w:sz w:val="20"/>
                <w:szCs w:val="20"/>
                <w:lang w:val="en-GB"/>
              </w:rPr>
            </w:pPr>
            <w:r w:rsidRPr="00621229">
              <w:rPr>
                <w:rFonts w:eastAsia="Times New Roman" w:cs="Arial"/>
                <w:snapToGrid w:val="0"/>
                <w:sz w:val="20"/>
                <w:szCs w:val="20"/>
                <w:lang w:val="en-GB"/>
              </w:rPr>
              <w:t>99.1</w:t>
            </w:r>
          </w:p>
        </w:tc>
        <w:tc>
          <w:tcPr>
            <w:tcW w:w="1276" w:type="dxa"/>
            <w:tcBorders>
              <w:bottom w:val="single" w:sz="4" w:space="0" w:color="auto"/>
              <w:right w:val="single" w:sz="4" w:space="0" w:color="auto"/>
            </w:tcBorders>
            <w:vAlign w:val="center"/>
          </w:tcPr>
          <w:p w:rsidR="00D8141B" w:rsidRPr="00621229" w:rsidRDefault="00D8141B" w:rsidP="00621229">
            <w:pPr>
              <w:keepLines/>
              <w:widowControl w:val="0"/>
              <w:tabs>
                <w:tab w:val="num" w:pos="480"/>
              </w:tabs>
              <w:suppressAutoHyphen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–100</w:t>
            </w:r>
          </w:p>
        </w:tc>
        <w:tc>
          <w:tcPr>
            <w:tcW w:w="1701" w:type="dxa"/>
            <w:tcBorders>
              <w:left w:val="single" w:sz="4" w:space="0" w:color="auto"/>
              <w:bottom w:val="single" w:sz="4" w:space="0" w:color="auto"/>
              <w:right w:val="single" w:sz="4" w:space="0" w:color="auto"/>
            </w:tcBorders>
          </w:tcPr>
          <w:p w:rsidR="00D8141B" w:rsidRPr="00621229" w:rsidRDefault="00D8141B" w:rsidP="00621229">
            <w:pPr>
              <w:keepLines/>
              <w:widowControl w:val="0"/>
              <w:tabs>
                <w:tab w:val="num" w:pos="480"/>
              </w:tabs>
              <w:suppressAutoHyphen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50</w:t>
            </w:r>
          </w:p>
        </w:tc>
      </w:tr>
    </w:tbl>
    <w:p w:rsidR="00D8141B" w:rsidRPr="00D8141B" w:rsidRDefault="00D8141B" w:rsidP="00F329EB">
      <w:pPr>
        <w:pStyle w:val="BodyText9"/>
        <w:spacing w:before="240"/>
        <w:rPr>
          <w:b/>
        </w:rPr>
      </w:pPr>
      <w:r w:rsidRPr="00D8141B">
        <w:t>AMA5 examples 11.1, 11.2, 11.3 (pp 250-251) are replaced by Example 9.1-9.7, below, which were developed by the working party.</w:t>
      </w:r>
    </w:p>
    <w:p w:rsidR="00D8141B" w:rsidRPr="00564D1A" w:rsidRDefault="00D8141B" w:rsidP="00621229">
      <w:pPr>
        <w:keepNext/>
        <w:spacing w:before="240" w:after="120" w:line="240" w:lineRule="auto"/>
        <w:jc w:val="center"/>
        <w:rPr>
          <w:rFonts w:eastAsia="Times New Roman" w:cs="Times New Roman"/>
          <w:b/>
          <w:bCs/>
          <w:sz w:val="24"/>
          <w:szCs w:val="24"/>
          <w:lang w:val="en-US"/>
        </w:rPr>
      </w:pPr>
      <w:r w:rsidRPr="00564D1A">
        <w:rPr>
          <w:rFonts w:eastAsia="Times New Roman" w:cs="Times New Roman"/>
          <w:b/>
          <w:bCs/>
          <w:sz w:val="24"/>
          <w:szCs w:val="24"/>
          <w:lang w:val="en-US"/>
        </w:rPr>
        <w:t>Table 9.2: Medical assessment elements in examples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9"/>
        <w:gridCol w:w="1843"/>
      </w:tblGrid>
      <w:tr w:rsidR="00D8141B" w:rsidRPr="00621229" w:rsidTr="003F702E">
        <w:trPr>
          <w:jc w:val="center"/>
        </w:trPr>
        <w:tc>
          <w:tcPr>
            <w:tcW w:w="4019" w:type="dxa"/>
            <w:shd w:val="pct10" w:color="auto" w:fill="auto"/>
          </w:tcPr>
          <w:p w:rsidR="00D8141B" w:rsidRPr="00621229" w:rsidRDefault="00D8141B" w:rsidP="00621229">
            <w:pPr>
              <w:keepNext/>
              <w:keepLines/>
              <w:widowControl w:val="0"/>
              <w:tabs>
                <w:tab w:val="num" w:pos="480"/>
              </w:tabs>
              <w:spacing w:before="20" w:after="20" w:line="240" w:lineRule="auto"/>
              <w:ind w:left="851" w:hanging="851"/>
              <w:rPr>
                <w:rFonts w:eastAsia="Times New Roman" w:cs="Arial"/>
                <w:b/>
                <w:bCs/>
                <w:snapToGrid w:val="0"/>
                <w:sz w:val="20"/>
                <w:szCs w:val="20"/>
                <w:lang w:val="en-GB"/>
              </w:rPr>
            </w:pPr>
            <w:r w:rsidRPr="00621229">
              <w:rPr>
                <w:rFonts w:eastAsia="Times New Roman" w:cs="Arial"/>
                <w:b/>
                <w:bCs/>
                <w:snapToGrid w:val="0"/>
                <w:sz w:val="20"/>
                <w:szCs w:val="20"/>
                <w:lang w:val="en-GB"/>
              </w:rPr>
              <w:t>Element</w:t>
            </w:r>
          </w:p>
        </w:tc>
        <w:tc>
          <w:tcPr>
            <w:tcW w:w="1843" w:type="dxa"/>
            <w:shd w:val="pct10" w:color="auto" w:fill="auto"/>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b/>
                <w:bCs/>
                <w:snapToGrid w:val="0"/>
                <w:sz w:val="20"/>
                <w:szCs w:val="20"/>
                <w:lang w:val="en-GB"/>
              </w:rPr>
            </w:pPr>
            <w:r w:rsidRPr="00621229">
              <w:rPr>
                <w:rFonts w:eastAsia="Times New Roman" w:cs="Arial"/>
                <w:b/>
                <w:bCs/>
                <w:snapToGrid w:val="0"/>
                <w:sz w:val="20"/>
                <w:szCs w:val="20"/>
                <w:lang w:val="en-GB"/>
              </w:rPr>
              <w:t>Example No.</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General use of binaural table — NAL 1988</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1,2</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“Better ear”–“worse ear” crossover</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1,2</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Assessable audiometric frequencies</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7 — also 1,2,4,5,6</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Tinnitus</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1,2,3,4</w:t>
            </w:r>
          </w:p>
        </w:tc>
      </w:tr>
      <w:tr w:rsidR="00D8141B" w:rsidRPr="00621229" w:rsidTr="003F702E">
        <w:trPr>
          <w:jc w:val="center"/>
        </w:trPr>
        <w:tc>
          <w:tcPr>
            <w:tcW w:w="4019" w:type="dxa"/>
          </w:tcPr>
          <w:p w:rsidR="00D8141B" w:rsidRPr="00621229" w:rsidRDefault="00802CA9"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Presbyacusis</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All examples</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Binaural hearing impairment</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All examples</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Conversion to WPI</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All examples</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Gradual process injury</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3</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Noise-induced hearing loss</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1,2,3,5,6,7</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Solvent-induced hearing loss</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3</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Acute occupational hearing loss</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4,5</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Acute acoustic trauma</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5</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Pre-existing non-occupational hearing loss</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6</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Only hearing ear</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6</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NAL 1988 Extension Table Use</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7</w:t>
            </w:r>
          </w:p>
        </w:tc>
      </w:tr>
      <w:tr w:rsidR="00D8141B" w:rsidRPr="00621229" w:rsidTr="003F702E">
        <w:trPr>
          <w:jc w:val="center"/>
        </w:trPr>
        <w:tc>
          <w:tcPr>
            <w:tcW w:w="4019" w:type="dxa"/>
          </w:tcPr>
          <w:p w:rsidR="00D8141B" w:rsidRPr="00621229" w:rsidRDefault="00D8141B" w:rsidP="00621229">
            <w:pPr>
              <w:keepNext/>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Multiple Causes of Hearing Loss</w:t>
            </w:r>
          </w:p>
        </w:tc>
        <w:tc>
          <w:tcPr>
            <w:tcW w:w="1843" w:type="dxa"/>
          </w:tcPr>
          <w:p w:rsidR="00D8141B" w:rsidRPr="00621229" w:rsidRDefault="00D8141B" w:rsidP="00621229">
            <w:pPr>
              <w:keepNext/>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3,5,6</w:t>
            </w:r>
          </w:p>
        </w:tc>
      </w:tr>
      <w:tr w:rsidR="00D8141B" w:rsidRPr="00621229" w:rsidTr="003F702E">
        <w:trPr>
          <w:jc w:val="center"/>
        </w:trPr>
        <w:tc>
          <w:tcPr>
            <w:tcW w:w="4019" w:type="dxa"/>
          </w:tcPr>
          <w:p w:rsidR="00D8141B" w:rsidRPr="00621229" w:rsidRDefault="00D8141B" w:rsidP="00621229">
            <w:pPr>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Head injury</w:t>
            </w:r>
          </w:p>
        </w:tc>
        <w:tc>
          <w:tcPr>
            <w:tcW w:w="1843" w:type="dxa"/>
          </w:tcPr>
          <w:p w:rsidR="00D8141B" w:rsidRPr="00621229" w:rsidRDefault="00D8141B" w:rsidP="00621229">
            <w:pPr>
              <w:keepLines/>
              <w:widowControl w:val="0"/>
              <w:spacing w:before="20" w:after="20" w:line="240" w:lineRule="auto"/>
              <w:jc w:val="center"/>
              <w:rPr>
                <w:rFonts w:eastAsia="Times New Roman" w:cs="Arial"/>
                <w:snapToGrid w:val="0"/>
                <w:sz w:val="20"/>
                <w:szCs w:val="20"/>
                <w:lang w:val="en-GB"/>
              </w:rPr>
            </w:pPr>
            <w:r w:rsidRPr="00621229">
              <w:rPr>
                <w:rFonts w:eastAsia="Times New Roman" w:cs="Arial"/>
                <w:snapToGrid w:val="0"/>
                <w:sz w:val="20"/>
                <w:szCs w:val="20"/>
                <w:lang w:val="en-GB"/>
              </w:rPr>
              <w:t>4</w:t>
            </w:r>
          </w:p>
        </w:tc>
      </w:tr>
    </w:tbl>
    <w:p w:rsidR="00D8141B" w:rsidRPr="00D8141B" w:rsidRDefault="00D8141B" w:rsidP="0057644C">
      <w:pPr>
        <w:pStyle w:val="Heading3"/>
      </w:pPr>
      <w:bookmarkStart w:id="184" w:name="_Toc144874693"/>
      <w:bookmarkStart w:id="185" w:name="_Toc144875281"/>
      <w:r w:rsidRPr="00D8141B">
        <w:lastRenderedPageBreak/>
        <w:t>Example 9.1:</w:t>
      </w:r>
      <w:r w:rsidR="00621229">
        <w:t xml:space="preserve"> </w:t>
      </w:r>
      <w:r w:rsidRPr="00D8141B">
        <w:t>Occupational noise-induced hearing loss and severe tinnitus</w:t>
      </w:r>
      <w:bookmarkEnd w:id="184"/>
      <w:bookmarkEnd w:id="185"/>
    </w:p>
    <w:p w:rsidR="00D8141B" w:rsidRPr="00D8141B" w:rsidRDefault="00D8141B" w:rsidP="00621229">
      <w:pPr>
        <w:pStyle w:val="BodyText9"/>
        <w:numPr>
          <w:ilvl w:val="0"/>
          <w:numId w:val="0"/>
        </w:numPr>
        <w:ind w:left="709"/>
      </w:pPr>
      <w:r w:rsidRPr="00D8141B">
        <w:t xml:space="preserve">A 55-year-old man, a boilermaker for 30 years, gave a history of progressive hearing loss and tinnitus. The assessing medical specialist has assessed the tinnitus as severe. The external auditory canals and tympanic membranes were normal. Rinne test was positive bilaterally and the Weber test result was central. Clinical assessment of hearing was consistent with results of pure tone audiometry, which showed a bilateral sensorineural hearing loss. The medical specialist diagnosed noise induced hearing loss. </w:t>
      </w:r>
    </w:p>
    <w:p w:rsidR="00D8141B" w:rsidRPr="0057644C" w:rsidRDefault="00D8141B" w:rsidP="0057644C">
      <w:pPr>
        <w:keepNext/>
        <w:tabs>
          <w:tab w:val="num" w:pos="480"/>
          <w:tab w:val="left" w:pos="720"/>
        </w:tabs>
        <w:spacing w:before="240" w:after="120" w:line="240" w:lineRule="auto"/>
        <w:ind w:left="851" w:hanging="851"/>
        <w:jc w:val="center"/>
        <w:outlineLvl w:val="3"/>
        <w:rPr>
          <w:rFonts w:eastAsia="Times New Roman" w:cs="Arial"/>
          <w:b/>
          <w:bCs/>
          <w:sz w:val="24"/>
          <w:szCs w:val="24"/>
          <w:lang w:val="en-GB"/>
        </w:rPr>
      </w:pPr>
      <w:bookmarkStart w:id="186" w:name="_Toc144874694"/>
      <w:bookmarkStart w:id="187" w:name="_Toc144875282"/>
      <w:r w:rsidRPr="0057644C">
        <w:rPr>
          <w:rFonts w:eastAsia="Times New Roman" w:cs="Arial"/>
          <w:b/>
          <w:bCs/>
          <w:sz w:val="24"/>
          <w:szCs w:val="24"/>
          <w:lang w:val="en-GB"/>
        </w:rPr>
        <w:t>Pure tone audiometry</w:t>
      </w:r>
      <w:bookmarkEnd w:id="186"/>
      <w:bookmarkEnd w:id="187"/>
    </w:p>
    <w:tbl>
      <w:tblPr>
        <w:tblW w:w="0" w:type="auto"/>
        <w:jc w:val="center"/>
        <w:tblLayout w:type="fixed"/>
        <w:tblLook w:val="0000" w:firstRow="0" w:lastRow="0" w:firstColumn="0" w:lastColumn="0" w:noHBand="0" w:noVBand="0"/>
      </w:tblPr>
      <w:tblGrid>
        <w:gridCol w:w="1428"/>
        <w:gridCol w:w="1241"/>
        <w:gridCol w:w="1243"/>
        <w:gridCol w:w="2931"/>
      </w:tblGrid>
      <w:tr w:rsidR="00D8141B" w:rsidRPr="00621229" w:rsidTr="003F702E">
        <w:trPr>
          <w:jc w:val="center"/>
        </w:trPr>
        <w:tc>
          <w:tcPr>
            <w:tcW w:w="1428" w:type="dxa"/>
            <w:tcBorders>
              <w:top w:val="single" w:sz="4" w:space="0" w:color="auto"/>
              <w:left w:val="single" w:sz="4" w:space="0" w:color="auto"/>
              <w:bottom w:val="single" w:sz="4" w:space="0" w:color="auto"/>
              <w:right w:val="single" w:sz="4" w:space="0" w:color="auto"/>
            </w:tcBorders>
            <w:shd w:val="pct10" w:color="auto" w:fill="auto"/>
          </w:tcPr>
          <w:p w:rsidR="00D8141B" w:rsidRPr="00621229" w:rsidRDefault="00D8141B" w:rsidP="00621229">
            <w:pPr>
              <w:keepNext/>
              <w:keepLines/>
              <w:widowControl w:val="0"/>
              <w:spacing w:before="20" w:after="20" w:line="240" w:lineRule="auto"/>
              <w:jc w:val="center"/>
              <w:rPr>
                <w:rFonts w:eastAsia="Times New Roman" w:cs="Arial"/>
                <w:b/>
                <w:bCs/>
                <w:snapToGrid w:val="0"/>
                <w:sz w:val="20"/>
                <w:szCs w:val="20"/>
                <w:lang w:val="en-GB"/>
              </w:rPr>
            </w:pPr>
            <w:r w:rsidRPr="00621229">
              <w:rPr>
                <w:rFonts w:eastAsia="Times New Roman" w:cs="Arial"/>
                <w:b/>
                <w:bCs/>
                <w:snapToGrid w:val="0"/>
                <w:sz w:val="20"/>
                <w:szCs w:val="20"/>
                <w:lang w:val="en-GB"/>
              </w:rPr>
              <w:t>Frequency (Hz)</w:t>
            </w:r>
          </w:p>
        </w:tc>
        <w:tc>
          <w:tcPr>
            <w:tcW w:w="1241" w:type="dxa"/>
            <w:tcBorders>
              <w:top w:val="single" w:sz="4" w:space="0" w:color="auto"/>
              <w:left w:val="single" w:sz="4" w:space="0" w:color="auto"/>
              <w:bottom w:val="single" w:sz="4" w:space="0" w:color="auto"/>
              <w:right w:val="single" w:sz="4" w:space="0" w:color="auto"/>
            </w:tcBorders>
            <w:shd w:val="pct10" w:color="auto" w:fill="auto"/>
          </w:tcPr>
          <w:p w:rsidR="00D8141B" w:rsidRPr="00621229" w:rsidRDefault="00D8141B" w:rsidP="00621229">
            <w:pPr>
              <w:keepNext/>
              <w:keepLines/>
              <w:widowControl w:val="0"/>
              <w:spacing w:before="20" w:after="20" w:line="240" w:lineRule="auto"/>
              <w:jc w:val="center"/>
              <w:rPr>
                <w:rFonts w:eastAsia="Times New Roman" w:cs="Arial"/>
                <w:b/>
                <w:bCs/>
                <w:snapToGrid w:val="0"/>
                <w:sz w:val="20"/>
                <w:szCs w:val="20"/>
                <w:lang w:val="en-GB"/>
              </w:rPr>
            </w:pPr>
            <w:r w:rsidRPr="00621229">
              <w:rPr>
                <w:rFonts w:eastAsia="Times New Roman" w:cs="Arial"/>
                <w:b/>
                <w:bCs/>
                <w:snapToGrid w:val="0"/>
                <w:sz w:val="20"/>
                <w:szCs w:val="20"/>
                <w:lang w:val="en-GB"/>
              </w:rPr>
              <w:t>Left (dB HL)</w:t>
            </w:r>
          </w:p>
        </w:tc>
        <w:tc>
          <w:tcPr>
            <w:tcW w:w="1241" w:type="dxa"/>
            <w:tcBorders>
              <w:top w:val="single" w:sz="4" w:space="0" w:color="auto"/>
              <w:left w:val="single" w:sz="4" w:space="0" w:color="auto"/>
              <w:bottom w:val="single" w:sz="4" w:space="0" w:color="auto"/>
              <w:right w:val="single" w:sz="4" w:space="0" w:color="auto"/>
            </w:tcBorders>
            <w:shd w:val="pct10" w:color="auto" w:fill="auto"/>
          </w:tcPr>
          <w:p w:rsidR="00D8141B" w:rsidRPr="00621229" w:rsidRDefault="00D8141B" w:rsidP="00621229">
            <w:pPr>
              <w:keepNext/>
              <w:keepLines/>
              <w:widowControl w:val="0"/>
              <w:spacing w:before="20" w:after="20" w:line="240" w:lineRule="auto"/>
              <w:jc w:val="center"/>
              <w:rPr>
                <w:rFonts w:eastAsia="Times New Roman" w:cs="Arial"/>
                <w:b/>
                <w:bCs/>
                <w:snapToGrid w:val="0"/>
                <w:sz w:val="20"/>
                <w:szCs w:val="20"/>
                <w:lang w:val="en-GB"/>
              </w:rPr>
            </w:pPr>
            <w:r w:rsidRPr="00621229">
              <w:rPr>
                <w:rFonts w:eastAsia="Times New Roman" w:cs="Arial"/>
                <w:b/>
                <w:bCs/>
                <w:snapToGrid w:val="0"/>
                <w:sz w:val="20"/>
                <w:szCs w:val="20"/>
                <w:lang w:val="en-GB"/>
              </w:rPr>
              <w:t>Right (dB HL)</w:t>
            </w:r>
          </w:p>
        </w:tc>
        <w:tc>
          <w:tcPr>
            <w:tcW w:w="2931" w:type="dxa"/>
            <w:tcBorders>
              <w:top w:val="single" w:sz="4" w:space="0" w:color="auto"/>
              <w:left w:val="single" w:sz="4" w:space="0" w:color="auto"/>
              <w:bottom w:val="single" w:sz="4" w:space="0" w:color="auto"/>
              <w:right w:val="single" w:sz="4" w:space="0" w:color="auto"/>
            </w:tcBorders>
            <w:shd w:val="pct10" w:color="auto" w:fill="auto"/>
          </w:tcPr>
          <w:p w:rsidR="00D8141B" w:rsidRPr="00621229" w:rsidRDefault="00D8141B" w:rsidP="00621229">
            <w:pPr>
              <w:keepNext/>
              <w:keepLines/>
              <w:widowControl w:val="0"/>
              <w:spacing w:before="20" w:after="20" w:line="240" w:lineRule="auto"/>
              <w:jc w:val="center"/>
              <w:rPr>
                <w:rFonts w:eastAsia="Times New Roman" w:cs="Arial"/>
                <w:b/>
                <w:bCs/>
                <w:snapToGrid w:val="0"/>
                <w:sz w:val="20"/>
                <w:szCs w:val="20"/>
                <w:lang w:val="en-GB"/>
              </w:rPr>
            </w:pPr>
            <w:r w:rsidRPr="00621229">
              <w:rPr>
                <w:rFonts w:eastAsia="Times New Roman" w:cs="Arial"/>
                <w:b/>
                <w:bCs/>
                <w:snapToGrid w:val="0"/>
                <w:sz w:val="20"/>
                <w:szCs w:val="20"/>
                <w:lang w:val="en-GB"/>
              </w:rPr>
              <w:t>Binaural hearing impairment (%BHI)</w:t>
            </w:r>
          </w:p>
        </w:tc>
      </w:tr>
      <w:tr w:rsidR="00D8141B" w:rsidRPr="00621229" w:rsidTr="003F702E">
        <w:trPr>
          <w:jc w:val="center"/>
        </w:trPr>
        <w:tc>
          <w:tcPr>
            <w:tcW w:w="1428" w:type="dxa"/>
            <w:tcBorders>
              <w:top w:val="single" w:sz="4" w:space="0" w:color="auto"/>
              <w:lef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500</w:t>
            </w:r>
          </w:p>
        </w:tc>
        <w:tc>
          <w:tcPr>
            <w:tcW w:w="1241" w:type="dxa"/>
            <w:tcBorders>
              <w:top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15</w:t>
            </w:r>
          </w:p>
        </w:tc>
        <w:tc>
          <w:tcPr>
            <w:tcW w:w="1241" w:type="dxa"/>
            <w:tcBorders>
              <w:top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10</w:t>
            </w:r>
          </w:p>
        </w:tc>
        <w:tc>
          <w:tcPr>
            <w:tcW w:w="2931" w:type="dxa"/>
            <w:tcBorders>
              <w:top w:val="single" w:sz="4" w:space="0" w:color="auto"/>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0</w:t>
            </w:r>
          </w:p>
        </w:tc>
      </w:tr>
      <w:tr w:rsidR="00D8141B" w:rsidRPr="00621229" w:rsidTr="003F702E">
        <w:trPr>
          <w:jc w:val="center"/>
        </w:trPr>
        <w:tc>
          <w:tcPr>
            <w:tcW w:w="1428" w:type="dxa"/>
            <w:tcBorders>
              <w:lef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1000</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20</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20</w:t>
            </w:r>
          </w:p>
        </w:tc>
        <w:tc>
          <w:tcPr>
            <w:tcW w:w="2931" w:type="dxa"/>
            <w:tcBorders>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0.8</w:t>
            </w:r>
          </w:p>
        </w:tc>
      </w:tr>
      <w:tr w:rsidR="00D8141B" w:rsidRPr="00621229" w:rsidTr="003F702E">
        <w:trPr>
          <w:jc w:val="center"/>
        </w:trPr>
        <w:tc>
          <w:tcPr>
            <w:tcW w:w="1428" w:type="dxa"/>
            <w:tcBorders>
              <w:lef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1500</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25</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25</w:t>
            </w:r>
          </w:p>
        </w:tc>
        <w:tc>
          <w:tcPr>
            <w:tcW w:w="2931" w:type="dxa"/>
            <w:tcBorders>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1.4</w:t>
            </w:r>
          </w:p>
        </w:tc>
      </w:tr>
      <w:tr w:rsidR="00D8141B" w:rsidRPr="00621229" w:rsidTr="003F702E">
        <w:trPr>
          <w:jc w:val="center"/>
        </w:trPr>
        <w:tc>
          <w:tcPr>
            <w:tcW w:w="1428" w:type="dxa"/>
            <w:tcBorders>
              <w:lef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2000</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35</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35</w:t>
            </w:r>
          </w:p>
        </w:tc>
        <w:tc>
          <w:tcPr>
            <w:tcW w:w="2931" w:type="dxa"/>
            <w:tcBorders>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3.4</w:t>
            </w:r>
          </w:p>
        </w:tc>
      </w:tr>
      <w:tr w:rsidR="00D8141B" w:rsidRPr="00621229" w:rsidTr="003F702E">
        <w:trPr>
          <w:jc w:val="center"/>
        </w:trPr>
        <w:tc>
          <w:tcPr>
            <w:tcW w:w="1428" w:type="dxa"/>
            <w:tcBorders>
              <w:lef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3000</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60</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60</w:t>
            </w:r>
          </w:p>
        </w:tc>
        <w:tc>
          <w:tcPr>
            <w:tcW w:w="2931" w:type="dxa"/>
            <w:tcBorders>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6.3</w:t>
            </w:r>
          </w:p>
        </w:tc>
      </w:tr>
      <w:tr w:rsidR="00D8141B" w:rsidRPr="00621229" w:rsidTr="003F702E">
        <w:trPr>
          <w:jc w:val="center"/>
        </w:trPr>
        <w:tc>
          <w:tcPr>
            <w:tcW w:w="1428" w:type="dxa"/>
            <w:tcBorders>
              <w:lef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4000</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75</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75</w:t>
            </w:r>
          </w:p>
        </w:tc>
        <w:tc>
          <w:tcPr>
            <w:tcW w:w="2931" w:type="dxa"/>
            <w:tcBorders>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8.2</w:t>
            </w:r>
          </w:p>
        </w:tc>
      </w:tr>
      <w:tr w:rsidR="00D8141B" w:rsidRPr="00621229" w:rsidTr="003F702E">
        <w:trPr>
          <w:jc w:val="center"/>
        </w:trPr>
        <w:tc>
          <w:tcPr>
            <w:tcW w:w="1428" w:type="dxa"/>
            <w:tcBorders>
              <w:lef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6000</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30</w:t>
            </w:r>
          </w:p>
        </w:tc>
        <w:tc>
          <w:tcPr>
            <w:tcW w:w="1241" w:type="dxa"/>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30</w:t>
            </w:r>
          </w:p>
        </w:tc>
        <w:tc>
          <w:tcPr>
            <w:tcW w:w="2931" w:type="dxa"/>
            <w:tcBorders>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r>
      <w:tr w:rsidR="00D8141B" w:rsidRPr="00621229" w:rsidTr="003F702E">
        <w:trPr>
          <w:jc w:val="center"/>
        </w:trPr>
        <w:tc>
          <w:tcPr>
            <w:tcW w:w="1428" w:type="dxa"/>
            <w:tcBorders>
              <w:left w:val="single" w:sz="4" w:space="0" w:color="auto"/>
              <w:bottom w:val="single" w:sz="2"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8000</w:t>
            </w:r>
          </w:p>
        </w:tc>
        <w:tc>
          <w:tcPr>
            <w:tcW w:w="1241" w:type="dxa"/>
            <w:tcBorders>
              <w:bottom w:val="single" w:sz="2"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20</w:t>
            </w:r>
          </w:p>
        </w:tc>
        <w:tc>
          <w:tcPr>
            <w:tcW w:w="1241" w:type="dxa"/>
            <w:tcBorders>
              <w:bottom w:val="single" w:sz="2"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20</w:t>
            </w:r>
          </w:p>
        </w:tc>
        <w:tc>
          <w:tcPr>
            <w:tcW w:w="2931" w:type="dxa"/>
            <w:tcBorders>
              <w:bottom w:val="single" w:sz="2" w:space="0" w:color="auto"/>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w:t>
            </w:r>
          </w:p>
        </w:tc>
      </w:tr>
      <w:tr w:rsidR="00D8141B" w:rsidRPr="00621229" w:rsidTr="003F702E">
        <w:trPr>
          <w:cantSplit/>
          <w:jc w:val="center"/>
        </w:trPr>
        <w:tc>
          <w:tcPr>
            <w:tcW w:w="3912" w:type="dxa"/>
            <w:gridSpan w:val="3"/>
            <w:tcBorders>
              <w:top w:val="single" w:sz="2" w:space="0" w:color="auto"/>
              <w:left w:val="single" w:sz="4" w:space="0" w:color="auto"/>
              <w:bottom w:val="single" w:sz="2" w:space="0" w:color="auto"/>
            </w:tcBorders>
          </w:tcPr>
          <w:p w:rsidR="00D8141B" w:rsidRPr="00621229" w:rsidRDefault="00D8141B" w:rsidP="00621229">
            <w:pPr>
              <w:keepNext/>
              <w:keepLines/>
              <w:widowControl w:val="0"/>
              <w:tabs>
                <w:tab w:val="num" w:pos="480"/>
              </w:tab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Total %BHI</w:t>
            </w:r>
          </w:p>
        </w:tc>
        <w:tc>
          <w:tcPr>
            <w:tcW w:w="2929" w:type="dxa"/>
            <w:tcBorders>
              <w:top w:val="single" w:sz="2" w:space="0" w:color="auto"/>
              <w:bottom w:val="single" w:sz="2" w:space="0" w:color="auto"/>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20.1</w:t>
            </w:r>
          </w:p>
        </w:tc>
      </w:tr>
      <w:tr w:rsidR="00D8141B" w:rsidRPr="00621229" w:rsidTr="003F702E">
        <w:trPr>
          <w:cantSplit/>
          <w:jc w:val="center"/>
        </w:trPr>
        <w:tc>
          <w:tcPr>
            <w:tcW w:w="3912" w:type="dxa"/>
            <w:gridSpan w:val="3"/>
            <w:tcBorders>
              <w:top w:val="single" w:sz="2" w:space="0" w:color="auto"/>
              <w:left w:val="single" w:sz="4" w:space="0" w:color="auto"/>
              <w:bottom w:val="single" w:sz="2" w:space="0" w:color="auto"/>
            </w:tcBorders>
          </w:tcPr>
          <w:p w:rsidR="00D8141B" w:rsidRPr="00621229" w:rsidRDefault="00D8141B" w:rsidP="00621229">
            <w:pPr>
              <w:keepNext/>
              <w:keepLines/>
              <w:widowControl w:val="0"/>
              <w:tabs>
                <w:tab w:val="num" w:pos="480"/>
              </w:tab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No Presby</w:t>
            </w:r>
            <w:r w:rsidR="00084614" w:rsidRPr="00621229">
              <w:rPr>
                <w:rFonts w:eastAsia="Times New Roman" w:cs="Arial"/>
                <w:snapToGrid w:val="0"/>
                <w:sz w:val="20"/>
                <w:szCs w:val="20"/>
                <w:lang w:val="en-GB"/>
              </w:rPr>
              <w:t>a</w:t>
            </w:r>
            <w:r w:rsidRPr="00621229">
              <w:rPr>
                <w:rFonts w:eastAsia="Times New Roman" w:cs="Arial"/>
                <w:snapToGrid w:val="0"/>
                <w:sz w:val="20"/>
                <w:szCs w:val="20"/>
                <w:lang w:val="en-GB"/>
              </w:rPr>
              <w:t xml:space="preserve">cusis correction </w:t>
            </w:r>
          </w:p>
        </w:tc>
        <w:tc>
          <w:tcPr>
            <w:tcW w:w="2929" w:type="dxa"/>
            <w:tcBorders>
              <w:top w:val="single" w:sz="2" w:space="0" w:color="auto"/>
              <w:bottom w:val="single" w:sz="2" w:space="0" w:color="auto"/>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20.1</w:t>
            </w:r>
          </w:p>
        </w:tc>
      </w:tr>
      <w:tr w:rsidR="00D8141B" w:rsidRPr="00621229" w:rsidTr="003F702E">
        <w:trPr>
          <w:cantSplit/>
          <w:jc w:val="center"/>
        </w:trPr>
        <w:tc>
          <w:tcPr>
            <w:tcW w:w="3912" w:type="dxa"/>
            <w:gridSpan w:val="3"/>
            <w:tcBorders>
              <w:top w:val="single" w:sz="2" w:space="0" w:color="auto"/>
              <w:left w:val="single" w:sz="4" w:space="0" w:color="auto"/>
              <w:bottom w:val="single" w:sz="2" w:space="0" w:color="auto"/>
            </w:tcBorders>
          </w:tcPr>
          <w:p w:rsidR="00D8141B" w:rsidRPr="00621229" w:rsidRDefault="00D8141B" w:rsidP="00621229">
            <w:pPr>
              <w:keepNext/>
              <w:keepLines/>
              <w:widowControl w:val="0"/>
              <w:tabs>
                <w:tab w:val="num" w:pos="480"/>
              </w:tab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Add 4.0% for severe tinnitus</w:t>
            </w:r>
          </w:p>
        </w:tc>
        <w:tc>
          <w:tcPr>
            <w:tcW w:w="2929" w:type="dxa"/>
            <w:tcBorders>
              <w:top w:val="single" w:sz="2" w:space="0" w:color="auto"/>
              <w:bottom w:val="single" w:sz="2" w:space="0" w:color="auto"/>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24.1</w:t>
            </w:r>
          </w:p>
        </w:tc>
      </w:tr>
      <w:tr w:rsidR="00D8141B" w:rsidRPr="00621229" w:rsidTr="003F702E">
        <w:trPr>
          <w:cantSplit/>
          <w:jc w:val="center"/>
        </w:trPr>
        <w:tc>
          <w:tcPr>
            <w:tcW w:w="3912" w:type="dxa"/>
            <w:gridSpan w:val="3"/>
            <w:tcBorders>
              <w:top w:val="single" w:sz="2" w:space="0" w:color="auto"/>
              <w:left w:val="single" w:sz="4" w:space="0" w:color="auto"/>
              <w:bottom w:val="single" w:sz="2" w:space="0" w:color="auto"/>
            </w:tcBorders>
          </w:tcPr>
          <w:p w:rsidR="00D8141B" w:rsidRPr="00621229" w:rsidRDefault="00D8141B" w:rsidP="00621229">
            <w:pPr>
              <w:keepNext/>
              <w:keepLines/>
              <w:widowControl w:val="0"/>
              <w:tabs>
                <w:tab w:val="num" w:pos="480"/>
              </w:tabs>
              <w:spacing w:before="20" w:after="20" w:line="240" w:lineRule="auto"/>
              <w:ind w:left="851" w:hanging="851"/>
              <w:rPr>
                <w:rFonts w:eastAsia="Times New Roman" w:cs="Arial"/>
                <w:snapToGrid w:val="0"/>
                <w:sz w:val="20"/>
                <w:szCs w:val="20"/>
                <w:lang w:val="en-GB"/>
              </w:rPr>
            </w:pPr>
            <w:r w:rsidRPr="00621229">
              <w:rPr>
                <w:rFonts w:eastAsia="Times New Roman" w:cs="Arial"/>
                <w:snapToGrid w:val="0"/>
                <w:sz w:val="20"/>
                <w:szCs w:val="20"/>
                <w:lang w:val="en-GB"/>
              </w:rPr>
              <w:t>Adjusted total %BHI</w:t>
            </w:r>
          </w:p>
        </w:tc>
        <w:tc>
          <w:tcPr>
            <w:tcW w:w="2929" w:type="dxa"/>
            <w:tcBorders>
              <w:top w:val="single" w:sz="2" w:space="0" w:color="auto"/>
              <w:bottom w:val="single" w:sz="2" w:space="0" w:color="auto"/>
              <w:right w:val="single" w:sz="4" w:space="0" w:color="auto"/>
            </w:tcBorders>
          </w:tcPr>
          <w:p w:rsidR="00D8141B" w:rsidRPr="00621229"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621229">
              <w:rPr>
                <w:rFonts w:eastAsia="Times New Roman" w:cs="Arial"/>
                <w:snapToGrid w:val="0"/>
                <w:sz w:val="20"/>
                <w:szCs w:val="20"/>
                <w:lang w:val="en-GB"/>
              </w:rPr>
              <w:t>24.1</w:t>
            </w:r>
          </w:p>
        </w:tc>
      </w:tr>
      <w:tr w:rsidR="00D8141B" w:rsidRPr="00621229" w:rsidTr="003F702E">
        <w:trPr>
          <w:cantSplit/>
          <w:jc w:val="center"/>
        </w:trPr>
        <w:tc>
          <w:tcPr>
            <w:tcW w:w="6841" w:type="dxa"/>
            <w:gridSpan w:val="4"/>
            <w:tcBorders>
              <w:top w:val="single" w:sz="2" w:space="0" w:color="auto"/>
              <w:left w:val="single" w:sz="4" w:space="0" w:color="auto"/>
              <w:bottom w:val="single" w:sz="4" w:space="0" w:color="auto"/>
              <w:right w:val="single" w:sz="4" w:space="0" w:color="auto"/>
            </w:tcBorders>
          </w:tcPr>
          <w:p w:rsidR="00D8141B" w:rsidRPr="00621229" w:rsidRDefault="00D8141B" w:rsidP="00621229">
            <w:pPr>
              <w:keepLines/>
              <w:widowControl w:val="0"/>
              <w:spacing w:before="20" w:after="20" w:line="240" w:lineRule="auto"/>
              <w:rPr>
                <w:rFonts w:eastAsia="Times New Roman" w:cs="Arial"/>
                <w:snapToGrid w:val="0"/>
                <w:sz w:val="20"/>
                <w:szCs w:val="20"/>
                <w:lang w:val="en-GB"/>
              </w:rPr>
            </w:pPr>
            <w:r w:rsidRPr="00621229">
              <w:rPr>
                <w:rFonts w:eastAsia="Times New Roman" w:cs="Arial"/>
                <w:snapToGrid w:val="0"/>
                <w:sz w:val="20"/>
                <w:szCs w:val="20"/>
                <w:lang w:val="en-GB"/>
              </w:rPr>
              <w:t>Resultant total BHI of 24.1% = 12% WPI (Table 9.1)</w:t>
            </w:r>
          </w:p>
        </w:tc>
      </w:tr>
    </w:tbl>
    <w:p w:rsidR="00D8141B" w:rsidRPr="00D8141B" w:rsidRDefault="0057644C" w:rsidP="0057644C">
      <w:pPr>
        <w:pStyle w:val="Heading3"/>
      </w:pPr>
      <w:bookmarkStart w:id="188" w:name="_Toc144874695"/>
      <w:bookmarkStart w:id="189" w:name="_Toc144875283"/>
      <w:r>
        <w:t>Example 9.2:</w:t>
      </w:r>
      <w:r w:rsidR="00621229">
        <w:t xml:space="preserve"> </w:t>
      </w:r>
      <w:r w:rsidR="00D8141B" w:rsidRPr="00D8141B">
        <w:t>Occupational noise-induced hearing loss and mild tinnitus</w:t>
      </w:r>
      <w:bookmarkEnd w:id="188"/>
      <w:bookmarkEnd w:id="189"/>
    </w:p>
    <w:p w:rsidR="00D8141B" w:rsidRPr="00D8141B" w:rsidRDefault="00D8141B" w:rsidP="00621229">
      <w:pPr>
        <w:pStyle w:val="BodyText9"/>
        <w:numPr>
          <w:ilvl w:val="0"/>
          <w:numId w:val="0"/>
        </w:numPr>
        <w:ind w:left="709"/>
      </w:pPr>
      <w:r w:rsidRPr="00D8141B">
        <w:t>A 55-year-old man, a steelworker for 30 years, gave a history of increasing difficulties with hearing and tinnitus. The assessing medical specialist diagnosed occupational noise-induced hearing loss with mild tinnitus.</w:t>
      </w:r>
    </w:p>
    <w:p w:rsidR="00D8141B" w:rsidRPr="00D8141B" w:rsidRDefault="00D8141B" w:rsidP="00621229">
      <w:pPr>
        <w:pStyle w:val="Heading3"/>
        <w:jc w:val="center"/>
      </w:pPr>
      <w:bookmarkStart w:id="190" w:name="_Toc144874696"/>
      <w:bookmarkStart w:id="191" w:name="_Toc144875284"/>
      <w:r w:rsidRPr="00D8141B">
        <w:t>Pure tone audiometry</w:t>
      </w:r>
      <w:bookmarkEnd w:id="190"/>
      <w:bookmarkEnd w:id="191"/>
    </w:p>
    <w:tbl>
      <w:tblPr>
        <w:tblW w:w="0" w:type="auto"/>
        <w:tblInd w:w="704" w:type="dxa"/>
        <w:tblLayout w:type="fixed"/>
        <w:tblLook w:val="0000" w:firstRow="0" w:lastRow="0" w:firstColumn="0" w:lastColumn="0" w:noHBand="0" w:noVBand="0"/>
      </w:tblPr>
      <w:tblGrid>
        <w:gridCol w:w="1843"/>
        <w:gridCol w:w="1701"/>
        <w:gridCol w:w="1701"/>
        <w:gridCol w:w="2268"/>
      </w:tblGrid>
      <w:tr w:rsidR="00D8141B" w:rsidRPr="00D8141B" w:rsidTr="00621229">
        <w:trPr>
          <w:cantSplit/>
        </w:trPr>
        <w:tc>
          <w:tcPr>
            <w:tcW w:w="1843"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D8141B" w:rsidRDefault="00D8141B" w:rsidP="00621229">
            <w:pPr>
              <w:keepNext/>
              <w:keepLines/>
              <w:widowControl w:val="0"/>
              <w:spacing w:before="20" w:after="2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Frequency (Hz)</w:t>
            </w:r>
          </w:p>
        </w:tc>
        <w:tc>
          <w:tcPr>
            <w:tcW w:w="1701"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D8141B" w:rsidRDefault="00D8141B" w:rsidP="00621229">
            <w:pPr>
              <w:keepNext/>
              <w:keepLines/>
              <w:widowControl w:val="0"/>
              <w:spacing w:before="20" w:after="2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Left (dB HL)</w:t>
            </w:r>
          </w:p>
        </w:tc>
        <w:tc>
          <w:tcPr>
            <w:tcW w:w="1701"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D8141B" w:rsidRDefault="00D8141B" w:rsidP="00621229">
            <w:pPr>
              <w:keepNext/>
              <w:keepLines/>
              <w:widowControl w:val="0"/>
              <w:spacing w:before="20" w:after="2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Right (dB HL)</w:t>
            </w:r>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D8141B" w:rsidRDefault="00D8141B" w:rsidP="00621229">
            <w:pPr>
              <w:keepNext/>
              <w:keepLines/>
              <w:widowControl w:val="0"/>
              <w:spacing w:before="20" w:after="2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Binaural hearing impairment (%BHI)</w:t>
            </w:r>
          </w:p>
        </w:tc>
      </w:tr>
      <w:tr w:rsidR="00D8141B" w:rsidRPr="00D8141B" w:rsidTr="00621229">
        <w:trPr>
          <w:cantSplit/>
        </w:trPr>
        <w:tc>
          <w:tcPr>
            <w:tcW w:w="1843" w:type="dxa"/>
            <w:tcBorders>
              <w:left w:val="single" w:sz="4" w:space="0" w:color="auto"/>
            </w:tcBorders>
          </w:tcPr>
          <w:p w:rsidR="00D8141B" w:rsidRPr="00D8141B"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 xml:space="preserve"> 500</w:t>
            </w:r>
          </w:p>
        </w:tc>
        <w:tc>
          <w:tcPr>
            <w:tcW w:w="1701" w:type="dxa"/>
          </w:tcPr>
          <w:p w:rsidR="00D8141B" w:rsidRPr="00D8141B"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15</w:t>
            </w:r>
          </w:p>
        </w:tc>
        <w:tc>
          <w:tcPr>
            <w:tcW w:w="1701" w:type="dxa"/>
          </w:tcPr>
          <w:p w:rsidR="00D8141B" w:rsidRPr="00D8141B"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15</w:t>
            </w:r>
          </w:p>
        </w:tc>
        <w:tc>
          <w:tcPr>
            <w:tcW w:w="2268" w:type="dxa"/>
            <w:tcBorders>
              <w:right w:val="single" w:sz="4" w:space="0" w:color="auto"/>
            </w:tcBorders>
          </w:tcPr>
          <w:p w:rsidR="00D8141B" w:rsidRPr="00D8141B" w:rsidRDefault="00D8141B" w:rsidP="00621229">
            <w:pPr>
              <w:keepNext/>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0.0</w:t>
            </w:r>
          </w:p>
        </w:tc>
      </w:tr>
      <w:tr w:rsidR="00D8141B" w:rsidRPr="00D8141B" w:rsidTr="00621229">
        <w:trPr>
          <w:cantSplit/>
        </w:trPr>
        <w:tc>
          <w:tcPr>
            <w:tcW w:w="1843" w:type="dxa"/>
            <w:tcBorders>
              <w:lef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1000</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15</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15</w:t>
            </w:r>
          </w:p>
        </w:tc>
        <w:tc>
          <w:tcPr>
            <w:tcW w:w="2268" w:type="dxa"/>
            <w:tcBorders>
              <w:righ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0.0</w:t>
            </w:r>
          </w:p>
        </w:tc>
      </w:tr>
      <w:tr w:rsidR="00D8141B" w:rsidRPr="00D8141B" w:rsidTr="00621229">
        <w:trPr>
          <w:cantSplit/>
        </w:trPr>
        <w:tc>
          <w:tcPr>
            <w:tcW w:w="1843" w:type="dxa"/>
            <w:tcBorders>
              <w:left w:val="single" w:sz="4" w:space="0" w:color="auto"/>
            </w:tcBorders>
          </w:tcPr>
          <w:p w:rsidR="00D8141B" w:rsidRPr="00D8141B" w:rsidRDefault="00D8141B" w:rsidP="00A4338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1500</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20</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25</w:t>
            </w:r>
          </w:p>
        </w:tc>
        <w:tc>
          <w:tcPr>
            <w:tcW w:w="2268" w:type="dxa"/>
            <w:tcBorders>
              <w:righ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1.0</w:t>
            </w:r>
          </w:p>
        </w:tc>
      </w:tr>
      <w:tr w:rsidR="00D8141B" w:rsidRPr="00D8141B" w:rsidTr="00621229">
        <w:trPr>
          <w:cantSplit/>
        </w:trPr>
        <w:tc>
          <w:tcPr>
            <w:tcW w:w="1843" w:type="dxa"/>
            <w:tcBorders>
              <w:lef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2000</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30</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35</w:t>
            </w:r>
          </w:p>
        </w:tc>
        <w:tc>
          <w:tcPr>
            <w:tcW w:w="2268" w:type="dxa"/>
            <w:tcBorders>
              <w:righ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2.5</w:t>
            </w:r>
          </w:p>
        </w:tc>
      </w:tr>
      <w:tr w:rsidR="00D8141B" w:rsidRPr="00D8141B" w:rsidTr="00621229">
        <w:trPr>
          <w:cantSplit/>
        </w:trPr>
        <w:tc>
          <w:tcPr>
            <w:tcW w:w="1843" w:type="dxa"/>
            <w:tcBorders>
              <w:lef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3000</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50</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45</w:t>
            </w:r>
          </w:p>
        </w:tc>
        <w:tc>
          <w:tcPr>
            <w:tcW w:w="2268" w:type="dxa"/>
            <w:tcBorders>
              <w:righ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4.2</w:t>
            </w:r>
          </w:p>
        </w:tc>
      </w:tr>
      <w:tr w:rsidR="00D8141B" w:rsidRPr="00D8141B" w:rsidTr="00621229">
        <w:trPr>
          <w:cantSplit/>
        </w:trPr>
        <w:tc>
          <w:tcPr>
            <w:tcW w:w="1843" w:type="dxa"/>
            <w:tcBorders>
              <w:lef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4000</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55</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55</w:t>
            </w:r>
          </w:p>
        </w:tc>
        <w:tc>
          <w:tcPr>
            <w:tcW w:w="2268" w:type="dxa"/>
            <w:tcBorders>
              <w:righ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5.2</w:t>
            </w:r>
          </w:p>
        </w:tc>
      </w:tr>
      <w:tr w:rsidR="00D8141B" w:rsidRPr="00D8141B" w:rsidTr="00621229">
        <w:trPr>
          <w:cantSplit/>
        </w:trPr>
        <w:tc>
          <w:tcPr>
            <w:tcW w:w="1843" w:type="dxa"/>
            <w:tcBorders>
              <w:lef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6000</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30</w:t>
            </w:r>
          </w:p>
        </w:tc>
        <w:tc>
          <w:tcPr>
            <w:tcW w:w="1701" w:type="dxa"/>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30</w:t>
            </w:r>
          </w:p>
        </w:tc>
        <w:tc>
          <w:tcPr>
            <w:tcW w:w="2268" w:type="dxa"/>
            <w:tcBorders>
              <w:righ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w:t>
            </w:r>
          </w:p>
        </w:tc>
      </w:tr>
      <w:tr w:rsidR="00D8141B" w:rsidRPr="00D8141B" w:rsidTr="00621229">
        <w:trPr>
          <w:cantSplit/>
        </w:trPr>
        <w:tc>
          <w:tcPr>
            <w:tcW w:w="1843" w:type="dxa"/>
            <w:tcBorders>
              <w:left w:val="single" w:sz="4" w:space="0" w:color="auto"/>
              <w:bottom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8000</w:t>
            </w:r>
          </w:p>
        </w:tc>
        <w:tc>
          <w:tcPr>
            <w:tcW w:w="1701" w:type="dxa"/>
            <w:tcBorders>
              <w:bottom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20</w:t>
            </w:r>
          </w:p>
        </w:tc>
        <w:tc>
          <w:tcPr>
            <w:tcW w:w="1701" w:type="dxa"/>
            <w:tcBorders>
              <w:bottom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20</w:t>
            </w:r>
          </w:p>
        </w:tc>
        <w:tc>
          <w:tcPr>
            <w:tcW w:w="2268" w:type="dxa"/>
            <w:tcBorders>
              <w:bottom w:val="single" w:sz="4" w:space="0" w:color="auto"/>
              <w:right w:val="single" w:sz="4" w:space="0" w:color="auto"/>
            </w:tcBorders>
          </w:tcPr>
          <w:p w:rsidR="00D8141B" w:rsidRPr="00D8141B" w:rsidRDefault="00D8141B" w:rsidP="00621229">
            <w:pPr>
              <w:keepLines/>
              <w:widowControl w:val="0"/>
              <w:tabs>
                <w:tab w:val="num" w:pos="480"/>
              </w:tabs>
              <w:spacing w:before="20" w:after="20" w:line="240" w:lineRule="auto"/>
              <w:ind w:left="851" w:hanging="851"/>
              <w:jc w:val="center"/>
              <w:rPr>
                <w:rFonts w:eastAsia="Times New Roman" w:cs="Arial"/>
                <w:snapToGrid w:val="0"/>
                <w:sz w:val="20"/>
                <w:szCs w:val="20"/>
                <w:lang w:val="en-GB"/>
              </w:rPr>
            </w:pPr>
            <w:r w:rsidRPr="00D8141B">
              <w:rPr>
                <w:rFonts w:eastAsia="Times New Roman" w:cs="Arial"/>
                <w:snapToGrid w:val="0"/>
                <w:sz w:val="20"/>
                <w:szCs w:val="20"/>
                <w:lang w:val="en-GB"/>
              </w:rPr>
              <w:t>–</w:t>
            </w:r>
          </w:p>
        </w:tc>
      </w:tr>
      <w:tr w:rsidR="00D8141B" w:rsidRPr="00D8141B" w:rsidTr="00621229">
        <w:trPr>
          <w:cantSplit/>
        </w:trPr>
        <w:tc>
          <w:tcPr>
            <w:tcW w:w="5245" w:type="dxa"/>
            <w:gridSpan w:val="3"/>
            <w:tcBorders>
              <w:left w:val="single" w:sz="4" w:space="0" w:color="auto"/>
              <w:bottom w:val="single" w:sz="2" w:space="0" w:color="auto"/>
            </w:tcBorders>
          </w:tcPr>
          <w:p w:rsidR="00D8141B" w:rsidRPr="00D8141B" w:rsidRDefault="00D8141B" w:rsidP="00621229">
            <w:pPr>
              <w:keepLines/>
              <w:widowControl w:val="0"/>
              <w:spacing w:before="20" w:after="2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Total % BHI </w:t>
            </w:r>
          </w:p>
        </w:tc>
        <w:tc>
          <w:tcPr>
            <w:tcW w:w="2268" w:type="dxa"/>
            <w:tcBorders>
              <w:bottom w:val="single" w:sz="2" w:space="0" w:color="auto"/>
              <w:right w:val="single" w:sz="4" w:space="0" w:color="auto"/>
            </w:tcBorders>
          </w:tcPr>
          <w:p w:rsidR="00D8141B" w:rsidRPr="00D8141B" w:rsidRDefault="00D8141B" w:rsidP="00621229">
            <w:pPr>
              <w:keepLines/>
              <w:widowControl w:val="0"/>
              <w:spacing w:before="20" w:after="2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12.9</w:t>
            </w:r>
          </w:p>
        </w:tc>
      </w:tr>
      <w:tr w:rsidR="00D8141B" w:rsidRPr="00D8141B" w:rsidTr="00621229">
        <w:trPr>
          <w:cantSplit/>
        </w:trPr>
        <w:tc>
          <w:tcPr>
            <w:tcW w:w="5245" w:type="dxa"/>
            <w:gridSpan w:val="3"/>
            <w:tcBorders>
              <w:top w:val="single" w:sz="2" w:space="0" w:color="auto"/>
              <w:left w:val="single" w:sz="4" w:space="0" w:color="auto"/>
              <w:bottom w:val="single" w:sz="2" w:space="0" w:color="auto"/>
            </w:tcBorders>
          </w:tcPr>
          <w:p w:rsidR="00D8141B" w:rsidRPr="00D8141B" w:rsidRDefault="00D8141B" w:rsidP="00621229">
            <w:pPr>
              <w:keepLines/>
              <w:widowControl w:val="0"/>
              <w:spacing w:before="20" w:after="2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No </w:t>
            </w:r>
            <w:r w:rsidR="00802CA9">
              <w:rPr>
                <w:rFonts w:eastAsia="Times New Roman" w:cs="Arial"/>
                <w:snapToGrid w:val="0"/>
                <w:sz w:val="20"/>
                <w:szCs w:val="20"/>
                <w:lang w:val="en-GB"/>
              </w:rPr>
              <w:t>presbyacusis</w:t>
            </w:r>
            <w:r w:rsidRPr="00D8141B">
              <w:rPr>
                <w:rFonts w:eastAsia="Times New Roman" w:cs="Arial"/>
                <w:snapToGrid w:val="0"/>
                <w:sz w:val="20"/>
                <w:szCs w:val="20"/>
                <w:lang w:val="en-GB"/>
              </w:rPr>
              <w:t xml:space="preserve"> correction  </w:t>
            </w:r>
          </w:p>
        </w:tc>
        <w:tc>
          <w:tcPr>
            <w:tcW w:w="2268" w:type="dxa"/>
            <w:tcBorders>
              <w:top w:val="single" w:sz="2" w:space="0" w:color="auto"/>
              <w:bottom w:val="single" w:sz="2" w:space="0" w:color="auto"/>
              <w:right w:val="single" w:sz="4" w:space="0" w:color="auto"/>
            </w:tcBorders>
          </w:tcPr>
          <w:p w:rsidR="00D8141B" w:rsidRPr="00D8141B" w:rsidRDefault="00D8141B" w:rsidP="00621229">
            <w:pPr>
              <w:keepLines/>
              <w:widowControl w:val="0"/>
              <w:spacing w:before="20" w:after="2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12.9</w:t>
            </w:r>
          </w:p>
        </w:tc>
      </w:tr>
      <w:tr w:rsidR="00D8141B" w:rsidRPr="00D8141B" w:rsidTr="00621229">
        <w:trPr>
          <w:cantSplit/>
        </w:trPr>
        <w:tc>
          <w:tcPr>
            <w:tcW w:w="5245" w:type="dxa"/>
            <w:gridSpan w:val="3"/>
            <w:tcBorders>
              <w:top w:val="single" w:sz="2" w:space="0" w:color="auto"/>
              <w:left w:val="single" w:sz="4" w:space="0" w:color="auto"/>
              <w:bottom w:val="single" w:sz="4" w:space="0" w:color="auto"/>
            </w:tcBorders>
          </w:tcPr>
          <w:p w:rsidR="00D8141B" w:rsidRPr="00D8141B" w:rsidRDefault="00D8141B" w:rsidP="00621229">
            <w:pPr>
              <w:keepLines/>
              <w:widowControl w:val="0"/>
              <w:spacing w:before="20" w:after="20" w:line="240" w:lineRule="auto"/>
              <w:rPr>
                <w:rFonts w:eastAsia="Times New Roman" w:cs="Arial"/>
                <w:snapToGrid w:val="0"/>
                <w:sz w:val="20"/>
                <w:szCs w:val="20"/>
                <w:lang w:val="en-GB"/>
              </w:rPr>
            </w:pPr>
            <w:r w:rsidRPr="00D8141B">
              <w:rPr>
                <w:rFonts w:eastAsia="Times New Roman" w:cs="Arial"/>
                <w:snapToGrid w:val="0"/>
                <w:sz w:val="20"/>
                <w:szCs w:val="20"/>
                <w:lang w:val="en-GB"/>
              </w:rPr>
              <w:t>Adjusted total %BHI</w:t>
            </w:r>
          </w:p>
        </w:tc>
        <w:tc>
          <w:tcPr>
            <w:tcW w:w="2268" w:type="dxa"/>
            <w:tcBorders>
              <w:top w:val="single" w:sz="2" w:space="0" w:color="auto"/>
              <w:bottom w:val="single" w:sz="4" w:space="0" w:color="auto"/>
              <w:right w:val="single" w:sz="4" w:space="0" w:color="auto"/>
            </w:tcBorders>
          </w:tcPr>
          <w:p w:rsidR="00D8141B" w:rsidRPr="00D8141B" w:rsidRDefault="00D8141B" w:rsidP="00621229">
            <w:pPr>
              <w:keepLines/>
              <w:widowControl w:val="0"/>
              <w:spacing w:before="20" w:after="2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12.9</w:t>
            </w:r>
          </w:p>
        </w:tc>
      </w:tr>
      <w:tr w:rsidR="00D8141B" w:rsidRPr="00D8141B" w:rsidTr="00621229">
        <w:trPr>
          <w:cantSplit/>
        </w:trPr>
        <w:tc>
          <w:tcPr>
            <w:tcW w:w="7513" w:type="dxa"/>
            <w:gridSpan w:val="4"/>
            <w:tcBorders>
              <w:left w:val="single" w:sz="4" w:space="0" w:color="auto"/>
              <w:bottom w:val="single" w:sz="4" w:space="0" w:color="auto"/>
              <w:right w:val="single" w:sz="4" w:space="0" w:color="auto"/>
            </w:tcBorders>
          </w:tcPr>
          <w:p w:rsidR="00D8141B" w:rsidRPr="00D8141B" w:rsidRDefault="00D8141B" w:rsidP="00621229">
            <w:pPr>
              <w:keepLines/>
              <w:widowControl w:val="0"/>
              <w:spacing w:before="20" w:after="20" w:line="240" w:lineRule="auto"/>
              <w:rPr>
                <w:rFonts w:eastAsia="Times New Roman" w:cs="Arial"/>
                <w:snapToGrid w:val="0"/>
                <w:sz w:val="20"/>
                <w:szCs w:val="20"/>
                <w:lang w:val="en-GB"/>
              </w:rPr>
            </w:pPr>
            <w:r w:rsidRPr="00D8141B">
              <w:rPr>
                <w:rFonts w:eastAsia="Times New Roman" w:cs="Arial"/>
                <w:snapToGrid w:val="0"/>
                <w:sz w:val="20"/>
                <w:szCs w:val="20"/>
                <w:lang w:val="en-GB"/>
              </w:rPr>
              <w:t>Resultant total BHI of 12.9% = 7% WPI (Table 9.1)</w:t>
            </w:r>
          </w:p>
        </w:tc>
      </w:tr>
    </w:tbl>
    <w:p w:rsidR="00D8141B" w:rsidRPr="00621229" w:rsidRDefault="00D8141B" w:rsidP="00621229">
      <w:pPr>
        <w:keepNext/>
        <w:pBdr>
          <w:top w:val="single" w:sz="4" w:space="1" w:color="auto"/>
          <w:left w:val="single" w:sz="4" w:space="4" w:color="auto"/>
          <w:bottom w:val="single" w:sz="4" w:space="1" w:color="auto"/>
          <w:right w:val="single" w:sz="4" w:space="4" w:color="auto"/>
        </w:pBdr>
        <w:shd w:val="clear" w:color="auto" w:fill="D9D9D9"/>
        <w:spacing w:before="240" w:after="40" w:line="240" w:lineRule="auto"/>
        <w:ind w:left="851" w:hanging="851"/>
        <w:outlineLvl w:val="3"/>
        <w:rPr>
          <w:rFonts w:eastAsia="Times New Roman" w:cs="Arial"/>
          <w:b/>
          <w:bCs/>
          <w:lang w:val="en-GB"/>
        </w:rPr>
      </w:pPr>
      <w:r w:rsidRPr="00621229">
        <w:rPr>
          <w:rFonts w:eastAsia="Times New Roman" w:cs="Arial"/>
          <w:b/>
          <w:bCs/>
          <w:lang w:val="en-GB"/>
        </w:rPr>
        <w:t>Comment</w:t>
      </w:r>
    </w:p>
    <w:p w:rsidR="00D8141B" w:rsidRPr="00621229" w:rsidRDefault="00D8141B" w:rsidP="00621229">
      <w:pPr>
        <w:pBdr>
          <w:top w:val="single" w:sz="4" w:space="1" w:color="auto"/>
          <w:left w:val="single" w:sz="4" w:space="4" w:color="auto"/>
          <w:bottom w:val="single" w:sz="4" w:space="1" w:color="auto"/>
          <w:right w:val="single" w:sz="4" w:space="4" w:color="auto"/>
        </w:pBdr>
        <w:shd w:val="clear" w:color="auto" w:fill="D9D9D9"/>
        <w:spacing w:before="40" w:after="40" w:line="240" w:lineRule="auto"/>
        <w:rPr>
          <w:rFonts w:eastAsia="Times New Roman" w:cs="Arial"/>
          <w:lang w:val="en-US"/>
        </w:rPr>
      </w:pPr>
      <w:r w:rsidRPr="00621229">
        <w:rPr>
          <w:rFonts w:eastAsia="Times New Roman" w:cs="Arial"/>
          <w:lang w:val="en-US"/>
        </w:rPr>
        <w:t>The assessing medical specialist's opinion is that the tinnitus suffered by the worker is not severe and thus no addition to the binaural hearing impairment was made for tinnitus.</w:t>
      </w:r>
    </w:p>
    <w:p w:rsidR="00D8141B" w:rsidRPr="00D8141B" w:rsidRDefault="0057644C" w:rsidP="00A43389">
      <w:pPr>
        <w:pStyle w:val="Heading3"/>
        <w:spacing w:before="0" w:after="120"/>
      </w:pPr>
      <w:bookmarkStart w:id="192" w:name="_Toc144874698"/>
      <w:bookmarkStart w:id="193" w:name="_Toc144875286"/>
      <w:r>
        <w:lastRenderedPageBreak/>
        <w:t>Example 9.3:</w:t>
      </w:r>
      <w:r w:rsidR="00A43389">
        <w:t xml:space="preserve"> </w:t>
      </w:r>
      <w:r w:rsidR="00D8141B" w:rsidRPr="00D8141B">
        <w:t>Multiple gradual process occupational hearing loss</w:t>
      </w:r>
      <w:bookmarkEnd w:id="192"/>
      <w:bookmarkEnd w:id="193"/>
    </w:p>
    <w:p w:rsidR="00D8141B" w:rsidRPr="00D8141B" w:rsidRDefault="00D8141B" w:rsidP="00A43389">
      <w:pPr>
        <w:pStyle w:val="BodyText9"/>
        <w:numPr>
          <w:ilvl w:val="0"/>
          <w:numId w:val="0"/>
        </w:numPr>
        <w:spacing w:after="120"/>
        <w:ind w:left="709"/>
      </w:pPr>
      <w:r w:rsidRPr="00D8141B">
        <w:t>A 63-year-old male boat builder and printer gave a history of hearing difficulty and tinnitus. There had been marked chronic exposure to noise and solvents in both occupations for 35 years altogether. The assessing medical specialist diagnosed bilateral noise-induced hearing loss and bilateral solvent-induced hearing loss with severe tinnitus.</w:t>
      </w:r>
    </w:p>
    <w:p w:rsidR="00D8141B" w:rsidRPr="00D8141B" w:rsidRDefault="00D8141B" w:rsidP="00A43389">
      <w:pPr>
        <w:pStyle w:val="BodyText9"/>
        <w:numPr>
          <w:ilvl w:val="0"/>
          <w:numId w:val="0"/>
        </w:numPr>
        <w:spacing w:after="120"/>
        <w:ind w:left="709"/>
      </w:pPr>
      <w:r w:rsidRPr="00D8141B">
        <w:t>The assessing medical specialist's opinion is that the solvent exposure contributed to the hearing impairment as a gradual process injury. The total noise-induced and solvent-induced BHI was 17.5 per cent.</w:t>
      </w:r>
    </w:p>
    <w:p w:rsidR="00D8141B" w:rsidRPr="00D8141B" w:rsidRDefault="00D8141B" w:rsidP="00A43389">
      <w:pPr>
        <w:pStyle w:val="BodyText9"/>
        <w:numPr>
          <w:ilvl w:val="0"/>
          <w:numId w:val="0"/>
        </w:numPr>
        <w:spacing w:after="120"/>
        <w:ind w:left="709"/>
      </w:pPr>
      <w:r w:rsidRPr="00D8141B">
        <w:t xml:space="preserve">The appropriate </w:t>
      </w:r>
      <w:r w:rsidR="00802CA9">
        <w:t>presbyacusis</w:t>
      </w:r>
      <w:r w:rsidRPr="00D8141B">
        <w:t xml:space="preserve"> deduction was applied. Then, the assessing medical specialist added two per cent to the after-</w:t>
      </w:r>
      <w:r w:rsidR="00802CA9">
        <w:t>presbyacusis</w:t>
      </w:r>
      <w:r w:rsidRPr="00D8141B">
        <w:t xml:space="preserve"> binaural hearing impairment for severe tinnitus.</w:t>
      </w:r>
    </w:p>
    <w:p w:rsidR="00D8141B" w:rsidRPr="00D8141B" w:rsidRDefault="00D8141B" w:rsidP="00A43389">
      <w:pPr>
        <w:pStyle w:val="Heading3"/>
        <w:spacing w:before="0" w:after="80"/>
        <w:jc w:val="center"/>
      </w:pPr>
      <w:bookmarkStart w:id="194" w:name="_Toc144874699"/>
      <w:bookmarkStart w:id="195" w:name="_Toc144875287"/>
      <w:r w:rsidRPr="00D8141B">
        <w:t>Pure tone audiometry</w:t>
      </w:r>
      <w:bookmarkEnd w:id="194"/>
      <w:bookmarkEnd w:id="195"/>
    </w:p>
    <w:tbl>
      <w:tblPr>
        <w:tblW w:w="0" w:type="auto"/>
        <w:tblInd w:w="704" w:type="dxa"/>
        <w:tblLayout w:type="fixed"/>
        <w:tblLook w:val="0000" w:firstRow="0" w:lastRow="0" w:firstColumn="0" w:lastColumn="0" w:noHBand="0" w:noVBand="0"/>
      </w:tblPr>
      <w:tblGrid>
        <w:gridCol w:w="2268"/>
        <w:gridCol w:w="1701"/>
        <w:gridCol w:w="2126"/>
        <w:gridCol w:w="2268"/>
      </w:tblGrid>
      <w:tr w:rsidR="00D8141B" w:rsidRPr="00A43389" w:rsidTr="00A43389">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A43389" w:rsidRDefault="00D8141B" w:rsidP="00A43389">
            <w:pPr>
              <w:keepNext/>
              <w:keepLines/>
              <w:widowControl w:val="0"/>
              <w:spacing w:before="10" w:after="1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Frequency (Hz)</w:t>
            </w:r>
          </w:p>
        </w:tc>
        <w:tc>
          <w:tcPr>
            <w:tcW w:w="1701"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A43389" w:rsidRDefault="00D8141B" w:rsidP="00A43389">
            <w:pPr>
              <w:keepNext/>
              <w:keepLines/>
              <w:widowControl w:val="0"/>
              <w:spacing w:before="10" w:after="1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Left (dB HL)</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A43389" w:rsidRDefault="00D8141B" w:rsidP="00A43389">
            <w:pPr>
              <w:keepNext/>
              <w:keepLines/>
              <w:widowControl w:val="0"/>
              <w:spacing w:before="10" w:after="1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Right (dB HL)</w:t>
            </w:r>
          </w:p>
        </w:tc>
        <w:tc>
          <w:tcPr>
            <w:tcW w:w="2268"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A43389" w:rsidRDefault="00D8141B" w:rsidP="00A43389">
            <w:pPr>
              <w:keepNext/>
              <w:keepLines/>
              <w:widowControl w:val="0"/>
              <w:spacing w:before="10" w:after="1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Binaural hearing impairment (%BHI)</w:t>
            </w:r>
          </w:p>
        </w:tc>
      </w:tr>
      <w:tr w:rsidR="00D8141B" w:rsidRPr="00A43389" w:rsidTr="00A43389">
        <w:tc>
          <w:tcPr>
            <w:tcW w:w="2268" w:type="dxa"/>
            <w:tcBorders>
              <w:top w:val="single" w:sz="4" w:space="0" w:color="auto"/>
              <w:lef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500</w:t>
            </w:r>
          </w:p>
        </w:tc>
        <w:tc>
          <w:tcPr>
            <w:tcW w:w="1701" w:type="dxa"/>
            <w:tcBorders>
              <w:top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c>
          <w:tcPr>
            <w:tcW w:w="2126" w:type="dxa"/>
            <w:tcBorders>
              <w:top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c>
          <w:tcPr>
            <w:tcW w:w="2268" w:type="dxa"/>
            <w:tcBorders>
              <w:top w:val="single" w:sz="4" w:space="0" w:color="auto"/>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0.0</w:t>
            </w:r>
          </w:p>
        </w:tc>
      </w:tr>
      <w:tr w:rsidR="00D8141B" w:rsidRPr="00A43389" w:rsidTr="00A43389">
        <w:tc>
          <w:tcPr>
            <w:tcW w:w="2268" w:type="dxa"/>
            <w:tcBorders>
              <w:lef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1000</w:t>
            </w:r>
          </w:p>
        </w:tc>
        <w:tc>
          <w:tcPr>
            <w:tcW w:w="1701"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c>
          <w:tcPr>
            <w:tcW w:w="2126"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c>
          <w:tcPr>
            <w:tcW w:w="2268" w:type="dxa"/>
            <w:tcBorders>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0.0</w:t>
            </w:r>
          </w:p>
        </w:tc>
      </w:tr>
      <w:tr w:rsidR="00D8141B" w:rsidRPr="00A43389" w:rsidTr="00A43389">
        <w:tc>
          <w:tcPr>
            <w:tcW w:w="2268" w:type="dxa"/>
            <w:tcBorders>
              <w:lef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rPr>
            </w:pPr>
            <w:r w:rsidRPr="00A43389">
              <w:rPr>
                <w:rFonts w:eastAsia="Times New Roman" w:cs="Arial"/>
                <w:snapToGrid w:val="0"/>
                <w:sz w:val="20"/>
                <w:szCs w:val="20"/>
              </w:rPr>
              <w:t>1500</w:t>
            </w:r>
          </w:p>
        </w:tc>
        <w:tc>
          <w:tcPr>
            <w:tcW w:w="1701"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rPr>
            </w:pPr>
            <w:r w:rsidRPr="00A43389">
              <w:rPr>
                <w:rFonts w:eastAsia="Times New Roman" w:cs="Arial"/>
                <w:snapToGrid w:val="0"/>
                <w:sz w:val="20"/>
                <w:szCs w:val="20"/>
              </w:rPr>
              <w:t>25</w:t>
            </w:r>
          </w:p>
        </w:tc>
        <w:tc>
          <w:tcPr>
            <w:tcW w:w="2126"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rPr>
            </w:pPr>
            <w:r w:rsidRPr="00A43389">
              <w:rPr>
                <w:rFonts w:eastAsia="Times New Roman" w:cs="Arial"/>
                <w:snapToGrid w:val="0"/>
                <w:sz w:val="20"/>
                <w:szCs w:val="20"/>
              </w:rPr>
              <w:t>25</w:t>
            </w:r>
          </w:p>
        </w:tc>
        <w:tc>
          <w:tcPr>
            <w:tcW w:w="2268" w:type="dxa"/>
            <w:tcBorders>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rPr>
            </w:pPr>
            <w:r w:rsidRPr="00A43389">
              <w:rPr>
                <w:rFonts w:eastAsia="Times New Roman" w:cs="Arial"/>
                <w:snapToGrid w:val="0"/>
                <w:sz w:val="20"/>
                <w:szCs w:val="20"/>
              </w:rPr>
              <w:t>1.4</w:t>
            </w:r>
          </w:p>
        </w:tc>
      </w:tr>
      <w:tr w:rsidR="00D8141B" w:rsidRPr="00A43389" w:rsidTr="00A43389">
        <w:tc>
          <w:tcPr>
            <w:tcW w:w="2268" w:type="dxa"/>
            <w:tcBorders>
              <w:lef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2000</w:t>
            </w:r>
          </w:p>
        </w:tc>
        <w:tc>
          <w:tcPr>
            <w:tcW w:w="1701"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35</w:t>
            </w:r>
          </w:p>
        </w:tc>
        <w:tc>
          <w:tcPr>
            <w:tcW w:w="2126"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40</w:t>
            </w:r>
          </w:p>
        </w:tc>
        <w:tc>
          <w:tcPr>
            <w:tcW w:w="2268" w:type="dxa"/>
            <w:tcBorders>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3.8</w:t>
            </w:r>
          </w:p>
        </w:tc>
      </w:tr>
      <w:tr w:rsidR="00D8141B" w:rsidRPr="00A43389" w:rsidTr="00A43389">
        <w:tc>
          <w:tcPr>
            <w:tcW w:w="2268" w:type="dxa"/>
            <w:tcBorders>
              <w:lef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3000</w:t>
            </w:r>
          </w:p>
        </w:tc>
        <w:tc>
          <w:tcPr>
            <w:tcW w:w="1701"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60</w:t>
            </w:r>
          </w:p>
        </w:tc>
        <w:tc>
          <w:tcPr>
            <w:tcW w:w="2126"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60</w:t>
            </w:r>
          </w:p>
        </w:tc>
        <w:tc>
          <w:tcPr>
            <w:tcW w:w="2268" w:type="dxa"/>
            <w:tcBorders>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6.3</w:t>
            </w:r>
          </w:p>
        </w:tc>
      </w:tr>
      <w:tr w:rsidR="00D8141B" w:rsidRPr="00A43389" w:rsidTr="00A43389">
        <w:tc>
          <w:tcPr>
            <w:tcW w:w="2268" w:type="dxa"/>
            <w:tcBorders>
              <w:lef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4000</w:t>
            </w:r>
          </w:p>
        </w:tc>
        <w:tc>
          <w:tcPr>
            <w:tcW w:w="1701"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60</w:t>
            </w:r>
          </w:p>
        </w:tc>
        <w:tc>
          <w:tcPr>
            <w:tcW w:w="2126"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60</w:t>
            </w:r>
          </w:p>
        </w:tc>
        <w:tc>
          <w:tcPr>
            <w:tcW w:w="2268" w:type="dxa"/>
            <w:tcBorders>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6.0</w:t>
            </w:r>
          </w:p>
        </w:tc>
      </w:tr>
      <w:tr w:rsidR="00D8141B" w:rsidRPr="00A43389" w:rsidTr="00A43389">
        <w:tc>
          <w:tcPr>
            <w:tcW w:w="2268" w:type="dxa"/>
            <w:tcBorders>
              <w:lef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6000</w:t>
            </w:r>
          </w:p>
        </w:tc>
        <w:tc>
          <w:tcPr>
            <w:tcW w:w="1701"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45</w:t>
            </w:r>
          </w:p>
        </w:tc>
        <w:tc>
          <w:tcPr>
            <w:tcW w:w="2126" w:type="dxa"/>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50</w:t>
            </w:r>
          </w:p>
        </w:tc>
        <w:tc>
          <w:tcPr>
            <w:tcW w:w="2268" w:type="dxa"/>
            <w:tcBorders>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w:t>
            </w:r>
          </w:p>
        </w:tc>
      </w:tr>
      <w:tr w:rsidR="00D8141B" w:rsidRPr="00A43389" w:rsidTr="00A43389">
        <w:tc>
          <w:tcPr>
            <w:tcW w:w="2268" w:type="dxa"/>
            <w:tcBorders>
              <w:left w:val="single" w:sz="4" w:space="0" w:color="auto"/>
              <w:bottom w:val="single" w:sz="2"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8000</w:t>
            </w:r>
          </w:p>
        </w:tc>
        <w:tc>
          <w:tcPr>
            <w:tcW w:w="1701" w:type="dxa"/>
            <w:tcBorders>
              <w:bottom w:val="single" w:sz="2"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40</w:t>
            </w:r>
          </w:p>
        </w:tc>
        <w:tc>
          <w:tcPr>
            <w:tcW w:w="2126" w:type="dxa"/>
            <w:tcBorders>
              <w:bottom w:val="single" w:sz="2"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40</w:t>
            </w:r>
          </w:p>
        </w:tc>
        <w:tc>
          <w:tcPr>
            <w:tcW w:w="2268" w:type="dxa"/>
            <w:tcBorders>
              <w:bottom w:val="single" w:sz="2" w:space="0" w:color="auto"/>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b/>
                <w:snapToGrid w:val="0"/>
                <w:sz w:val="20"/>
                <w:szCs w:val="20"/>
                <w:lang w:val="en-GB"/>
              </w:rPr>
            </w:pPr>
            <w:r w:rsidRPr="00A43389">
              <w:rPr>
                <w:rFonts w:eastAsia="Times New Roman" w:cs="Arial"/>
                <w:snapToGrid w:val="0"/>
                <w:sz w:val="20"/>
                <w:szCs w:val="20"/>
                <w:lang w:val="en-GB"/>
              </w:rPr>
              <w:t>–</w:t>
            </w:r>
          </w:p>
        </w:tc>
      </w:tr>
      <w:tr w:rsidR="00D8141B" w:rsidRPr="00A43389" w:rsidTr="00A43389">
        <w:trPr>
          <w:cantSplit/>
        </w:trPr>
        <w:tc>
          <w:tcPr>
            <w:tcW w:w="6095" w:type="dxa"/>
            <w:gridSpan w:val="3"/>
            <w:tcBorders>
              <w:top w:val="single" w:sz="2" w:space="0" w:color="auto"/>
              <w:left w:val="single" w:sz="4" w:space="0" w:color="auto"/>
              <w:bottom w:val="single" w:sz="2" w:space="0" w:color="auto"/>
            </w:tcBorders>
          </w:tcPr>
          <w:p w:rsidR="00D8141B" w:rsidRPr="00A43389" w:rsidRDefault="00D8141B" w:rsidP="00A43389">
            <w:pPr>
              <w:keepNext/>
              <w:keepLines/>
              <w:widowControl w:val="0"/>
              <w:spacing w:before="10" w:after="10" w:line="240" w:lineRule="auto"/>
              <w:rPr>
                <w:rFonts w:eastAsia="Times New Roman" w:cs="Arial"/>
                <w:snapToGrid w:val="0"/>
                <w:sz w:val="20"/>
                <w:szCs w:val="20"/>
                <w:lang w:val="en-GB"/>
              </w:rPr>
            </w:pPr>
            <w:r w:rsidRPr="00A43389">
              <w:rPr>
                <w:rFonts w:eastAsia="Times New Roman" w:cs="Arial"/>
                <w:snapToGrid w:val="0"/>
                <w:sz w:val="20"/>
                <w:szCs w:val="20"/>
                <w:lang w:val="en-GB"/>
              </w:rPr>
              <w:t>Total noise-induced and solvent-induced BHI (%)</w:t>
            </w:r>
          </w:p>
        </w:tc>
        <w:tc>
          <w:tcPr>
            <w:tcW w:w="2268" w:type="dxa"/>
            <w:tcBorders>
              <w:top w:val="single" w:sz="2" w:space="0" w:color="auto"/>
              <w:bottom w:val="single" w:sz="2" w:space="0" w:color="auto"/>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17.5</w:t>
            </w:r>
          </w:p>
        </w:tc>
      </w:tr>
      <w:tr w:rsidR="00D8141B" w:rsidRPr="00A43389" w:rsidTr="00A43389">
        <w:trPr>
          <w:cantSplit/>
        </w:trPr>
        <w:tc>
          <w:tcPr>
            <w:tcW w:w="6095" w:type="dxa"/>
            <w:gridSpan w:val="3"/>
            <w:tcBorders>
              <w:top w:val="single" w:sz="2" w:space="0" w:color="auto"/>
              <w:left w:val="single" w:sz="4" w:space="0" w:color="auto"/>
              <w:bottom w:val="single" w:sz="2" w:space="0" w:color="auto"/>
            </w:tcBorders>
          </w:tcPr>
          <w:p w:rsidR="00D8141B" w:rsidRPr="00A43389" w:rsidRDefault="00802CA9" w:rsidP="00A43389">
            <w:pPr>
              <w:keepNext/>
              <w:keepLines/>
              <w:widowControl w:val="0"/>
              <w:spacing w:before="10" w:after="10" w:line="240" w:lineRule="auto"/>
              <w:rPr>
                <w:rFonts w:eastAsia="Times New Roman" w:cs="Arial"/>
                <w:snapToGrid w:val="0"/>
                <w:sz w:val="20"/>
                <w:szCs w:val="20"/>
                <w:lang w:val="en-GB"/>
              </w:rPr>
            </w:pPr>
            <w:r w:rsidRPr="00A43389">
              <w:rPr>
                <w:rFonts w:eastAsia="Times New Roman" w:cs="Arial"/>
                <w:snapToGrid w:val="0"/>
                <w:sz w:val="20"/>
                <w:szCs w:val="20"/>
                <w:lang w:val="en-GB"/>
              </w:rPr>
              <w:t>Presbyacusis</w:t>
            </w:r>
            <w:r w:rsidR="00D8141B" w:rsidRPr="00A43389">
              <w:rPr>
                <w:rFonts w:eastAsia="Times New Roman" w:cs="Arial"/>
                <w:snapToGrid w:val="0"/>
                <w:sz w:val="20"/>
                <w:szCs w:val="20"/>
                <w:lang w:val="en-GB"/>
              </w:rPr>
              <w:t xml:space="preserve"> correction of 1.7%</w:t>
            </w:r>
          </w:p>
        </w:tc>
        <w:tc>
          <w:tcPr>
            <w:tcW w:w="2268" w:type="dxa"/>
            <w:tcBorders>
              <w:top w:val="single" w:sz="2" w:space="0" w:color="auto"/>
              <w:bottom w:val="single" w:sz="2" w:space="0" w:color="auto"/>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15.8</w:t>
            </w:r>
          </w:p>
        </w:tc>
      </w:tr>
      <w:tr w:rsidR="00D8141B" w:rsidRPr="00A43389" w:rsidTr="00A43389">
        <w:trPr>
          <w:cantSplit/>
        </w:trPr>
        <w:tc>
          <w:tcPr>
            <w:tcW w:w="6095" w:type="dxa"/>
            <w:gridSpan w:val="3"/>
            <w:tcBorders>
              <w:top w:val="single" w:sz="2" w:space="0" w:color="auto"/>
              <w:left w:val="single" w:sz="4" w:space="0" w:color="auto"/>
              <w:bottom w:val="single" w:sz="2" w:space="0" w:color="auto"/>
            </w:tcBorders>
          </w:tcPr>
          <w:p w:rsidR="00D8141B" w:rsidRPr="00A43389" w:rsidRDefault="00D8141B" w:rsidP="00A43389">
            <w:pPr>
              <w:keepNext/>
              <w:keepLines/>
              <w:widowControl w:val="0"/>
              <w:spacing w:before="10" w:after="10" w:line="240" w:lineRule="auto"/>
              <w:rPr>
                <w:rFonts w:eastAsia="Times New Roman" w:cs="Arial"/>
                <w:snapToGrid w:val="0"/>
                <w:sz w:val="20"/>
                <w:szCs w:val="20"/>
                <w:lang w:val="en-GB"/>
              </w:rPr>
            </w:pPr>
            <w:r w:rsidRPr="00A43389">
              <w:rPr>
                <w:rFonts w:eastAsia="Times New Roman" w:cs="Arial"/>
                <w:snapToGrid w:val="0"/>
                <w:sz w:val="20"/>
                <w:szCs w:val="20"/>
                <w:lang w:val="en-GB"/>
              </w:rPr>
              <w:t>2% addition for medically assessed severe tinnitus</w:t>
            </w:r>
          </w:p>
        </w:tc>
        <w:tc>
          <w:tcPr>
            <w:tcW w:w="2268" w:type="dxa"/>
            <w:tcBorders>
              <w:top w:val="single" w:sz="2" w:space="0" w:color="auto"/>
              <w:bottom w:val="single" w:sz="2" w:space="0" w:color="auto"/>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17.8</w:t>
            </w:r>
          </w:p>
        </w:tc>
      </w:tr>
      <w:tr w:rsidR="00D8141B" w:rsidRPr="00A43389" w:rsidTr="00A43389">
        <w:trPr>
          <w:cantSplit/>
        </w:trPr>
        <w:tc>
          <w:tcPr>
            <w:tcW w:w="6095" w:type="dxa"/>
            <w:gridSpan w:val="3"/>
            <w:tcBorders>
              <w:top w:val="single" w:sz="2" w:space="0" w:color="auto"/>
              <w:left w:val="single" w:sz="4" w:space="0" w:color="auto"/>
              <w:bottom w:val="single" w:sz="2" w:space="0" w:color="auto"/>
            </w:tcBorders>
          </w:tcPr>
          <w:p w:rsidR="00D8141B" w:rsidRPr="00A43389" w:rsidRDefault="00D8141B" w:rsidP="00A43389">
            <w:pPr>
              <w:keepNext/>
              <w:keepLines/>
              <w:widowControl w:val="0"/>
              <w:spacing w:before="10" w:after="10" w:line="240" w:lineRule="auto"/>
              <w:rPr>
                <w:rFonts w:eastAsia="Times New Roman" w:cs="Arial"/>
                <w:snapToGrid w:val="0"/>
                <w:sz w:val="20"/>
                <w:szCs w:val="20"/>
                <w:lang w:val="en-GB"/>
              </w:rPr>
            </w:pPr>
            <w:r w:rsidRPr="00A43389">
              <w:rPr>
                <w:rFonts w:eastAsia="Times New Roman" w:cs="Arial"/>
                <w:snapToGrid w:val="0"/>
                <w:sz w:val="20"/>
                <w:szCs w:val="20"/>
                <w:lang w:val="en-GB"/>
              </w:rPr>
              <w:t xml:space="preserve">Adjusted Total BHI </w:t>
            </w:r>
          </w:p>
        </w:tc>
        <w:tc>
          <w:tcPr>
            <w:tcW w:w="2268" w:type="dxa"/>
            <w:tcBorders>
              <w:top w:val="single" w:sz="2" w:space="0" w:color="auto"/>
              <w:bottom w:val="single" w:sz="2" w:space="0" w:color="auto"/>
              <w:right w:val="single" w:sz="4" w:space="0" w:color="auto"/>
            </w:tcBorders>
          </w:tcPr>
          <w:p w:rsidR="00D8141B" w:rsidRPr="00A43389" w:rsidRDefault="00D8141B" w:rsidP="00A43389">
            <w:pPr>
              <w:keepNext/>
              <w:keepLines/>
              <w:widowControl w:val="0"/>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17.8</w:t>
            </w:r>
          </w:p>
        </w:tc>
      </w:tr>
      <w:tr w:rsidR="00D8141B" w:rsidRPr="00A43389" w:rsidTr="00A43389">
        <w:trPr>
          <w:cantSplit/>
        </w:trPr>
        <w:tc>
          <w:tcPr>
            <w:tcW w:w="8363" w:type="dxa"/>
            <w:gridSpan w:val="4"/>
            <w:tcBorders>
              <w:top w:val="single" w:sz="2" w:space="0" w:color="auto"/>
              <w:left w:val="single" w:sz="4" w:space="0" w:color="auto"/>
              <w:bottom w:val="single" w:sz="4" w:space="0" w:color="auto"/>
              <w:right w:val="single" w:sz="4" w:space="0" w:color="auto"/>
            </w:tcBorders>
          </w:tcPr>
          <w:p w:rsidR="00D8141B" w:rsidRPr="00A43389" w:rsidRDefault="00D8141B" w:rsidP="00A43389">
            <w:pPr>
              <w:keepLines/>
              <w:widowControl w:val="0"/>
              <w:spacing w:before="10" w:after="10" w:line="240" w:lineRule="auto"/>
              <w:rPr>
                <w:rFonts w:eastAsia="Times New Roman" w:cs="Arial"/>
                <w:snapToGrid w:val="0"/>
                <w:sz w:val="20"/>
                <w:szCs w:val="20"/>
                <w:lang w:val="en-GB"/>
              </w:rPr>
            </w:pPr>
            <w:r w:rsidRPr="00A43389">
              <w:rPr>
                <w:rFonts w:eastAsia="Times New Roman" w:cs="Arial"/>
                <w:snapToGrid w:val="0"/>
                <w:sz w:val="20"/>
                <w:szCs w:val="20"/>
                <w:lang w:val="en-GB"/>
              </w:rPr>
              <w:t>Resultant total BHI of 17.8% = 9% WPI (Table 9.1)</w:t>
            </w:r>
          </w:p>
        </w:tc>
      </w:tr>
    </w:tbl>
    <w:p w:rsidR="00D8141B" w:rsidRPr="00D8141B" w:rsidRDefault="0057644C" w:rsidP="00A43389">
      <w:pPr>
        <w:pStyle w:val="Heading3"/>
        <w:spacing w:before="240" w:after="120"/>
      </w:pPr>
      <w:bookmarkStart w:id="196" w:name="_Toc144874700"/>
      <w:bookmarkStart w:id="197" w:name="_Toc144875288"/>
      <w:r>
        <w:t>Example 9.4:</w:t>
      </w:r>
      <w:r w:rsidR="00A43389">
        <w:t xml:space="preserve"> </w:t>
      </w:r>
      <w:r w:rsidR="00D8141B" w:rsidRPr="00D8141B">
        <w:t>Occupational hearing loss from head injury</w:t>
      </w:r>
      <w:bookmarkEnd w:id="196"/>
      <w:bookmarkEnd w:id="197"/>
    </w:p>
    <w:p w:rsidR="00D8141B" w:rsidRPr="00D8141B" w:rsidRDefault="00D8141B" w:rsidP="00A43389">
      <w:pPr>
        <w:pStyle w:val="BodyText9"/>
        <w:numPr>
          <w:ilvl w:val="0"/>
          <w:numId w:val="0"/>
        </w:numPr>
        <w:spacing w:after="120"/>
        <w:ind w:left="709"/>
      </w:pPr>
      <w:r w:rsidRPr="00D8141B">
        <w:t>A 62-year-old male worker sustained a head injury after falling from a ladder. He suffered left hearing loss and tinnitus unaccompanied by vertigo. The assessing medical specialist assesses his tinnitus as severe. External auditory canals and tympanic membranes are normal. Rinne test is positive bilaterally and Weber test lateralises to the right. CT scan of the temporal bones shows a fracture on the left. Clinical assessment of hearing is consistent with pure tone audiometry, which shows a flat left sensorineural hearing loss and mild right sensorineural hearing loss.</w:t>
      </w:r>
    </w:p>
    <w:p w:rsidR="00D8141B" w:rsidRPr="00D8141B" w:rsidRDefault="00D8141B" w:rsidP="00A43389">
      <w:pPr>
        <w:pStyle w:val="Heading3"/>
        <w:keepNext w:val="0"/>
        <w:spacing w:before="120" w:after="80"/>
        <w:jc w:val="center"/>
      </w:pPr>
      <w:bookmarkStart w:id="198" w:name="_Toc144874701"/>
      <w:bookmarkStart w:id="199" w:name="_Toc144875289"/>
      <w:r w:rsidRPr="00D8141B">
        <w:t>Pure tone audiometry</w:t>
      </w:r>
      <w:bookmarkEnd w:id="198"/>
      <w:bookmarkEnd w:id="199"/>
    </w:p>
    <w:tbl>
      <w:tblPr>
        <w:tblW w:w="0" w:type="auto"/>
        <w:jc w:val="center"/>
        <w:tblLayout w:type="fixed"/>
        <w:tblLook w:val="0000" w:firstRow="0" w:lastRow="0" w:firstColumn="0" w:lastColumn="0" w:noHBand="0" w:noVBand="0"/>
      </w:tblPr>
      <w:tblGrid>
        <w:gridCol w:w="1428"/>
        <w:gridCol w:w="1236"/>
        <w:gridCol w:w="1248"/>
        <w:gridCol w:w="2916"/>
        <w:gridCol w:w="17"/>
      </w:tblGrid>
      <w:tr w:rsidR="00D8141B" w:rsidRPr="00A43389" w:rsidTr="003F702E">
        <w:trPr>
          <w:gridAfter w:val="1"/>
          <w:wAfter w:w="17" w:type="dxa"/>
          <w:jc w:val="center"/>
        </w:trPr>
        <w:tc>
          <w:tcPr>
            <w:tcW w:w="1428" w:type="dxa"/>
            <w:tcBorders>
              <w:top w:val="single" w:sz="4" w:space="0" w:color="auto"/>
              <w:left w:val="single" w:sz="4" w:space="0" w:color="auto"/>
              <w:bottom w:val="single" w:sz="4" w:space="0" w:color="auto"/>
              <w:right w:val="single" w:sz="4" w:space="0" w:color="auto"/>
            </w:tcBorders>
            <w:shd w:val="pct10" w:color="auto" w:fill="auto"/>
            <w:vAlign w:val="bottom"/>
          </w:tcPr>
          <w:p w:rsidR="00D8141B" w:rsidRPr="00A43389" w:rsidRDefault="00D8141B" w:rsidP="00A43389">
            <w:pPr>
              <w:spacing w:before="10" w:after="1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Frequency (Hz)</w:t>
            </w:r>
          </w:p>
        </w:tc>
        <w:tc>
          <w:tcPr>
            <w:tcW w:w="1236" w:type="dxa"/>
            <w:tcBorders>
              <w:top w:val="single" w:sz="4" w:space="0" w:color="auto"/>
              <w:left w:val="single" w:sz="4" w:space="0" w:color="auto"/>
              <w:bottom w:val="single" w:sz="4" w:space="0" w:color="auto"/>
              <w:right w:val="single" w:sz="4" w:space="0" w:color="auto"/>
            </w:tcBorders>
            <w:shd w:val="pct10" w:color="auto" w:fill="auto"/>
            <w:vAlign w:val="bottom"/>
          </w:tcPr>
          <w:p w:rsidR="00D8141B" w:rsidRPr="00A43389" w:rsidRDefault="00D8141B" w:rsidP="00A43389">
            <w:pPr>
              <w:spacing w:before="10" w:after="1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 xml:space="preserve">Left </w:t>
            </w:r>
            <w:r w:rsidR="00207C8C" w:rsidRPr="00A43389">
              <w:rPr>
                <w:rFonts w:eastAsia="Times New Roman" w:cs="Arial"/>
                <w:b/>
                <w:bCs/>
                <w:snapToGrid w:val="0"/>
                <w:sz w:val="20"/>
                <w:szCs w:val="20"/>
                <w:lang w:val="en-GB"/>
              </w:rPr>
              <w:t xml:space="preserve">     </w:t>
            </w:r>
            <w:r w:rsidRPr="00A43389">
              <w:rPr>
                <w:rFonts w:eastAsia="Times New Roman" w:cs="Arial"/>
                <w:b/>
                <w:bCs/>
                <w:snapToGrid w:val="0"/>
                <w:sz w:val="20"/>
                <w:szCs w:val="20"/>
                <w:lang w:val="en-GB"/>
              </w:rPr>
              <w:t>(dB HL)</w:t>
            </w:r>
          </w:p>
        </w:tc>
        <w:tc>
          <w:tcPr>
            <w:tcW w:w="1248" w:type="dxa"/>
            <w:tcBorders>
              <w:top w:val="single" w:sz="4" w:space="0" w:color="auto"/>
              <w:left w:val="single" w:sz="4" w:space="0" w:color="auto"/>
              <w:bottom w:val="single" w:sz="4" w:space="0" w:color="auto"/>
              <w:right w:val="single" w:sz="4" w:space="0" w:color="auto"/>
            </w:tcBorders>
            <w:shd w:val="pct10" w:color="auto" w:fill="auto"/>
            <w:vAlign w:val="bottom"/>
          </w:tcPr>
          <w:p w:rsidR="00D8141B" w:rsidRPr="00A43389" w:rsidRDefault="00D8141B" w:rsidP="00A43389">
            <w:pPr>
              <w:spacing w:before="10" w:after="1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 xml:space="preserve">Right </w:t>
            </w:r>
            <w:r w:rsidR="00207C8C" w:rsidRPr="00A43389">
              <w:rPr>
                <w:rFonts w:eastAsia="Times New Roman" w:cs="Arial"/>
                <w:b/>
                <w:bCs/>
                <w:snapToGrid w:val="0"/>
                <w:sz w:val="20"/>
                <w:szCs w:val="20"/>
                <w:lang w:val="en-GB"/>
              </w:rPr>
              <w:t xml:space="preserve">   </w:t>
            </w:r>
            <w:r w:rsidRPr="00A43389">
              <w:rPr>
                <w:rFonts w:eastAsia="Times New Roman" w:cs="Arial"/>
                <w:b/>
                <w:bCs/>
                <w:snapToGrid w:val="0"/>
                <w:sz w:val="20"/>
                <w:szCs w:val="20"/>
                <w:lang w:val="en-GB"/>
              </w:rPr>
              <w:t>(dB HL)</w:t>
            </w:r>
          </w:p>
        </w:tc>
        <w:tc>
          <w:tcPr>
            <w:tcW w:w="2916" w:type="dxa"/>
            <w:tcBorders>
              <w:top w:val="single" w:sz="4" w:space="0" w:color="auto"/>
              <w:left w:val="single" w:sz="4" w:space="0" w:color="auto"/>
              <w:bottom w:val="single" w:sz="4" w:space="0" w:color="auto"/>
              <w:right w:val="single" w:sz="4" w:space="0" w:color="auto"/>
            </w:tcBorders>
            <w:shd w:val="pct10" w:color="auto" w:fill="auto"/>
            <w:vAlign w:val="bottom"/>
          </w:tcPr>
          <w:p w:rsidR="00D8141B" w:rsidRPr="00A43389" w:rsidRDefault="00D8141B" w:rsidP="00A43389">
            <w:pPr>
              <w:spacing w:before="10" w:after="1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Binaural hearing impairment (%BHI)</w:t>
            </w:r>
          </w:p>
        </w:tc>
      </w:tr>
      <w:tr w:rsidR="00D8141B" w:rsidRPr="00A43389" w:rsidTr="003F702E">
        <w:trPr>
          <w:gridAfter w:val="1"/>
          <w:wAfter w:w="17" w:type="dxa"/>
          <w:jc w:val="center"/>
        </w:trPr>
        <w:tc>
          <w:tcPr>
            <w:tcW w:w="1428" w:type="dxa"/>
            <w:tcBorders>
              <w:top w:val="single" w:sz="4" w:space="0" w:color="auto"/>
              <w:lef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500</w:t>
            </w:r>
          </w:p>
        </w:tc>
        <w:tc>
          <w:tcPr>
            <w:tcW w:w="1236" w:type="dxa"/>
            <w:tcBorders>
              <w:top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50</w:t>
            </w:r>
          </w:p>
        </w:tc>
        <w:tc>
          <w:tcPr>
            <w:tcW w:w="1248" w:type="dxa"/>
            <w:tcBorders>
              <w:top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c>
          <w:tcPr>
            <w:tcW w:w="2916" w:type="dxa"/>
            <w:tcBorders>
              <w:top w:val="single" w:sz="4" w:space="0" w:color="auto"/>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2.3</w:t>
            </w:r>
          </w:p>
        </w:tc>
      </w:tr>
      <w:tr w:rsidR="00D8141B" w:rsidRPr="00A43389" w:rsidTr="003F702E">
        <w:trPr>
          <w:gridAfter w:val="1"/>
          <w:wAfter w:w="17" w:type="dxa"/>
          <w:jc w:val="center"/>
        </w:trPr>
        <w:tc>
          <w:tcPr>
            <w:tcW w:w="1428" w:type="dxa"/>
            <w:tcBorders>
              <w:lef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1000</w:t>
            </w:r>
          </w:p>
        </w:tc>
        <w:tc>
          <w:tcPr>
            <w:tcW w:w="1236"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55</w:t>
            </w:r>
          </w:p>
        </w:tc>
        <w:tc>
          <w:tcPr>
            <w:tcW w:w="1248"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c>
          <w:tcPr>
            <w:tcW w:w="2916" w:type="dxa"/>
            <w:tcBorders>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3.1</w:t>
            </w:r>
          </w:p>
        </w:tc>
      </w:tr>
      <w:tr w:rsidR="00D8141B" w:rsidRPr="00A43389" w:rsidTr="003F702E">
        <w:trPr>
          <w:gridAfter w:val="1"/>
          <w:wAfter w:w="17" w:type="dxa"/>
          <w:jc w:val="center"/>
        </w:trPr>
        <w:tc>
          <w:tcPr>
            <w:tcW w:w="1428" w:type="dxa"/>
            <w:tcBorders>
              <w:lef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1500</w:t>
            </w:r>
          </w:p>
        </w:tc>
        <w:tc>
          <w:tcPr>
            <w:tcW w:w="1236"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60</w:t>
            </w:r>
          </w:p>
        </w:tc>
        <w:tc>
          <w:tcPr>
            <w:tcW w:w="1248"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20</w:t>
            </w:r>
          </w:p>
        </w:tc>
        <w:tc>
          <w:tcPr>
            <w:tcW w:w="2916" w:type="dxa"/>
            <w:tcBorders>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3.4</w:t>
            </w:r>
          </w:p>
        </w:tc>
      </w:tr>
      <w:tr w:rsidR="00D8141B" w:rsidRPr="00A43389" w:rsidTr="003F702E">
        <w:trPr>
          <w:gridAfter w:val="1"/>
          <w:wAfter w:w="17" w:type="dxa"/>
          <w:jc w:val="center"/>
        </w:trPr>
        <w:tc>
          <w:tcPr>
            <w:tcW w:w="1428" w:type="dxa"/>
            <w:tcBorders>
              <w:lef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2000</w:t>
            </w:r>
          </w:p>
        </w:tc>
        <w:tc>
          <w:tcPr>
            <w:tcW w:w="1236"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65</w:t>
            </w:r>
          </w:p>
        </w:tc>
        <w:tc>
          <w:tcPr>
            <w:tcW w:w="1248"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20</w:t>
            </w:r>
          </w:p>
        </w:tc>
        <w:tc>
          <w:tcPr>
            <w:tcW w:w="2916" w:type="dxa"/>
            <w:tcBorders>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2.6</w:t>
            </w:r>
          </w:p>
        </w:tc>
      </w:tr>
      <w:tr w:rsidR="00D8141B" w:rsidRPr="00A43389" w:rsidTr="003F702E">
        <w:trPr>
          <w:gridAfter w:val="1"/>
          <w:wAfter w:w="17" w:type="dxa"/>
          <w:jc w:val="center"/>
        </w:trPr>
        <w:tc>
          <w:tcPr>
            <w:tcW w:w="1428" w:type="dxa"/>
            <w:tcBorders>
              <w:lef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3000</w:t>
            </w:r>
          </w:p>
        </w:tc>
        <w:tc>
          <w:tcPr>
            <w:tcW w:w="1236"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65</w:t>
            </w:r>
          </w:p>
        </w:tc>
        <w:tc>
          <w:tcPr>
            <w:tcW w:w="1248"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25</w:t>
            </w:r>
          </w:p>
        </w:tc>
        <w:tc>
          <w:tcPr>
            <w:tcW w:w="2916" w:type="dxa"/>
            <w:tcBorders>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2.2</w:t>
            </w:r>
          </w:p>
        </w:tc>
      </w:tr>
      <w:tr w:rsidR="00D8141B" w:rsidRPr="00A43389" w:rsidTr="003F702E">
        <w:trPr>
          <w:gridAfter w:val="1"/>
          <w:wAfter w:w="17" w:type="dxa"/>
          <w:jc w:val="center"/>
        </w:trPr>
        <w:tc>
          <w:tcPr>
            <w:tcW w:w="1428" w:type="dxa"/>
            <w:tcBorders>
              <w:lef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4000</w:t>
            </w:r>
          </w:p>
        </w:tc>
        <w:tc>
          <w:tcPr>
            <w:tcW w:w="1236"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65</w:t>
            </w:r>
          </w:p>
        </w:tc>
        <w:tc>
          <w:tcPr>
            <w:tcW w:w="1248"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30</w:t>
            </w:r>
          </w:p>
        </w:tc>
        <w:tc>
          <w:tcPr>
            <w:tcW w:w="2916" w:type="dxa"/>
            <w:tcBorders>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2.1</w:t>
            </w:r>
          </w:p>
        </w:tc>
      </w:tr>
      <w:tr w:rsidR="00D8141B" w:rsidRPr="00A43389" w:rsidTr="003F702E">
        <w:trPr>
          <w:gridAfter w:val="1"/>
          <w:wAfter w:w="17" w:type="dxa"/>
          <w:jc w:val="center"/>
        </w:trPr>
        <w:tc>
          <w:tcPr>
            <w:tcW w:w="1428" w:type="dxa"/>
            <w:tcBorders>
              <w:lef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6000</w:t>
            </w:r>
          </w:p>
        </w:tc>
        <w:tc>
          <w:tcPr>
            <w:tcW w:w="1236"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65</w:t>
            </w:r>
          </w:p>
        </w:tc>
        <w:tc>
          <w:tcPr>
            <w:tcW w:w="1248" w:type="dxa"/>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20</w:t>
            </w:r>
          </w:p>
        </w:tc>
        <w:tc>
          <w:tcPr>
            <w:tcW w:w="2916" w:type="dxa"/>
            <w:tcBorders>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w:t>
            </w:r>
          </w:p>
        </w:tc>
      </w:tr>
      <w:tr w:rsidR="00D8141B" w:rsidRPr="00A43389" w:rsidTr="003F702E">
        <w:trPr>
          <w:gridAfter w:val="1"/>
          <w:wAfter w:w="17" w:type="dxa"/>
          <w:jc w:val="center"/>
        </w:trPr>
        <w:tc>
          <w:tcPr>
            <w:tcW w:w="1428" w:type="dxa"/>
            <w:tcBorders>
              <w:left w:val="single" w:sz="4" w:space="0" w:color="auto"/>
              <w:bottom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8000</w:t>
            </w:r>
          </w:p>
        </w:tc>
        <w:tc>
          <w:tcPr>
            <w:tcW w:w="1236" w:type="dxa"/>
            <w:tcBorders>
              <w:bottom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65</w:t>
            </w:r>
          </w:p>
        </w:tc>
        <w:tc>
          <w:tcPr>
            <w:tcW w:w="1248" w:type="dxa"/>
            <w:tcBorders>
              <w:bottom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20</w:t>
            </w:r>
          </w:p>
        </w:tc>
        <w:tc>
          <w:tcPr>
            <w:tcW w:w="2916" w:type="dxa"/>
            <w:tcBorders>
              <w:bottom w:val="single" w:sz="4" w:space="0" w:color="auto"/>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w:t>
            </w:r>
          </w:p>
        </w:tc>
      </w:tr>
      <w:tr w:rsidR="00D8141B" w:rsidRPr="00A43389" w:rsidTr="003F702E">
        <w:trPr>
          <w:cantSplit/>
          <w:jc w:val="center"/>
        </w:trPr>
        <w:tc>
          <w:tcPr>
            <w:tcW w:w="3912" w:type="dxa"/>
            <w:gridSpan w:val="3"/>
            <w:tcBorders>
              <w:top w:val="single" w:sz="2" w:space="0" w:color="auto"/>
              <w:left w:val="single" w:sz="4" w:space="0" w:color="auto"/>
              <w:bottom w:val="single" w:sz="2" w:space="0" w:color="auto"/>
            </w:tcBorders>
          </w:tcPr>
          <w:p w:rsidR="00D8141B" w:rsidRPr="00A43389" w:rsidRDefault="00D8141B" w:rsidP="00A43389">
            <w:pPr>
              <w:spacing w:before="10" w:after="10" w:line="240" w:lineRule="auto"/>
              <w:rPr>
                <w:rFonts w:eastAsia="Times New Roman" w:cs="Arial"/>
                <w:snapToGrid w:val="0"/>
                <w:sz w:val="20"/>
                <w:szCs w:val="20"/>
                <w:lang w:val="en-GB"/>
              </w:rPr>
            </w:pPr>
            <w:r w:rsidRPr="00A43389">
              <w:rPr>
                <w:rFonts w:eastAsia="Times New Roman" w:cs="Arial"/>
                <w:snapToGrid w:val="0"/>
                <w:sz w:val="20"/>
                <w:szCs w:val="20"/>
                <w:lang w:val="en-GB"/>
              </w:rPr>
              <w:t>Total %BHI</w:t>
            </w:r>
          </w:p>
        </w:tc>
        <w:tc>
          <w:tcPr>
            <w:tcW w:w="2928" w:type="dxa"/>
            <w:gridSpan w:val="2"/>
            <w:tcBorders>
              <w:top w:val="single" w:sz="2" w:space="0" w:color="auto"/>
              <w:bottom w:val="single" w:sz="2" w:space="0" w:color="auto"/>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15.7</w:t>
            </w:r>
          </w:p>
        </w:tc>
      </w:tr>
      <w:tr w:rsidR="00D8141B" w:rsidRPr="00A43389" w:rsidTr="003F702E">
        <w:trPr>
          <w:gridAfter w:val="1"/>
          <w:wAfter w:w="17" w:type="dxa"/>
          <w:cantSplit/>
          <w:jc w:val="center"/>
        </w:trPr>
        <w:tc>
          <w:tcPr>
            <w:tcW w:w="3912" w:type="dxa"/>
            <w:gridSpan w:val="3"/>
            <w:tcBorders>
              <w:left w:val="single" w:sz="4" w:space="0" w:color="auto"/>
              <w:bottom w:val="single" w:sz="2" w:space="0" w:color="auto"/>
            </w:tcBorders>
          </w:tcPr>
          <w:p w:rsidR="00D8141B" w:rsidRPr="00A43389" w:rsidRDefault="00D8141B" w:rsidP="00A43389">
            <w:pPr>
              <w:spacing w:before="10" w:after="10" w:line="240" w:lineRule="auto"/>
              <w:rPr>
                <w:rFonts w:eastAsia="Times New Roman" w:cs="Arial"/>
                <w:snapToGrid w:val="0"/>
                <w:sz w:val="20"/>
                <w:szCs w:val="20"/>
                <w:lang w:val="en-GB"/>
              </w:rPr>
            </w:pPr>
            <w:r w:rsidRPr="00A43389">
              <w:rPr>
                <w:rFonts w:eastAsia="Times New Roman" w:cs="Arial"/>
                <w:snapToGrid w:val="0"/>
                <w:sz w:val="20"/>
                <w:szCs w:val="20"/>
                <w:lang w:val="en-GB"/>
              </w:rPr>
              <w:t xml:space="preserve">No correction for </w:t>
            </w:r>
            <w:r w:rsidR="00802CA9" w:rsidRPr="00A43389">
              <w:rPr>
                <w:rFonts w:eastAsia="Times New Roman" w:cs="Arial"/>
                <w:snapToGrid w:val="0"/>
                <w:sz w:val="20"/>
                <w:szCs w:val="20"/>
                <w:lang w:val="en-GB"/>
              </w:rPr>
              <w:t>presbyacusis</w:t>
            </w:r>
            <w:r w:rsidRPr="00A43389">
              <w:rPr>
                <w:rFonts w:eastAsia="Times New Roman" w:cs="Arial"/>
                <w:snapToGrid w:val="0"/>
                <w:sz w:val="20"/>
                <w:szCs w:val="20"/>
                <w:lang w:val="en-GB"/>
              </w:rPr>
              <w:t xml:space="preserve"> applies</w:t>
            </w:r>
          </w:p>
        </w:tc>
        <w:tc>
          <w:tcPr>
            <w:tcW w:w="2916" w:type="dxa"/>
            <w:tcBorders>
              <w:bottom w:val="single" w:sz="2" w:space="0" w:color="auto"/>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w:t>
            </w:r>
          </w:p>
        </w:tc>
      </w:tr>
      <w:tr w:rsidR="00D8141B" w:rsidRPr="00A43389" w:rsidTr="003F702E">
        <w:trPr>
          <w:gridAfter w:val="1"/>
          <w:wAfter w:w="17" w:type="dxa"/>
          <w:cantSplit/>
          <w:jc w:val="center"/>
        </w:trPr>
        <w:tc>
          <w:tcPr>
            <w:tcW w:w="3912" w:type="dxa"/>
            <w:gridSpan w:val="3"/>
            <w:tcBorders>
              <w:top w:val="single" w:sz="2" w:space="0" w:color="auto"/>
              <w:left w:val="single" w:sz="4" w:space="0" w:color="auto"/>
              <w:bottom w:val="single" w:sz="2" w:space="0" w:color="auto"/>
            </w:tcBorders>
          </w:tcPr>
          <w:p w:rsidR="00D8141B" w:rsidRPr="00A43389" w:rsidRDefault="00D8141B" w:rsidP="00A43389">
            <w:pPr>
              <w:spacing w:before="10" w:after="10" w:line="240" w:lineRule="auto"/>
              <w:rPr>
                <w:rFonts w:eastAsia="Times New Roman" w:cs="Arial"/>
                <w:snapToGrid w:val="0"/>
                <w:sz w:val="20"/>
                <w:szCs w:val="20"/>
                <w:lang w:val="en-GB"/>
              </w:rPr>
            </w:pPr>
            <w:r w:rsidRPr="00A43389">
              <w:rPr>
                <w:rFonts w:eastAsia="Times New Roman" w:cs="Arial"/>
                <w:snapToGrid w:val="0"/>
                <w:sz w:val="20"/>
                <w:szCs w:val="20"/>
                <w:lang w:val="en-GB"/>
              </w:rPr>
              <w:t>Add 5.0% for severe tinnitus</w:t>
            </w:r>
          </w:p>
        </w:tc>
        <w:tc>
          <w:tcPr>
            <w:tcW w:w="2916" w:type="dxa"/>
            <w:tcBorders>
              <w:top w:val="single" w:sz="2" w:space="0" w:color="auto"/>
              <w:bottom w:val="single" w:sz="2" w:space="0" w:color="auto"/>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20.7</w:t>
            </w:r>
          </w:p>
        </w:tc>
      </w:tr>
      <w:tr w:rsidR="00D8141B" w:rsidRPr="00A43389" w:rsidTr="003F702E">
        <w:trPr>
          <w:gridAfter w:val="1"/>
          <w:wAfter w:w="17" w:type="dxa"/>
          <w:cantSplit/>
          <w:jc w:val="center"/>
        </w:trPr>
        <w:tc>
          <w:tcPr>
            <w:tcW w:w="3912" w:type="dxa"/>
            <w:gridSpan w:val="3"/>
            <w:tcBorders>
              <w:top w:val="single" w:sz="2" w:space="0" w:color="auto"/>
              <w:left w:val="single" w:sz="4" w:space="0" w:color="auto"/>
              <w:bottom w:val="single" w:sz="2" w:space="0" w:color="auto"/>
            </w:tcBorders>
          </w:tcPr>
          <w:p w:rsidR="00D8141B" w:rsidRPr="00A43389" w:rsidRDefault="00D8141B" w:rsidP="00A43389">
            <w:pPr>
              <w:spacing w:before="10" w:after="10" w:line="240" w:lineRule="auto"/>
              <w:rPr>
                <w:rFonts w:eastAsia="Times New Roman" w:cs="Arial"/>
                <w:snapToGrid w:val="0"/>
                <w:sz w:val="20"/>
                <w:szCs w:val="20"/>
                <w:lang w:val="en-GB"/>
              </w:rPr>
            </w:pPr>
            <w:r w:rsidRPr="00A43389">
              <w:rPr>
                <w:rFonts w:eastAsia="Times New Roman" w:cs="Arial"/>
                <w:snapToGrid w:val="0"/>
                <w:sz w:val="20"/>
                <w:szCs w:val="20"/>
                <w:lang w:val="en-GB"/>
              </w:rPr>
              <w:t>Adjusted total BHI</w:t>
            </w:r>
          </w:p>
        </w:tc>
        <w:tc>
          <w:tcPr>
            <w:tcW w:w="2916" w:type="dxa"/>
            <w:tcBorders>
              <w:top w:val="single" w:sz="2" w:space="0" w:color="auto"/>
              <w:bottom w:val="single" w:sz="2" w:space="0" w:color="auto"/>
              <w:right w:val="single" w:sz="4" w:space="0" w:color="auto"/>
            </w:tcBorders>
          </w:tcPr>
          <w:p w:rsidR="00D8141B" w:rsidRPr="00A43389" w:rsidRDefault="00D8141B" w:rsidP="00A43389">
            <w:pPr>
              <w:spacing w:before="10" w:after="1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20.7</w:t>
            </w:r>
          </w:p>
        </w:tc>
      </w:tr>
      <w:tr w:rsidR="00D8141B" w:rsidRPr="00A43389" w:rsidTr="003F702E">
        <w:trPr>
          <w:cantSplit/>
          <w:jc w:val="center"/>
        </w:trPr>
        <w:tc>
          <w:tcPr>
            <w:tcW w:w="6845" w:type="dxa"/>
            <w:gridSpan w:val="5"/>
            <w:tcBorders>
              <w:top w:val="single" w:sz="4" w:space="0" w:color="auto"/>
              <w:left w:val="single" w:sz="4" w:space="0" w:color="auto"/>
              <w:bottom w:val="single" w:sz="4" w:space="0" w:color="auto"/>
              <w:right w:val="single" w:sz="4" w:space="0" w:color="auto"/>
            </w:tcBorders>
          </w:tcPr>
          <w:p w:rsidR="00D8141B" w:rsidRPr="00A43389" w:rsidRDefault="00D8141B" w:rsidP="00A43389">
            <w:pPr>
              <w:spacing w:before="10" w:after="10" w:line="240" w:lineRule="auto"/>
              <w:rPr>
                <w:rFonts w:eastAsia="Times New Roman" w:cs="Arial"/>
                <w:snapToGrid w:val="0"/>
                <w:sz w:val="20"/>
                <w:szCs w:val="20"/>
                <w:lang w:val="en-GB"/>
              </w:rPr>
            </w:pPr>
            <w:r w:rsidRPr="00A43389">
              <w:rPr>
                <w:rFonts w:eastAsia="Times New Roman" w:cs="Arial"/>
                <w:snapToGrid w:val="0"/>
                <w:sz w:val="20"/>
                <w:szCs w:val="20"/>
                <w:lang w:val="en-GB"/>
              </w:rPr>
              <w:t>Resultant total BHI of 20.7% = 11% WPI (Table 9.1)</w:t>
            </w:r>
          </w:p>
        </w:tc>
      </w:tr>
    </w:tbl>
    <w:p w:rsidR="00D8141B" w:rsidRPr="0057644C" w:rsidRDefault="0057644C" w:rsidP="00A43389">
      <w:pPr>
        <w:pStyle w:val="Heading3"/>
        <w:keepNext w:val="0"/>
        <w:spacing w:before="120" w:after="120"/>
      </w:pPr>
      <w:bookmarkStart w:id="200" w:name="_Toc144874702"/>
      <w:bookmarkStart w:id="201" w:name="_Toc144875290"/>
      <w:r w:rsidRPr="0057644C">
        <w:rPr>
          <w:rStyle w:val="Heading3Char"/>
          <w:b/>
        </w:rPr>
        <w:lastRenderedPageBreak/>
        <w:t>Example 9.5:</w:t>
      </w:r>
      <w:r w:rsidR="00A43389">
        <w:rPr>
          <w:rStyle w:val="Heading3Char"/>
          <w:b/>
        </w:rPr>
        <w:t xml:space="preserve"> </w:t>
      </w:r>
      <w:r w:rsidR="00D8141B" w:rsidRPr="0057644C">
        <w:rPr>
          <w:rStyle w:val="Heading3Char"/>
          <w:b/>
        </w:rPr>
        <w:t>Occupational noise-induced hearin</w:t>
      </w:r>
      <w:r w:rsidRPr="0057644C">
        <w:rPr>
          <w:rStyle w:val="Heading3Char"/>
          <w:b/>
        </w:rPr>
        <w:t xml:space="preserve">g loss with acute occupational </w:t>
      </w:r>
      <w:r w:rsidR="00D8141B" w:rsidRPr="0057644C">
        <w:t>hearing loss</w:t>
      </w:r>
      <w:bookmarkEnd w:id="200"/>
      <w:bookmarkEnd w:id="201"/>
    </w:p>
    <w:p w:rsidR="00D8141B" w:rsidRPr="00D8141B" w:rsidRDefault="00D8141B" w:rsidP="00A43389">
      <w:pPr>
        <w:pStyle w:val="BodyText9"/>
        <w:numPr>
          <w:ilvl w:val="0"/>
          <w:numId w:val="0"/>
        </w:numPr>
        <w:spacing w:after="120"/>
        <w:ind w:left="709"/>
      </w:pPr>
      <w:r w:rsidRPr="00D8141B">
        <w:t>A 65-year-old production worker for 10 years was injured in an explosion at work. He reported immediate post­ injury otalgia and acute hearing loss in the left ear. The assessing medical specialist diagnosed occupational noise-induced hearing loss and left acute acoustic trauma. The assessing medical specialist had no medical evidence that, immediately before the explosion, the hearing in the left ear was significantly different from that in the right ear.</w:t>
      </w:r>
    </w:p>
    <w:p w:rsidR="00D8141B" w:rsidRPr="00D8141B" w:rsidRDefault="00D8141B" w:rsidP="00A43389">
      <w:pPr>
        <w:pStyle w:val="Heading3"/>
        <w:spacing w:before="120" w:after="120"/>
        <w:jc w:val="center"/>
      </w:pPr>
      <w:bookmarkStart w:id="202" w:name="_Toc144874703"/>
      <w:bookmarkStart w:id="203" w:name="_Toc144875291"/>
      <w:r w:rsidRPr="00D8141B">
        <w:t>Pure tone audiometry</w:t>
      </w:r>
      <w:bookmarkEnd w:id="202"/>
      <w:bookmarkEnd w:id="203"/>
    </w:p>
    <w:tbl>
      <w:tblPr>
        <w:tblW w:w="0" w:type="auto"/>
        <w:jc w:val="center"/>
        <w:tblLayout w:type="fixed"/>
        <w:tblCellMar>
          <w:left w:w="84" w:type="dxa"/>
          <w:right w:w="84" w:type="dxa"/>
        </w:tblCellMar>
        <w:tblLook w:val="0000" w:firstRow="0" w:lastRow="0" w:firstColumn="0" w:lastColumn="0" w:noHBand="0" w:noVBand="0"/>
      </w:tblPr>
      <w:tblGrid>
        <w:gridCol w:w="1555"/>
        <w:gridCol w:w="1701"/>
        <w:gridCol w:w="1701"/>
        <w:gridCol w:w="146"/>
        <w:gridCol w:w="1568"/>
        <w:gridCol w:w="695"/>
        <w:gridCol w:w="864"/>
      </w:tblGrid>
      <w:tr w:rsidR="001668C8" w:rsidRPr="00D8141B" w:rsidTr="001668C8">
        <w:trPr>
          <w:jc w:val="center"/>
        </w:trPr>
        <w:tc>
          <w:tcPr>
            <w:tcW w:w="1555"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A43389" w:rsidRDefault="00D8141B" w:rsidP="001668C8">
            <w:pPr>
              <w:keepNext/>
              <w:keepLines/>
              <w:widowControl w:val="0"/>
              <w:spacing w:after="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Frequency (Hz)</w:t>
            </w:r>
          </w:p>
        </w:tc>
        <w:tc>
          <w:tcPr>
            <w:tcW w:w="1701"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A43389" w:rsidRDefault="00D8141B" w:rsidP="001668C8">
            <w:pPr>
              <w:keepNext/>
              <w:keepLines/>
              <w:widowControl w:val="0"/>
              <w:spacing w:after="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Left (dB HL)</w:t>
            </w:r>
          </w:p>
        </w:tc>
        <w:tc>
          <w:tcPr>
            <w:tcW w:w="1847"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D8141B" w:rsidRPr="00A43389" w:rsidRDefault="00D8141B" w:rsidP="001668C8">
            <w:pPr>
              <w:keepNext/>
              <w:keepLines/>
              <w:widowControl w:val="0"/>
              <w:spacing w:after="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Right (dB HL)</w:t>
            </w:r>
          </w:p>
        </w:tc>
        <w:tc>
          <w:tcPr>
            <w:tcW w:w="1568"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A43389" w:rsidRDefault="00D8141B" w:rsidP="001668C8">
            <w:pPr>
              <w:keepNext/>
              <w:keepLines/>
              <w:widowControl w:val="0"/>
              <w:spacing w:after="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Binaural hearing impairment (%BHI)</w:t>
            </w:r>
          </w:p>
        </w:tc>
        <w:tc>
          <w:tcPr>
            <w:tcW w:w="1559"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D8141B" w:rsidRPr="00A43389" w:rsidRDefault="00D8141B" w:rsidP="001668C8">
            <w:pPr>
              <w:keepNext/>
              <w:keepLines/>
              <w:widowControl w:val="0"/>
              <w:spacing w:after="0" w:line="240" w:lineRule="auto"/>
              <w:jc w:val="center"/>
              <w:rPr>
                <w:rFonts w:eastAsia="Times New Roman" w:cs="Arial"/>
                <w:b/>
                <w:bCs/>
                <w:snapToGrid w:val="0"/>
                <w:sz w:val="20"/>
                <w:szCs w:val="20"/>
                <w:lang w:val="en-GB"/>
              </w:rPr>
            </w:pPr>
            <w:r w:rsidRPr="00A43389">
              <w:rPr>
                <w:rFonts w:eastAsia="Times New Roman" w:cs="Arial"/>
                <w:b/>
                <w:bCs/>
                <w:snapToGrid w:val="0"/>
                <w:sz w:val="20"/>
                <w:szCs w:val="20"/>
                <w:lang w:val="en-GB"/>
              </w:rPr>
              <w:t>BHI due to noise-induced hearing loss</w:t>
            </w:r>
          </w:p>
        </w:tc>
      </w:tr>
      <w:tr w:rsidR="001668C8" w:rsidRPr="00D8141B" w:rsidTr="001668C8">
        <w:trPr>
          <w:jc w:val="center"/>
        </w:trPr>
        <w:tc>
          <w:tcPr>
            <w:tcW w:w="1555" w:type="dxa"/>
            <w:tcBorders>
              <w:lef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500</w:t>
            </w:r>
          </w:p>
        </w:tc>
        <w:tc>
          <w:tcPr>
            <w:tcW w:w="1701"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30</w:t>
            </w:r>
          </w:p>
        </w:tc>
        <w:tc>
          <w:tcPr>
            <w:tcW w:w="1847" w:type="dxa"/>
            <w:gridSpan w:val="2"/>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c>
          <w:tcPr>
            <w:tcW w:w="1568"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1.0</w:t>
            </w:r>
          </w:p>
        </w:tc>
        <w:tc>
          <w:tcPr>
            <w:tcW w:w="1559" w:type="dxa"/>
            <w:gridSpan w:val="2"/>
            <w:tcBorders>
              <w:righ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0.0</w:t>
            </w:r>
          </w:p>
        </w:tc>
      </w:tr>
      <w:tr w:rsidR="001668C8" w:rsidRPr="00D8141B" w:rsidTr="001668C8">
        <w:trPr>
          <w:jc w:val="center"/>
        </w:trPr>
        <w:tc>
          <w:tcPr>
            <w:tcW w:w="1555" w:type="dxa"/>
            <w:tcBorders>
              <w:lef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1000</w:t>
            </w:r>
          </w:p>
        </w:tc>
        <w:tc>
          <w:tcPr>
            <w:tcW w:w="1701"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45</w:t>
            </w:r>
          </w:p>
        </w:tc>
        <w:tc>
          <w:tcPr>
            <w:tcW w:w="1847" w:type="dxa"/>
            <w:gridSpan w:val="2"/>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c>
          <w:tcPr>
            <w:tcW w:w="1568"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2.5</w:t>
            </w:r>
          </w:p>
        </w:tc>
        <w:tc>
          <w:tcPr>
            <w:tcW w:w="1559" w:type="dxa"/>
            <w:gridSpan w:val="2"/>
            <w:tcBorders>
              <w:righ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0.0</w:t>
            </w:r>
          </w:p>
        </w:tc>
      </w:tr>
      <w:tr w:rsidR="001668C8" w:rsidRPr="00D8141B" w:rsidTr="001668C8">
        <w:trPr>
          <w:jc w:val="center"/>
        </w:trPr>
        <w:tc>
          <w:tcPr>
            <w:tcW w:w="1555" w:type="dxa"/>
            <w:tcBorders>
              <w:lef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1500</w:t>
            </w:r>
          </w:p>
        </w:tc>
        <w:tc>
          <w:tcPr>
            <w:tcW w:w="1701"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55</w:t>
            </w:r>
          </w:p>
        </w:tc>
        <w:tc>
          <w:tcPr>
            <w:tcW w:w="1847" w:type="dxa"/>
            <w:gridSpan w:val="2"/>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c>
          <w:tcPr>
            <w:tcW w:w="1568"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2.5</w:t>
            </w:r>
          </w:p>
        </w:tc>
        <w:tc>
          <w:tcPr>
            <w:tcW w:w="1559" w:type="dxa"/>
            <w:gridSpan w:val="2"/>
            <w:tcBorders>
              <w:righ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0.0</w:t>
            </w:r>
          </w:p>
        </w:tc>
      </w:tr>
      <w:tr w:rsidR="001668C8" w:rsidRPr="00D8141B" w:rsidTr="001668C8">
        <w:trPr>
          <w:jc w:val="center"/>
        </w:trPr>
        <w:tc>
          <w:tcPr>
            <w:tcW w:w="1555" w:type="dxa"/>
            <w:tcBorders>
              <w:lef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2000</w:t>
            </w:r>
          </w:p>
        </w:tc>
        <w:tc>
          <w:tcPr>
            <w:tcW w:w="1701"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70</w:t>
            </w:r>
          </w:p>
        </w:tc>
        <w:tc>
          <w:tcPr>
            <w:tcW w:w="1847" w:type="dxa"/>
            <w:gridSpan w:val="2"/>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c>
          <w:tcPr>
            <w:tcW w:w="1568"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2.2</w:t>
            </w:r>
          </w:p>
        </w:tc>
        <w:tc>
          <w:tcPr>
            <w:tcW w:w="1559" w:type="dxa"/>
            <w:gridSpan w:val="2"/>
            <w:tcBorders>
              <w:righ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0.0</w:t>
            </w:r>
          </w:p>
        </w:tc>
      </w:tr>
      <w:tr w:rsidR="001668C8" w:rsidRPr="00D8141B" w:rsidTr="001668C8">
        <w:trPr>
          <w:jc w:val="center"/>
        </w:trPr>
        <w:tc>
          <w:tcPr>
            <w:tcW w:w="1555" w:type="dxa"/>
            <w:tcBorders>
              <w:lef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3000</w:t>
            </w:r>
          </w:p>
        </w:tc>
        <w:tc>
          <w:tcPr>
            <w:tcW w:w="1701"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80</w:t>
            </w:r>
          </w:p>
        </w:tc>
        <w:tc>
          <w:tcPr>
            <w:tcW w:w="1847" w:type="dxa"/>
            <w:gridSpan w:val="2"/>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25</w:t>
            </w:r>
          </w:p>
        </w:tc>
        <w:tc>
          <w:tcPr>
            <w:tcW w:w="1568"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2.4</w:t>
            </w:r>
          </w:p>
        </w:tc>
        <w:tc>
          <w:tcPr>
            <w:tcW w:w="1559" w:type="dxa"/>
            <w:gridSpan w:val="2"/>
            <w:tcBorders>
              <w:righ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0.7</w:t>
            </w:r>
          </w:p>
        </w:tc>
      </w:tr>
      <w:tr w:rsidR="001668C8" w:rsidRPr="00D8141B" w:rsidTr="001668C8">
        <w:trPr>
          <w:jc w:val="center"/>
        </w:trPr>
        <w:tc>
          <w:tcPr>
            <w:tcW w:w="1555" w:type="dxa"/>
            <w:tcBorders>
              <w:lef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4000</w:t>
            </w:r>
          </w:p>
        </w:tc>
        <w:tc>
          <w:tcPr>
            <w:tcW w:w="1701"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80</w:t>
            </w:r>
          </w:p>
        </w:tc>
        <w:tc>
          <w:tcPr>
            <w:tcW w:w="1847" w:type="dxa"/>
            <w:gridSpan w:val="2"/>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30</w:t>
            </w:r>
          </w:p>
        </w:tc>
        <w:tc>
          <w:tcPr>
            <w:tcW w:w="1568"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2.3</w:t>
            </w:r>
          </w:p>
        </w:tc>
        <w:tc>
          <w:tcPr>
            <w:tcW w:w="1559" w:type="dxa"/>
            <w:gridSpan w:val="2"/>
            <w:tcBorders>
              <w:righ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0.8</w:t>
            </w:r>
          </w:p>
        </w:tc>
      </w:tr>
      <w:tr w:rsidR="001668C8" w:rsidRPr="00D8141B" w:rsidTr="001668C8">
        <w:trPr>
          <w:jc w:val="center"/>
        </w:trPr>
        <w:tc>
          <w:tcPr>
            <w:tcW w:w="1555" w:type="dxa"/>
            <w:tcBorders>
              <w:lef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6000</w:t>
            </w:r>
          </w:p>
        </w:tc>
        <w:tc>
          <w:tcPr>
            <w:tcW w:w="1701"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&gt;80</w:t>
            </w:r>
          </w:p>
        </w:tc>
        <w:tc>
          <w:tcPr>
            <w:tcW w:w="1847" w:type="dxa"/>
            <w:gridSpan w:val="2"/>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30</w:t>
            </w:r>
          </w:p>
        </w:tc>
        <w:tc>
          <w:tcPr>
            <w:tcW w:w="1568" w:type="dxa"/>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w:t>
            </w:r>
          </w:p>
        </w:tc>
        <w:tc>
          <w:tcPr>
            <w:tcW w:w="1559" w:type="dxa"/>
            <w:gridSpan w:val="2"/>
            <w:tcBorders>
              <w:righ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w:t>
            </w:r>
          </w:p>
        </w:tc>
      </w:tr>
      <w:tr w:rsidR="001668C8" w:rsidRPr="00D8141B" w:rsidTr="001668C8">
        <w:trPr>
          <w:jc w:val="center"/>
        </w:trPr>
        <w:tc>
          <w:tcPr>
            <w:tcW w:w="1555" w:type="dxa"/>
            <w:tcBorders>
              <w:left w:val="single" w:sz="4" w:space="0" w:color="auto"/>
              <w:bottom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8000</w:t>
            </w:r>
          </w:p>
        </w:tc>
        <w:tc>
          <w:tcPr>
            <w:tcW w:w="1701" w:type="dxa"/>
            <w:tcBorders>
              <w:bottom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&gt;80</w:t>
            </w:r>
          </w:p>
        </w:tc>
        <w:tc>
          <w:tcPr>
            <w:tcW w:w="1847" w:type="dxa"/>
            <w:gridSpan w:val="2"/>
            <w:tcBorders>
              <w:bottom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25</w:t>
            </w:r>
          </w:p>
        </w:tc>
        <w:tc>
          <w:tcPr>
            <w:tcW w:w="1568" w:type="dxa"/>
            <w:tcBorders>
              <w:bottom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w:t>
            </w:r>
          </w:p>
        </w:tc>
        <w:tc>
          <w:tcPr>
            <w:tcW w:w="1559" w:type="dxa"/>
            <w:gridSpan w:val="2"/>
            <w:tcBorders>
              <w:bottom w:val="single" w:sz="4" w:space="0" w:color="auto"/>
              <w:righ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w:t>
            </w:r>
          </w:p>
        </w:tc>
      </w:tr>
      <w:tr w:rsidR="00D8141B" w:rsidRPr="00D8141B" w:rsidTr="001668C8">
        <w:trPr>
          <w:cantSplit/>
          <w:jc w:val="center"/>
        </w:trPr>
        <w:tc>
          <w:tcPr>
            <w:tcW w:w="5103" w:type="dxa"/>
            <w:gridSpan w:val="4"/>
            <w:tcBorders>
              <w:left w:val="single" w:sz="4" w:space="0" w:color="auto"/>
              <w:bottom w:val="single" w:sz="2" w:space="0" w:color="auto"/>
            </w:tcBorders>
          </w:tcPr>
          <w:p w:rsidR="00D8141B" w:rsidRPr="00A43389" w:rsidRDefault="00D8141B" w:rsidP="001668C8">
            <w:pPr>
              <w:keepNext/>
              <w:keepLines/>
              <w:widowControl w:val="0"/>
              <w:spacing w:after="0" w:line="240" w:lineRule="auto"/>
              <w:rPr>
                <w:rFonts w:eastAsia="Times New Roman" w:cs="Arial"/>
                <w:snapToGrid w:val="0"/>
                <w:sz w:val="20"/>
                <w:szCs w:val="20"/>
                <w:lang w:val="en-GB"/>
              </w:rPr>
            </w:pPr>
            <w:r w:rsidRPr="00A43389">
              <w:rPr>
                <w:rFonts w:eastAsia="Times New Roman" w:cs="Arial"/>
                <w:snapToGrid w:val="0"/>
                <w:sz w:val="20"/>
                <w:szCs w:val="20"/>
                <w:lang w:val="en-GB"/>
              </w:rPr>
              <w:t>Total BHI (%)</w:t>
            </w:r>
          </w:p>
        </w:tc>
        <w:tc>
          <w:tcPr>
            <w:tcW w:w="1568" w:type="dxa"/>
            <w:tcBorders>
              <w:bottom w:val="single" w:sz="2"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12.9</w:t>
            </w:r>
          </w:p>
        </w:tc>
        <w:tc>
          <w:tcPr>
            <w:tcW w:w="1559" w:type="dxa"/>
            <w:gridSpan w:val="2"/>
            <w:tcBorders>
              <w:bottom w:val="single" w:sz="2" w:space="0" w:color="auto"/>
              <w:right w:val="single" w:sz="4" w:space="0" w:color="auto"/>
            </w:tcBorders>
          </w:tcPr>
          <w:p w:rsidR="00D8141B" w:rsidRPr="00A43389" w:rsidRDefault="00D8141B" w:rsidP="001668C8">
            <w:pPr>
              <w:keepNext/>
              <w:keepLines/>
              <w:widowControl w:val="0"/>
              <w:spacing w:after="0" w:line="240" w:lineRule="auto"/>
              <w:rPr>
                <w:rFonts w:eastAsia="Times New Roman" w:cs="Arial"/>
                <w:snapToGrid w:val="0"/>
                <w:sz w:val="20"/>
                <w:szCs w:val="20"/>
                <w:lang w:val="en-GB"/>
              </w:rPr>
            </w:pPr>
          </w:p>
        </w:tc>
      </w:tr>
      <w:tr w:rsidR="001668C8" w:rsidRPr="00D8141B" w:rsidTr="001668C8">
        <w:trPr>
          <w:cantSplit/>
          <w:jc w:val="center"/>
        </w:trPr>
        <w:tc>
          <w:tcPr>
            <w:tcW w:w="6671" w:type="dxa"/>
            <w:gridSpan w:val="5"/>
            <w:tcBorders>
              <w:top w:val="single" w:sz="2" w:space="0" w:color="auto"/>
              <w:left w:val="single" w:sz="4" w:space="0" w:color="auto"/>
              <w:bottom w:val="single" w:sz="2" w:space="0" w:color="auto"/>
            </w:tcBorders>
          </w:tcPr>
          <w:p w:rsidR="001668C8" w:rsidRPr="00A43389" w:rsidRDefault="001668C8" w:rsidP="001668C8">
            <w:pPr>
              <w:keepNext/>
              <w:keepLines/>
              <w:widowControl w:val="0"/>
              <w:spacing w:after="0" w:line="240" w:lineRule="auto"/>
              <w:rPr>
                <w:rFonts w:eastAsia="Times New Roman" w:cs="Arial"/>
                <w:snapToGrid w:val="0"/>
                <w:sz w:val="20"/>
                <w:szCs w:val="20"/>
                <w:lang w:val="en-GB"/>
              </w:rPr>
            </w:pPr>
            <w:r w:rsidRPr="00A43389">
              <w:rPr>
                <w:rFonts w:eastAsia="Times New Roman" w:cs="Arial"/>
                <w:snapToGrid w:val="0"/>
                <w:sz w:val="20"/>
                <w:szCs w:val="20"/>
                <w:lang w:val="en-GB"/>
              </w:rPr>
              <w:t>Occupational noise-induced BHI(%) before presbyacusis correction</w:t>
            </w:r>
          </w:p>
        </w:tc>
        <w:tc>
          <w:tcPr>
            <w:tcW w:w="1559" w:type="dxa"/>
            <w:gridSpan w:val="2"/>
            <w:tcBorders>
              <w:top w:val="single" w:sz="2" w:space="0" w:color="auto"/>
              <w:bottom w:val="single" w:sz="2" w:space="0" w:color="auto"/>
              <w:right w:val="single" w:sz="4" w:space="0" w:color="auto"/>
            </w:tcBorders>
          </w:tcPr>
          <w:p w:rsidR="001668C8" w:rsidRPr="00A43389" w:rsidRDefault="001668C8"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1.5</w:t>
            </w:r>
          </w:p>
        </w:tc>
      </w:tr>
      <w:tr w:rsidR="001668C8" w:rsidRPr="00D8141B" w:rsidTr="001668C8">
        <w:trPr>
          <w:cantSplit/>
          <w:jc w:val="center"/>
        </w:trPr>
        <w:tc>
          <w:tcPr>
            <w:tcW w:w="7366" w:type="dxa"/>
            <w:gridSpan w:val="6"/>
            <w:tcBorders>
              <w:top w:val="single" w:sz="2" w:space="0" w:color="auto"/>
              <w:left w:val="single" w:sz="4" w:space="0" w:color="auto"/>
              <w:bottom w:val="single" w:sz="4" w:space="0" w:color="auto"/>
            </w:tcBorders>
          </w:tcPr>
          <w:p w:rsidR="001668C8" w:rsidRPr="00A43389" w:rsidRDefault="001668C8" w:rsidP="001668C8">
            <w:pPr>
              <w:keepNext/>
              <w:keepLines/>
              <w:widowControl w:val="0"/>
              <w:spacing w:after="0" w:line="240" w:lineRule="auto"/>
              <w:rPr>
                <w:rFonts w:eastAsia="Times New Roman" w:cs="Arial"/>
                <w:snapToGrid w:val="0"/>
                <w:sz w:val="20"/>
                <w:szCs w:val="20"/>
                <w:lang w:val="en-GB"/>
              </w:rPr>
            </w:pPr>
            <w:r w:rsidRPr="00A43389">
              <w:rPr>
                <w:rFonts w:eastAsia="Times New Roman" w:cs="Arial"/>
                <w:snapToGrid w:val="0"/>
                <w:sz w:val="20"/>
                <w:szCs w:val="20"/>
                <w:lang w:val="en-GB"/>
              </w:rPr>
              <w:t>Occupational noise-induced BHI(%) after presbyacusis correction of 2.4%</w:t>
            </w:r>
          </w:p>
        </w:tc>
        <w:tc>
          <w:tcPr>
            <w:tcW w:w="864" w:type="dxa"/>
            <w:tcBorders>
              <w:top w:val="single" w:sz="2" w:space="0" w:color="auto"/>
              <w:bottom w:val="single" w:sz="4" w:space="0" w:color="auto"/>
              <w:right w:val="single" w:sz="4" w:space="0" w:color="auto"/>
            </w:tcBorders>
          </w:tcPr>
          <w:p w:rsidR="001668C8" w:rsidRPr="00A43389" w:rsidRDefault="001668C8" w:rsidP="001668C8">
            <w:pPr>
              <w:keepNext/>
              <w:keepLines/>
              <w:widowControl w:val="0"/>
              <w:tabs>
                <w:tab w:val="left" w:pos="1170"/>
                <w:tab w:val="center" w:pos="1479"/>
              </w:tabs>
              <w:spacing w:after="0" w:line="240" w:lineRule="auto"/>
              <w:rPr>
                <w:rFonts w:eastAsia="Times New Roman" w:cs="Arial"/>
                <w:snapToGrid w:val="0"/>
                <w:sz w:val="20"/>
                <w:szCs w:val="20"/>
                <w:lang w:val="en-GB"/>
              </w:rPr>
            </w:pPr>
            <w:r w:rsidRPr="00A43389">
              <w:rPr>
                <w:rFonts w:eastAsia="Times New Roman" w:cs="Arial"/>
                <w:snapToGrid w:val="0"/>
                <w:sz w:val="20"/>
                <w:szCs w:val="20"/>
                <w:lang w:val="en-GB"/>
              </w:rPr>
              <w:t>0</w:t>
            </w:r>
          </w:p>
        </w:tc>
      </w:tr>
      <w:tr w:rsidR="00D8141B" w:rsidRPr="00D8141B" w:rsidTr="001668C8">
        <w:trPr>
          <w:cantSplit/>
          <w:jc w:val="center"/>
        </w:trPr>
        <w:tc>
          <w:tcPr>
            <w:tcW w:w="5103" w:type="dxa"/>
            <w:gridSpan w:val="4"/>
            <w:tcBorders>
              <w:left w:val="single" w:sz="4" w:space="0" w:color="auto"/>
              <w:bottom w:val="single" w:sz="4" w:space="0" w:color="auto"/>
            </w:tcBorders>
          </w:tcPr>
          <w:p w:rsidR="00D8141B" w:rsidRPr="00A43389" w:rsidRDefault="00D8141B" w:rsidP="001668C8">
            <w:pPr>
              <w:keepNext/>
              <w:keepLines/>
              <w:widowControl w:val="0"/>
              <w:spacing w:after="0" w:line="240" w:lineRule="auto"/>
              <w:rPr>
                <w:rFonts w:eastAsia="Times New Roman" w:cs="Arial"/>
                <w:snapToGrid w:val="0"/>
                <w:sz w:val="20"/>
                <w:szCs w:val="20"/>
                <w:lang w:val="en-GB"/>
              </w:rPr>
            </w:pPr>
            <w:r w:rsidRPr="00A43389">
              <w:rPr>
                <w:rFonts w:eastAsia="Times New Roman" w:cs="Arial"/>
                <w:snapToGrid w:val="0"/>
                <w:sz w:val="20"/>
                <w:szCs w:val="20"/>
                <w:lang w:val="en-GB"/>
              </w:rPr>
              <w:t>Acute acoustic trauma BHI (%)</w:t>
            </w:r>
          </w:p>
        </w:tc>
        <w:tc>
          <w:tcPr>
            <w:tcW w:w="1568" w:type="dxa"/>
            <w:tcBorders>
              <w:bottom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11.4</w:t>
            </w:r>
          </w:p>
        </w:tc>
        <w:tc>
          <w:tcPr>
            <w:tcW w:w="1559" w:type="dxa"/>
            <w:gridSpan w:val="2"/>
            <w:tcBorders>
              <w:bottom w:val="single" w:sz="4" w:space="0" w:color="auto"/>
              <w:righ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p>
        </w:tc>
      </w:tr>
      <w:tr w:rsidR="00D8141B" w:rsidRPr="00D8141B" w:rsidTr="001668C8">
        <w:trPr>
          <w:cantSplit/>
          <w:jc w:val="center"/>
        </w:trPr>
        <w:tc>
          <w:tcPr>
            <w:tcW w:w="4957" w:type="dxa"/>
            <w:gridSpan w:val="3"/>
            <w:tcBorders>
              <w:left w:val="single" w:sz="4" w:space="0" w:color="auto"/>
              <w:bottom w:val="single" w:sz="4" w:space="0" w:color="auto"/>
            </w:tcBorders>
          </w:tcPr>
          <w:p w:rsidR="00D8141B" w:rsidRPr="00A43389" w:rsidRDefault="00802CA9" w:rsidP="001668C8">
            <w:pPr>
              <w:keepNext/>
              <w:keepLines/>
              <w:widowControl w:val="0"/>
              <w:spacing w:after="0" w:line="240" w:lineRule="auto"/>
              <w:rPr>
                <w:rFonts w:eastAsia="Times New Roman" w:cs="Arial"/>
                <w:snapToGrid w:val="0"/>
                <w:sz w:val="20"/>
                <w:szCs w:val="20"/>
                <w:lang w:val="en-GB"/>
              </w:rPr>
            </w:pPr>
            <w:r w:rsidRPr="00A43389">
              <w:rPr>
                <w:rFonts w:eastAsia="Times New Roman" w:cs="Arial"/>
                <w:snapToGrid w:val="0"/>
                <w:sz w:val="20"/>
                <w:szCs w:val="20"/>
                <w:lang w:val="en-GB"/>
              </w:rPr>
              <w:t>Presbyacusis</w:t>
            </w:r>
            <w:r w:rsidR="00D8141B" w:rsidRPr="00A43389">
              <w:rPr>
                <w:rFonts w:eastAsia="Times New Roman" w:cs="Arial"/>
                <w:snapToGrid w:val="0"/>
                <w:sz w:val="20"/>
                <w:szCs w:val="20"/>
                <w:lang w:val="en-GB"/>
              </w:rPr>
              <w:t xml:space="preserve"> does not apply to acute acoustic trauma</w:t>
            </w:r>
          </w:p>
        </w:tc>
        <w:tc>
          <w:tcPr>
            <w:tcW w:w="1714" w:type="dxa"/>
            <w:gridSpan w:val="2"/>
            <w:tcBorders>
              <w:bottom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r w:rsidRPr="00A43389">
              <w:rPr>
                <w:rFonts w:eastAsia="Times New Roman" w:cs="Arial"/>
                <w:snapToGrid w:val="0"/>
                <w:sz w:val="20"/>
                <w:szCs w:val="20"/>
                <w:lang w:val="en-GB"/>
              </w:rPr>
              <w:t>–</w:t>
            </w:r>
          </w:p>
        </w:tc>
        <w:tc>
          <w:tcPr>
            <w:tcW w:w="1559" w:type="dxa"/>
            <w:gridSpan w:val="2"/>
            <w:tcBorders>
              <w:bottom w:val="single" w:sz="4" w:space="0" w:color="auto"/>
              <w:right w:val="single" w:sz="4" w:space="0" w:color="auto"/>
            </w:tcBorders>
          </w:tcPr>
          <w:p w:rsidR="00D8141B" w:rsidRPr="00A43389" w:rsidRDefault="00D8141B" w:rsidP="001668C8">
            <w:pPr>
              <w:keepNext/>
              <w:keepLines/>
              <w:widowControl w:val="0"/>
              <w:spacing w:after="0" w:line="240" w:lineRule="auto"/>
              <w:jc w:val="center"/>
              <w:rPr>
                <w:rFonts w:eastAsia="Times New Roman" w:cs="Arial"/>
                <w:snapToGrid w:val="0"/>
                <w:sz w:val="20"/>
                <w:szCs w:val="20"/>
                <w:lang w:val="en-GB"/>
              </w:rPr>
            </w:pPr>
          </w:p>
        </w:tc>
      </w:tr>
      <w:tr w:rsidR="00D8141B" w:rsidRPr="00D8141B" w:rsidTr="001668C8">
        <w:trPr>
          <w:cantSplit/>
          <w:jc w:val="center"/>
        </w:trPr>
        <w:tc>
          <w:tcPr>
            <w:tcW w:w="8230" w:type="dxa"/>
            <w:gridSpan w:val="7"/>
            <w:tcBorders>
              <w:left w:val="single" w:sz="4" w:space="0" w:color="auto"/>
              <w:bottom w:val="single" w:sz="4" w:space="0" w:color="auto"/>
              <w:right w:val="single" w:sz="4" w:space="0" w:color="auto"/>
            </w:tcBorders>
          </w:tcPr>
          <w:p w:rsidR="00D8141B" w:rsidRPr="00A43389" w:rsidRDefault="00D8141B" w:rsidP="001668C8">
            <w:pPr>
              <w:keepLines/>
              <w:widowControl w:val="0"/>
              <w:spacing w:after="0" w:line="240" w:lineRule="auto"/>
              <w:rPr>
                <w:rFonts w:eastAsia="Times New Roman" w:cs="Arial"/>
                <w:snapToGrid w:val="0"/>
                <w:sz w:val="20"/>
                <w:szCs w:val="20"/>
                <w:lang w:val="en-GB"/>
              </w:rPr>
            </w:pPr>
            <w:r w:rsidRPr="00A43389">
              <w:rPr>
                <w:rFonts w:eastAsia="Times New Roman" w:cs="Arial"/>
                <w:snapToGrid w:val="0"/>
                <w:sz w:val="20"/>
                <w:szCs w:val="20"/>
                <w:lang w:val="en-GB"/>
              </w:rPr>
              <w:t xml:space="preserve">Resultant total BHI due to acute acoustic trauma of 11.4% = 6% WPI (Table 9.1) </w:t>
            </w:r>
          </w:p>
        </w:tc>
      </w:tr>
    </w:tbl>
    <w:p w:rsidR="00D8141B" w:rsidRPr="00D8141B" w:rsidRDefault="0057644C" w:rsidP="00A43389">
      <w:pPr>
        <w:pStyle w:val="Heading3"/>
        <w:spacing w:before="240" w:after="120"/>
      </w:pPr>
      <w:bookmarkStart w:id="204" w:name="_Toc144874704"/>
      <w:bookmarkStart w:id="205" w:name="_Toc144875292"/>
      <w:r>
        <w:t>Example 9.6:</w:t>
      </w:r>
      <w:r w:rsidR="00A43389">
        <w:t xml:space="preserve"> </w:t>
      </w:r>
      <w:r w:rsidR="00D8141B" w:rsidRPr="00D8141B">
        <w:t>Occupational noise-induced hearing loss in an only hearing ear</w:t>
      </w:r>
      <w:bookmarkEnd w:id="204"/>
      <w:bookmarkEnd w:id="205"/>
    </w:p>
    <w:p w:rsidR="00D8141B" w:rsidRPr="00D8141B" w:rsidRDefault="00D8141B" w:rsidP="00A43389">
      <w:pPr>
        <w:pStyle w:val="BodyText9"/>
        <w:numPr>
          <w:ilvl w:val="0"/>
          <w:numId w:val="0"/>
        </w:numPr>
        <w:ind w:left="709"/>
      </w:pPr>
      <w:r w:rsidRPr="00D8141B">
        <w:t>A 66-year-old woman has been a textile worker for 30 years. Childhood mumps had left her with profound hearing loss in the left ear. She gave a history of progressive hearing loss in her only hearing ear unaccompanied by tinnitus or vertigo. External auditory canals and tympanic membranes appeared normal. Rinne test was positive on the right and was false negative on the left. Weber test lateralised to the right. Clinical assessment of hearing is consistent with pure tone audiometry, showing a profound left sensorineural hearing loss and a partial right sensorineural hearing loss. The medical assessor diagnosed noise induced hearing loss in the right ear.</w:t>
      </w:r>
    </w:p>
    <w:p w:rsidR="00D8141B" w:rsidRPr="00D8141B" w:rsidRDefault="00D8141B" w:rsidP="00A43389">
      <w:pPr>
        <w:pStyle w:val="Heading3"/>
        <w:spacing w:before="120" w:after="120"/>
        <w:jc w:val="center"/>
      </w:pPr>
      <w:bookmarkStart w:id="206" w:name="_Toc144874705"/>
      <w:bookmarkStart w:id="207" w:name="_Toc144875293"/>
      <w:r w:rsidRPr="00D8141B">
        <w:t>Pure tone audiometry</w:t>
      </w:r>
      <w:bookmarkEnd w:id="206"/>
      <w:bookmarkEnd w:id="207"/>
    </w:p>
    <w:tbl>
      <w:tblPr>
        <w:tblW w:w="0" w:type="auto"/>
        <w:jc w:val="center"/>
        <w:tblLayout w:type="fixed"/>
        <w:tblLook w:val="0000" w:firstRow="0" w:lastRow="0" w:firstColumn="0" w:lastColumn="0" w:noHBand="0" w:noVBand="0"/>
      </w:tblPr>
      <w:tblGrid>
        <w:gridCol w:w="1633"/>
        <w:gridCol w:w="1634"/>
        <w:gridCol w:w="1634"/>
        <w:gridCol w:w="1190"/>
        <w:gridCol w:w="431"/>
        <w:gridCol w:w="1506"/>
      </w:tblGrid>
      <w:tr w:rsidR="00D8141B" w:rsidRPr="001668C8" w:rsidTr="001668C8">
        <w:trPr>
          <w:jc w:val="center"/>
        </w:trPr>
        <w:tc>
          <w:tcPr>
            <w:tcW w:w="1633"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pacing w:after="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Frequency (Hz)</w:t>
            </w:r>
          </w:p>
        </w:tc>
        <w:tc>
          <w:tcPr>
            <w:tcW w:w="1634"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pacing w:after="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Left (dB HL)</w:t>
            </w:r>
          </w:p>
        </w:tc>
        <w:tc>
          <w:tcPr>
            <w:tcW w:w="1634"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pacing w:after="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Right (dB HL)</w:t>
            </w:r>
          </w:p>
        </w:tc>
        <w:tc>
          <w:tcPr>
            <w:tcW w:w="1621"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pacing w:after="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Binaural hearing impairment (%BHI)</w:t>
            </w:r>
          </w:p>
        </w:tc>
        <w:tc>
          <w:tcPr>
            <w:tcW w:w="1506"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pacing w:after="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Occupational %BHI</w:t>
            </w:r>
          </w:p>
        </w:tc>
      </w:tr>
      <w:tr w:rsidR="00D8141B" w:rsidRPr="001668C8" w:rsidTr="003F702E">
        <w:trPr>
          <w:jc w:val="center"/>
        </w:trPr>
        <w:tc>
          <w:tcPr>
            <w:tcW w:w="1633" w:type="dxa"/>
            <w:tcBorders>
              <w:top w:val="single" w:sz="4" w:space="0" w:color="auto"/>
              <w:lef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500</w:t>
            </w:r>
          </w:p>
        </w:tc>
        <w:tc>
          <w:tcPr>
            <w:tcW w:w="1634" w:type="dxa"/>
            <w:tcBorders>
              <w:top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&gt;95</w:t>
            </w:r>
          </w:p>
        </w:tc>
        <w:tc>
          <w:tcPr>
            <w:tcW w:w="1634" w:type="dxa"/>
            <w:tcBorders>
              <w:top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10</w:t>
            </w:r>
          </w:p>
        </w:tc>
        <w:tc>
          <w:tcPr>
            <w:tcW w:w="1621" w:type="dxa"/>
            <w:gridSpan w:val="2"/>
            <w:tcBorders>
              <w:top w:val="single" w:sz="4" w:space="0" w:color="auto"/>
            </w:tcBorders>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3.4</w:t>
            </w:r>
          </w:p>
        </w:tc>
        <w:tc>
          <w:tcPr>
            <w:tcW w:w="1506" w:type="dxa"/>
            <w:tcBorders>
              <w:top w:val="single" w:sz="4" w:space="0" w:color="auto"/>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0</w:t>
            </w:r>
          </w:p>
        </w:tc>
      </w:tr>
      <w:tr w:rsidR="00D8141B" w:rsidRPr="001668C8" w:rsidTr="003F702E">
        <w:trPr>
          <w:jc w:val="center"/>
        </w:trPr>
        <w:tc>
          <w:tcPr>
            <w:tcW w:w="1633" w:type="dxa"/>
            <w:tcBorders>
              <w:lef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1000</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&gt;95</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15</w:t>
            </w:r>
          </w:p>
        </w:tc>
        <w:tc>
          <w:tcPr>
            <w:tcW w:w="1621" w:type="dxa"/>
            <w:gridSpan w:val="2"/>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4.3</w:t>
            </w:r>
          </w:p>
        </w:tc>
        <w:tc>
          <w:tcPr>
            <w:tcW w:w="1506" w:type="dxa"/>
            <w:tcBorders>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0</w:t>
            </w:r>
          </w:p>
        </w:tc>
      </w:tr>
      <w:tr w:rsidR="00D8141B" w:rsidRPr="001668C8" w:rsidTr="003F702E">
        <w:trPr>
          <w:jc w:val="center"/>
        </w:trPr>
        <w:tc>
          <w:tcPr>
            <w:tcW w:w="1633" w:type="dxa"/>
            <w:tcBorders>
              <w:lef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1500</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&gt;95</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20</w:t>
            </w:r>
          </w:p>
        </w:tc>
        <w:tc>
          <w:tcPr>
            <w:tcW w:w="1621" w:type="dxa"/>
            <w:gridSpan w:val="2"/>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4.2</w:t>
            </w:r>
          </w:p>
        </w:tc>
        <w:tc>
          <w:tcPr>
            <w:tcW w:w="1506" w:type="dxa"/>
            <w:tcBorders>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0.6</w:t>
            </w:r>
          </w:p>
        </w:tc>
      </w:tr>
      <w:tr w:rsidR="00D8141B" w:rsidRPr="001668C8" w:rsidTr="003F702E">
        <w:trPr>
          <w:jc w:val="center"/>
        </w:trPr>
        <w:tc>
          <w:tcPr>
            <w:tcW w:w="1633" w:type="dxa"/>
            <w:tcBorders>
              <w:lef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2000</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&gt;95</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25</w:t>
            </w:r>
          </w:p>
        </w:tc>
        <w:tc>
          <w:tcPr>
            <w:tcW w:w="1621" w:type="dxa"/>
            <w:gridSpan w:val="2"/>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3.8</w:t>
            </w:r>
          </w:p>
        </w:tc>
        <w:tc>
          <w:tcPr>
            <w:tcW w:w="1506" w:type="dxa"/>
            <w:tcBorders>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1.1</w:t>
            </w:r>
          </w:p>
        </w:tc>
      </w:tr>
      <w:tr w:rsidR="00D8141B" w:rsidRPr="001668C8" w:rsidTr="003F702E">
        <w:trPr>
          <w:jc w:val="center"/>
        </w:trPr>
        <w:tc>
          <w:tcPr>
            <w:tcW w:w="1633" w:type="dxa"/>
            <w:tcBorders>
              <w:lef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3000</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&gt;95</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50</w:t>
            </w:r>
          </w:p>
        </w:tc>
        <w:tc>
          <w:tcPr>
            <w:tcW w:w="1621" w:type="dxa"/>
            <w:gridSpan w:val="2"/>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5.4</w:t>
            </w:r>
          </w:p>
        </w:tc>
        <w:tc>
          <w:tcPr>
            <w:tcW w:w="1506" w:type="dxa"/>
            <w:tcBorders>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4.8</w:t>
            </w:r>
          </w:p>
        </w:tc>
      </w:tr>
      <w:tr w:rsidR="00D8141B" w:rsidRPr="001668C8" w:rsidTr="003F702E">
        <w:trPr>
          <w:jc w:val="center"/>
        </w:trPr>
        <w:tc>
          <w:tcPr>
            <w:tcW w:w="1633" w:type="dxa"/>
            <w:tcBorders>
              <w:lef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4000</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&gt;95</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70</w:t>
            </w:r>
          </w:p>
        </w:tc>
        <w:tc>
          <w:tcPr>
            <w:tcW w:w="1621" w:type="dxa"/>
            <w:gridSpan w:val="2"/>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8.0</w:t>
            </w:r>
          </w:p>
        </w:tc>
        <w:tc>
          <w:tcPr>
            <w:tcW w:w="1506" w:type="dxa"/>
            <w:tcBorders>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7.5</w:t>
            </w:r>
          </w:p>
        </w:tc>
      </w:tr>
      <w:tr w:rsidR="00D8141B" w:rsidRPr="001668C8" w:rsidTr="003F702E">
        <w:trPr>
          <w:jc w:val="center"/>
        </w:trPr>
        <w:tc>
          <w:tcPr>
            <w:tcW w:w="1633" w:type="dxa"/>
            <w:tcBorders>
              <w:lef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6000</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&gt;95</w:t>
            </w:r>
          </w:p>
        </w:tc>
        <w:tc>
          <w:tcPr>
            <w:tcW w:w="1634" w:type="dxa"/>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50</w:t>
            </w:r>
          </w:p>
        </w:tc>
        <w:tc>
          <w:tcPr>
            <w:tcW w:w="1621" w:type="dxa"/>
            <w:gridSpan w:val="2"/>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w:t>
            </w:r>
          </w:p>
        </w:tc>
        <w:tc>
          <w:tcPr>
            <w:tcW w:w="1506" w:type="dxa"/>
            <w:tcBorders>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w:t>
            </w:r>
          </w:p>
        </w:tc>
      </w:tr>
      <w:tr w:rsidR="00D8141B" w:rsidRPr="001668C8" w:rsidTr="003F702E">
        <w:trPr>
          <w:jc w:val="center"/>
        </w:trPr>
        <w:tc>
          <w:tcPr>
            <w:tcW w:w="1633" w:type="dxa"/>
            <w:tcBorders>
              <w:left w:val="single" w:sz="4" w:space="0" w:color="auto"/>
              <w:bottom w:val="single" w:sz="2"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8000</w:t>
            </w:r>
          </w:p>
        </w:tc>
        <w:tc>
          <w:tcPr>
            <w:tcW w:w="1634" w:type="dxa"/>
            <w:tcBorders>
              <w:bottom w:val="single" w:sz="2"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&gt;95</w:t>
            </w:r>
          </w:p>
        </w:tc>
        <w:tc>
          <w:tcPr>
            <w:tcW w:w="1634" w:type="dxa"/>
            <w:tcBorders>
              <w:bottom w:val="single" w:sz="2"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40</w:t>
            </w:r>
          </w:p>
        </w:tc>
        <w:tc>
          <w:tcPr>
            <w:tcW w:w="1621" w:type="dxa"/>
            <w:gridSpan w:val="2"/>
            <w:tcBorders>
              <w:bottom w:val="single" w:sz="2" w:space="0" w:color="auto"/>
            </w:tcBorders>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w:t>
            </w:r>
          </w:p>
        </w:tc>
        <w:tc>
          <w:tcPr>
            <w:tcW w:w="1506" w:type="dxa"/>
            <w:tcBorders>
              <w:bottom w:val="single" w:sz="2" w:space="0" w:color="auto"/>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w:t>
            </w:r>
          </w:p>
        </w:tc>
      </w:tr>
      <w:tr w:rsidR="00D8141B" w:rsidRPr="001668C8" w:rsidTr="003F702E">
        <w:trPr>
          <w:cantSplit/>
          <w:jc w:val="center"/>
        </w:trPr>
        <w:tc>
          <w:tcPr>
            <w:tcW w:w="4901" w:type="dxa"/>
            <w:gridSpan w:val="3"/>
            <w:tcBorders>
              <w:top w:val="single" w:sz="2" w:space="0" w:color="auto"/>
              <w:left w:val="single" w:sz="4" w:space="0" w:color="auto"/>
              <w:bottom w:val="single" w:sz="2" w:space="0" w:color="auto"/>
            </w:tcBorders>
            <w:vAlign w:val="bottom"/>
          </w:tcPr>
          <w:p w:rsidR="00D8141B" w:rsidRPr="001668C8" w:rsidRDefault="00D8141B" w:rsidP="001668C8">
            <w:pPr>
              <w:keepNext/>
              <w:keepLines/>
              <w:widowControl w:val="0"/>
              <w:spacing w:after="0" w:line="240" w:lineRule="auto"/>
              <w:rPr>
                <w:rFonts w:eastAsia="Times New Roman" w:cs="Arial"/>
                <w:snapToGrid w:val="0"/>
                <w:sz w:val="20"/>
                <w:szCs w:val="20"/>
                <w:lang w:val="en-GB"/>
              </w:rPr>
            </w:pPr>
            <w:r w:rsidRPr="001668C8">
              <w:rPr>
                <w:rFonts w:eastAsia="Times New Roman" w:cs="Arial"/>
                <w:snapToGrid w:val="0"/>
                <w:sz w:val="20"/>
                <w:szCs w:val="20"/>
                <w:lang w:val="en-GB"/>
              </w:rPr>
              <w:t xml:space="preserve">Total %BHI </w:t>
            </w:r>
          </w:p>
        </w:tc>
        <w:tc>
          <w:tcPr>
            <w:tcW w:w="1621" w:type="dxa"/>
            <w:gridSpan w:val="2"/>
            <w:tcBorders>
              <w:top w:val="single" w:sz="2" w:space="0" w:color="auto"/>
              <w:bottom w:val="single" w:sz="2" w:space="0" w:color="auto"/>
            </w:tcBorders>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29.1</w:t>
            </w:r>
          </w:p>
        </w:tc>
        <w:tc>
          <w:tcPr>
            <w:tcW w:w="1506" w:type="dxa"/>
            <w:tcBorders>
              <w:top w:val="single" w:sz="2" w:space="0" w:color="auto"/>
              <w:bottom w:val="single" w:sz="2" w:space="0" w:color="auto"/>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p>
        </w:tc>
      </w:tr>
      <w:tr w:rsidR="00D8141B" w:rsidRPr="001668C8" w:rsidTr="003F702E">
        <w:trPr>
          <w:cantSplit/>
          <w:jc w:val="center"/>
        </w:trPr>
        <w:tc>
          <w:tcPr>
            <w:tcW w:w="4901" w:type="dxa"/>
            <w:gridSpan w:val="3"/>
            <w:tcBorders>
              <w:top w:val="single" w:sz="2" w:space="0" w:color="auto"/>
              <w:left w:val="single" w:sz="4" w:space="0" w:color="auto"/>
              <w:bottom w:val="single" w:sz="2" w:space="0" w:color="auto"/>
            </w:tcBorders>
            <w:vAlign w:val="bottom"/>
          </w:tcPr>
          <w:p w:rsidR="00D8141B" w:rsidRPr="001668C8" w:rsidRDefault="00D8141B" w:rsidP="001668C8">
            <w:pPr>
              <w:keepNext/>
              <w:keepLines/>
              <w:widowControl w:val="0"/>
              <w:spacing w:after="0" w:line="240" w:lineRule="auto"/>
              <w:rPr>
                <w:rFonts w:eastAsia="Times New Roman" w:cs="Arial"/>
                <w:snapToGrid w:val="0"/>
                <w:sz w:val="20"/>
                <w:szCs w:val="20"/>
                <w:lang w:val="en-GB"/>
              </w:rPr>
            </w:pPr>
            <w:r w:rsidRPr="001668C8">
              <w:rPr>
                <w:rFonts w:eastAsia="Times New Roman" w:cs="Arial"/>
                <w:snapToGrid w:val="0"/>
                <w:sz w:val="20"/>
                <w:szCs w:val="20"/>
                <w:lang w:val="en-GB"/>
              </w:rPr>
              <w:t>Total occupational %BHI</w:t>
            </w:r>
          </w:p>
        </w:tc>
        <w:tc>
          <w:tcPr>
            <w:tcW w:w="1621" w:type="dxa"/>
            <w:gridSpan w:val="2"/>
            <w:tcBorders>
              <w:top w:val="single" w:sz="2" w:space="0" w:color="auto"/>
              <w:bottom w:val="single" w:sz="2" w:space="0" w:color="auto"/>
            </w:tcBorders>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p>
        </w:tc>
        <w:tc>
          <w:tcPr>
            <w:tcW w:w="1506" w:type="dxa"/>
            <w:tcBorders>
              <w:top w:val="single" w:sz="2" w:space="0" w:color="auto"/>
              <w:bottom w:val="single" w:sz="2" w:space="0" w:color="auto"/>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14.0</w:t>
            </w:r>
          </w:p>
        </w:tc>
      </w:tr>
      <w:tr w:rsidR="00D8141B" w:rsidRPr="001668C8" w:rsidTr="001668C8">
        <w:trPr>
          <w:cantSplit/>
          <w:jc w:val="center"/>
        </w:trPr>
        <w:tc>
          <w:tcPr>
            <w:tcW w:w="6091" w:type="dxa"/>
            <w:gridSpan w:val="4"/>
            <w:tcBorders>
              <w:top w:val="single" w:sz="2" w:space="0" w:color="auto"/>
              <w:left w:val="single" w:sz="4" w:space="0" w:color="auto"/>
              <w:bottom w:val="single" w:sz="2" w:space="0" w:color="auto"/>
            </w:tcBorders>
            <w:vAlign w:val="bottom"/>
          </w:tcPr>
          <w:p w:rsidR="00D8141B" w:rsidRPr="001668C8" w:rsidRDefault="00802CA9" w:rsidP="001668C8">
            <w:pPr>
              <w:keepNext/>
              <w:keepLines/>
              <w:widowControl w:val="0"/>
              <w:spacing w:after="0" w:line="240" w:lineRule="auto"/>
              <w:rPr>
                <w:rFonts w:eastAsia="Times New Roman" w:cs="Arial"/>
                <w:snapToGrid w:val="0"/>
                <w:sz w:val="20"/>
                <w:szCs w:val="20"/>
                <w:lang w:val="en-GB"/>
              </w:rPr>
            </w:pPr>
            <w:r w:rsidRPr="001668C8">
              <w:rPr>
                <w:rFonts w:eastAsia="Times New Roman" w:cs="Arial"/>
                <w:snapToGrid w:val="0"/>
                <w:sz w:val="20"/>
                <w:szCs w:val="20"/>
                <w:lang w:val="en-GB"/>
              </w:rPr>
              <w:t>Presbyacusis</w:t>
            </w:r>
            <w:r w:rsidR="00D8141B" w:rsidRPr="001668C8">
              <w:rPr>
                <w:rFonts w:eastAsia="Times New Roman" w:cs="Arial"/>
                <w:snapToGrid w:val="0"/>
                <w:sz w:val="20"/>
                <w:szCs w:val="20"/>
                <w:lang w:val="en-GB"/>
              </w:rPr>
              <w:t xml:space="preserve"> correction does not apply to a 66 year old woman</w:t>
            </w:r>
          </w:p>
        </w:tc>
        <w:tc>
          <w:tcPr>
            <w:tcW w:w="431" w:type="dxa"/>
            <w:tcBorders>
              <w:top w:val="single" w:sz="2" w:space="0" w:color="auto"/>
              <w:bottom w:val="single" w:sz="2" w:space="0" w:color="auto"/>
            </w:tcBorders>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p>
        </w:tc>
        <w:tc>
          <w:tcPr>
            <w:tcW w:w="1506" w:type="dxa"/>
            <w:tcBorders>
              <w:top w:val="single" w:sz="2" w:space="0" w:color="auto"/>
              <w:bottom w:val="single" w:sz="2" w:space="0" w:color="auto"/>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softHyphen/>
              <w:t>–</w:t>
            </w:r>
          </w:p>
        </w:tc>
      </w:tr>
      <w:tr w:rsidR="00D8141B" w:rsidRPr="001668C8" w:rsidTr="003F702E">
        <w:trPr>
          <w:cantSplit/>
          <w:jc w:val="center"/>
        </w:trPr>
        <w:tc>
          <w:tcPr>
            <w:tcW w:w="4901" w:type="dxa"/>
            <w:gridSpan w:val="3"/>
            <w:tcBorders>
              <w:top w:val="single" w:sz="2" w:space="0" w:color="auto"/>
              <w:left w:val="single" w:sz="4" w:space="0" w:color="auto"/>
              <w:bottom w:val="single" w:sz="2" w:space="0" w:color="auto"/>
            </w:tcBorders>
            <w:vAlign w:val="bottom"/>
          </w:tcPr>
          <w:p w:rsidR="00D8141B" w:rsidRPr="001668C8" w:rsidRDefault="00D8141B" w:rsidP="001668C8">
            <w:pPr>
              <w:keepNext/>
              <w:keepLines/>
              <w:widowControl w:val="0"/>
              <w:spacing w:after="0" w:line="240" w:lineRule="auto"/>
              <w:rPr>
                <w:rFonts w:eastAsia="Times New Roman" w:cs="Arial"/>
                <w:snapToGrid w:val="0"/>
                <w:sz w:val="20"/>
                <w:szCs w:val="20"/>
                <w:lang w:val="en-GB"/>
              </w:rPr>
            </w:pPr>
            <w:r w:rsidRPr="001668C8">
              <w:rPr>
                <w:rFonts w:eastAsia="Times New Roman" w:cs="Arial"/>
                <w:snapToGrid w:val="0"/>
                <w:sz w:val="20"/>
                <w:szCs w:val="20"/>
                <w:lang w:val="en-GB"/>
              </w:rPr>
              <w:t>No addition for tinnitus</w:t>
            </w:r>
          </w:p>
        </w:tc>
        <w:tc>
          <w:tcPr>
            <w:tcW w:w="1621" w:type="dxa"/>
            <w:gridSpan w:val="2"/>
            <w:tcBorders>
              <w:top w:val="single" w:sz="2" w:space="0" w:color="auto"/>
              <w:bottom w:val="single" w:sz="2" w:space="0" w:color="auto"/>
            </w:tcBorders>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p>
        </w:tc>
        <w:tc>
          <w:tcPr>
            <w:tcW w:w="1506" w:type="dxa"/>
            <w:tcBorders>
              <w:top w:val="single" w:sz="2" w:space="0" w:color="auto"/>
              <w:bottom w:val="single" w:sz="2" w:space="0" w:color="auto"/>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w:t>
            </w:r>
          </w:p>
        </w:tc>
      </w:tr>
      <w:tr w:rsidR="00D8141B" w:rsidRPr="001668C8" w:rsidTr="003F702E">
        <w:trPr>
          <w:cantSplit/>
          <w:jc w:val="center"/>
        </w:trPr>
        <w:tc>
          <w:tcPr>
            <w:tcW w:w="4901" w:type="dxa"/>
            <w:gridSpan w:val="3"/>
            <w:tcBorders>
              <w:top w:val="single" w:sz="2" w:space="0" w:color="auto"/>
              <w:left w:val="single" w:sz="4" w:space="0" w:color="auto"/>
              <w:bottom w:val="single" w:sz="2" w:space="0" w:color="auto"/>
            </w:tcBorders>
            <w:vAlign w:val="bottom"/>
          </w:tcPr>
          <w:p w:rsidR="00D8141B" w:rsidRPr="001668C8" w:rsidRDefault="00D8141B" w:rsidP="001668C8">
            <w:pPr>
              <w:keepNext/>
              <w:keepLines/>
              <w:widowControl w:val="0"/>
              <w:spacing w:after="0" w:line="240" w:lineRule="auto"/>
              <w:rPr>
                <w:rFonts w:eastAsia="Times New Roman" w:cs="Arial"/>
                <w:snapToGrid w:val="0"/>
                <w:sz w:val="20"/>
                <w:szCs w:val="20"/>
                <w:lang w:val="en-GB"/>
              </w:rPr>
            </w:pPr>
            <w:r w:rsidRPr="001668C8">
              <w:rPr>
                <w:rFonts w:eastAsia="Times New Roman" w:cs="Arial"/>
                <w:snapToGrid w:val="0"/>
                <w:sz w:val="20"/>
                <w:szCs w:val="20"/>
                <w:lang w:val="en-GB"/>
              </w:rPr>
              <w:t xml:space="preserve">Adjusted total occupational %BHI </w:t>
            </w:r>
          </w:p>
        </w:tc>
        <w:tc>
          <w:tcPr>
            <w:tcW w:w="1621" w:type="dxa"/>
            <w:gridSpan w:val="2"/>
            <w:tcBorders>
              <w:top w:val="single" w:sz="2" w:space="0" w:color="auto"/>
              <w:bottom w:val="single" w:sz="2" w:space="0" w:color="auto"/>
            </w:tcBorders>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p>
        </w:tc>
        <w:tc>
          <w:tcPr>
            <w:tcW w:w="1506" w:type="dxa"/>
            <w:tcBorders>
              <w:top w:val="single" w:sz="2" w:space="0" w:color="auto"/>
              <w:bottom w:val="single" w:sz="2" w:space="0" w:color="auto"/>
              <w:right w:val="single" w:sz="4" w:space="0" w:color="auto"/>
            </w:tcBorders>
            <w:vAlign w:val="bottom"/>
          </w:tcPr>
          <w:p w:rsidR="00D8141B" w:rsidRPr="001668C8" w:rsidRDefault="00D8141B" w:rsidP="001668C8">
            <w:pPr>
              <w:keepNext/>
              <w:keepLines/>
              <w:widowControl w:val="0"/>
              <w:spacing w:after="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14.0</w:t>
            </w:r>
          </w:p>
        </w:tc>
      </w:tr>
      <w:tr w:rsidR="00D8141B" w:rsidRPr="001668C8" w:rsidTr="003F702E">
        <w:trPr>
          <w:cantSplit/>
          <w:jc w:val="center"/>
        </w:trPr>
        <w:tc>
          <w:tcPr>
            <w:tcW w:w="8028" w:type="dxa"/>
            <w:gridSpan w:val="6"/>
            <w:tcBorders>
              <w:top w:val="single" w:sz="2" w:space="0" w:color="auto"/>
              <w:left w:val="single" w:sz="4" w:space="0" w:color="auto"/>
              <w:bottom w:val="single" w:sz="4" w:space="0" w:color="auto"/>
              <w:right w:val="single" w:sz="4" w:space="0" w:color="auto"/>
            </w:tcBorders>
            <w:vAlign w:val="bottom"/>
          </w:tcPr>
          <w:p w:rsidR="00D8141B" w:rsidRPr="001668C8" w:rsidRDefault="00D8141B" w:rsidP="001668C8">
            <w:pPr>
              <w:keepLines/>
              <w:widowControl w:val="0"/>
              <w:spacing w:after="0" w:line="240" w:lineRule="auto"/>
              <w:rPr>
                <w:rFonts w:eastAsia="Times New Roman" w:cs="Arial"/>
                <w:snapToGrid w:val="0"/>
                <w:sz w:val="20"/>
                <w:szCs w:val="20"/>
                <w:lang w:val="en-GB"/>
              </w:rPr>
            </w:pPr>
            <w:r w:rsidRPr="001668C8">
              <w:rPr>
                <w:rFonts w:eastAsia="Times New Roman" w:cs="Arial"/>
                <w:snapToGrid w:val="0"/>
                <w:sz w:val="20"/>
                <w:szCs w:val="20"/>
                <w:lang w:val="en-GB"/>
              </w:rPr>
              <w:t>Total occupational BHI of 14% = 7% WPI (Table 9.1)</w:t>
            </w:r>
          </w:p>
        </w:tc>
      </w:tr>
    </w:tbl>
    <w:p w:rsidR="00D8141B" w:rsidRPr="00D8141B" w:rsidRDefault="0057644C" w:rsidP="0057644C">
      <w:pPr>
        <w:pStyle w:val="Heading3"/>
      </w:pPr>
      <w:bookmarkStart w:id="208" w:name="_Toc144874706"/>
      <w:bookmarkStart w:id="209" w:name="_Toc144875294"/>
      <w:r>
        <w:lastRenderedPageBreak/>
        <w:t>Example 9.7:</w:t>
      </w:r>
      <w:r w:rsidR="001668C8">
        <w:t xml:space="preserve"> </w:t>
      </w:r>
      <w:r w:rsidR="00D8141B" w:rsidRPr="00D8141B">
        <w:t>Occupational noise-induced hearing loss where there is a special requirement for ability to hear at frequencies above 4000 Hz</w:t>
      </w:r>
      <w:bookmarkEnd w:id="208"/>
      <w:bookmarkEnd w:id="209"/>
    </w:p>
    <w:p w:rsidR="00D8141B" w:rsidRPr="00D8141B" w:rsidRDefault="00D8141B" w:rsidP="001668C8">
      <w:pPr>
        <w:pStyle w:val="BodyText9"/>
        <w:numPr>
          <w:ilvl w:val="0"/>
          <w:numId w:val="0"/>
        </w:numPr>
        <w:ind w:left="709"/>
      </w:pPr>
      <w:r w:rsidRPr="00D8141B">
        <w:t>A 56-year-old female electronics technician who worked in a noisy factory for 20 years had increasing hearing difficulty. The diagnosis made was bilateral occupational noise-induced hearing loss extending to 6000 Hz or 8000 Hz. The assessing medical specialist was of the opinion that there was a special requirement for hearing above 4000 Hz. There was no conductive hearing loss.</w:t>
      </w:r>
    </w:p>
    <w:p w:rsidR="00D8141B" w:rsidRPr="00D8141B" w:rsidRDefault="00D8141B" w:rsidP="001668C8">
      <w:pPr>
        <w:pStyle w:val="Heading3"/>
        <w:jc w:val="center"/>
      </w:pPr>
      <w:bookmarkStart w:id="210" w:name="_Toc144874707"/>
      <w:bookmarkStart w:id="211" w:name="_Toc144875295"/>
      <w:r w:rsidRPr="00D8141B">
        <w:t>Pure tone audiometry</w:t>
      </w:r>
      <w:bookmarkEnd w:id="210"/>
      <w:bookmarkEnd w:id="211"/>
    </w:p>
    <w:tbl>
      <w:tblPr>
        <w:tblW w:w="8052" w:type="dxa"/>
        <w:tblInd w:w="588" w:type="dxa"/>
        <w:tblLayout w:type="fixed"/>
        <w:tblLook w:val="0000" w:firstRow="0" w:lastRow="0" w:firstColumn="0" w:lastColumn="0" w:noHBand="0" w:noVBand="0"/>
      </w:tblPr>
      <w:tblGrid>
        <w:gridCol w:w="1656"/>
        <w:gridCol w:w="1620"/>
        <w:gridCol w:w="1644"/>
        <w:gridCol w:w="1680"/>
        <w:gridCol w:w="1452"/>
      </w:tblGrid>
      <w:tr w:rsidR="00D8141B" w:rsidRPr="001668C8" w:rsidTr="001668C8">
        <w:trPr>
          <w:cantSplit/>
          <w:trHeight w:val="902"/>
        </w:trPr>
        <w:tc>
          <w:tcPr>
            <w:tcW w:w="4920" w:type="dxa"/>
            <w:gridSpan w:val="3"/>
            <w:tcBorders>
              <w:bottom w:val="single" w:sz="4" w:space="0" w:color="auto"/>
              <w:right w:val="single" w:sz="4" w:space="0" w:color="auto"/>
            </w:tcBorders>
            <w:shd w:val="clear" w:color="auto" w:fill="FFFFFF" w:themeFill="background1"/>
            <w:vAlign w:val="center"/>
          </w:tcPr>
          <w:p w:rsidR="00D8141B" w:rsidRPr="001668C8" w:rsidRDefault="00D8141B" w:rsidP="001668C8">
            <w:pPr>
              <w:keepNext/>
              <w:keepLines/>
              <w:widowControl w:val="0"/>
              <w:suppressAutoHyphens/>
              <w:spacing w:before="10" w:after="10" w:line="240" w:lineRule="auto"/>
              <w:jc w:val="center"/>
              <w:rPr>
                <w:rFonts w:eastAsia="Times New Roman" w:cs="Arial"/>
                <w:b/>
                <w:bCs/>
                <w:snapToGrid w:val="0"/>
                <w:sz w:val="20"/>
                <w:szCs w:val="20"/>
                <w:lang w:val="en-GB"/>
              </w:rPr>
            </w:pPr>
          </w:p>
        </w:tc>
        <w:tc>
          <w:tcPr>
            <w:tcW w:w="3132"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uppressAutoHyphens/>
              <w:spacing w:before="10" w:after="1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Binaural hearing impairment (%BHI)</w:t>
            </w:r>
          </w:p>
        </w:tc>
      </w:tr>
      <w:tr w:rsidR="00D8141B" w:rsidRPr="001668C8" w:rsidTr="001668C8">
        <w:tc>
          <w:tcPr>
            <w:tcW w:w="1656"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uppressAutoHyphens/>
              <w:spacing w:before="10" w:after="1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Frequency (Hz)</w:t>
            </w:r>
          </w:p>
        </w:tc>
        <w:tc>
          <w:tcPr>
            <w:tcW w:w="1620"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uppressAutoHyphens/>
              <w:spacing w:before="10" w:after="1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Left (dB HL)</w:t>
            </w:r>
          </w:p>
        </w:tc>
        <w:tc>
          <w:tcPr>
            <w:tcW w:w="1644"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uppressAutoHyphens/>
              <w:spacing w:before="10" w:after="1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Right (dB HL)</w:t>
            </w:r>
          </w:p>
        </w:tc>
        <w:tc>
          <w:tcPr>
            <w:tcW w:w="1680"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uppressAutoHyphens/>
              <w:spacing w:before="10" w:after="1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Using extension table – 4000, 6000 and 8000 Hz</w:t>
            </w:r>
          </w:p>
        </w:tc>
        <w:tc>
          <w:tcPr>
            <w:tcW w:w="1452" w:type="dxa"/>
            <w:tcBorders>
              <w:top w:val="single" w:sz="4" w:space="0" w:color="auto"/>
              <w:left w:val="single" w:sz="4" w:space="0" w:color="auto"/>
              <w:bottom w:val="single" w:sz="4" w:space="0" w:color="auto"/>
              <w:right w:val="single" w:sz="4" w:space="0" w:color="auto"/>
            </w:tcBorders>
            <w:shd w:val="pct10" w:color="auto" w:fill="auto"/>
            <w:vAlign w:val="center"/>
          </w:tcPr>
          <w:p w:rsidR="00D8141B" w:rsidRPr="001668C8" w:rsidRDefault="00D8141B" w:rsidP="001668C8">
            <w:pPr>
              <w:keepNext/>
              <w:keepLines/>
              <w:widowControl w:val="0"/>
              <w:suppressAutoHyphens/>
              <w:spacing w:before="10" w:after="10" w:line="240" w:lineRule="auto"/>
              <w:jc w:val="center"/>
              <w:rPr>
                <w:rFonts w:eastAsia="Times New Roman" w:cs="Arial"/>
                <w:b/>
                <w:bCs/>
                <w:snapToGrid w:val="0"/>
                <w:sz w:val="20"/>
                <w:szCs w:val="20"/>
                <w:lang w:val="en-GB"/>
              </w:rPr>
            </w:pPr>
            <w:r w:rsidRPr="001668C8">
              <w:rPr>
                <w:rFonts w:eastAsia="Times New Roman" w:cs="Arial"/>
                <w:b/>
                <w:bCs/>
                <w:snapToGrid w:val="0"/>
                <w:sz w:val="20"/>
                <w:szCs w:val="20"/>
                <w:lang w:val="en-GB"/>
              </w:rPr>
              <w:t>Not using extension table</w:t>
            </w:r>
          </w:p>
        </w:tc>
      </w:tr>
      <w:tr w:rsidR="00D8141B" w:rsidRPr="001668C8" w:rsidTr="001668C8">
        <w:tc>
          <w:tcPr>
            <w:tcW w:w="1656" w:type="dxa"/>
            <w:tcBorders>
              <w:top w:val="single" w:sz="4" w:space="0" w:color="auto"/>
              <w:left w:val="single" w:sz="4" w:space="0" w:color="auto"/>
            </w:tcBorders>
            <w:vAlign w:val="bottom"/>
          </w:tcPr>
          <w:p w:rsidR="00D8141B" w:rsidRPr="001668C8" w:rsidRDefault="00D8141B" w:rsidP="001668C8">
            <w:pPr>
              <w:keepNext/>
              <w:keepLines/>
              <w:widowControl w:val="0"/>
              <w:suppressAutoHyphens/>
              <w:spacing w:before="10" w:after="10" w:line="240" w:lineRule="auto"/>
              <w:jc w:val="center"/>
              <w:rPr>
                <w:rFonts w:eastAsia="Times New Roman" w:cs="Arial"/>
                <w:b/>
                <w:bCs/>
                <w:snapToGrid w:val="0"/>
                <w:sz w:val="20"/>
                <w:szCs w:val="20"/>
                <w:lang w:val="en-GB"/>
              </w:rPr>
            </w:pPr>
          </w:p>
        </w:tc>
        <w:tc>
          <w:tcPr>
            <w:tcW w:w="1620" w:type="dxa"/>
            <w:tcBorders>
              <w:top w:val="single" w:sz="4" w:space="0" w:color="auto"/>
            </w:tcBorders>
            <w:vAlign w:val="bottom"/>
          </w:tcPr>
          <w:p w:rsidR="00D8141B" w:rsidRPr="001668C8" w:rsidRDefault="00D8141B" w:rsidP="001668C8">
            <w:pPr>
              <w:keepNext/>
              <w:keepLines/>
              <w:widowControl w:val="0"/>
              <w:suppressAutoHyphens/>
              <w:spacing w:before="10" w:after="10" w:line="240" w:lineRule="auto"/>
              <w:jc w:val="center"/>
              <w:rPr>
                <w:rFonts w:eastAsia="Times New Roman" w:cs="Arial"/>
                <w:b/>
                <w:bCs/>
                <w:snapToGrid w:val="0"/>
                <w:sz w:val="20"/>
                <w:szCs w:val="20"/>
                <w:lang w:val="en-GB"/>
              </w:rPr>
            </w:pPr>
          </w:p>
        </w:tc>
        <w:tc>
          <w:tcPr>
            <w:tcW w:w="1644" w:type="dxa"/>
            <w:tcBorders>
              <w:top w:val="single" w:sz="4" w:space="0" w:color="auto"/>
            </w:tcBorders>
            <w:vAlign w:val="bottom"/>
          </w:tcPr>
          <w:p w:rsidR="00D8141B" w:rsidRPr="001668C8" w:rsidRDefault="00D8141B" w:rsidP="001668C8">
            <w:pPr>
              <w:keepNext/>
              <w:keepLines/>
              <w:widowControl w:val="0"/>
              <w:suppressAutoHyphens/>
              <w:spacing w:before="10" w:after="10" w:line="240" w:lineRule="auto"/>
              <w:jc w:val="center"/>
              <w:rPr>
                <w:rFonts w:eastAsia="Times New Roman" w:cs="Arial"/>
                <w:b/>
                <w:bCs/>
                <w:snapToGrid w:val="0"/>
                <w:sz w:val="20"/>
                <w:szCs w:val="20"/>
                <w:lang w:val="en-GB"/>
              </w:rPr>
            </w:pPr>
          </w:p>
        </w:tc>
        <w:tc>
          <w:tcPr>
            <w:tcW w:w="1680" w:type="dxa"/>
            <w:tcBorders>
              <w:top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0.0</w:t>
            </w:r>
          </w:p>
        </w:tc>
        <w:tc>
          <w:tcPr>
            <w:tcW w:w="1452" w:type="dxa"/>
            <w:tcBorders>
              <w:top w:val="single" w:sz="4" w:space="0" w:color="auto"/>
              <w:righ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0.0</w:t>
            </w:r>
          </w:p>
        </w:tc>
      </w:tr>
      <w:tr w:rsidR="00D8141B" w:rsidRPr="001668C8" w:rsidTr="001668C8">
        <w:tc>
          <w:tcPr>
            <w:tcW w:w="1656" w:type="dxa"/>
            <w:tcBorders>
              <w:lef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1000</w:t>
            </w:r>
          </w:p>
        </w:tc>
        <w:tc>
          <w:tcPr>
            <w:tcW w:w="162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15</w:t>
            </w:r>
          </w:p>
        </w:tc>
        <w:tc>
          <w:tcPr>
            <w:tcW w:w="1644"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15</w:t>
            </w:r>
          </w:p>
        </w:tc>
        <w:tc>
          <w:tcPr>
            <w:tcW w:w="168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0.0</w:t>
            </w:r>
          </w:p>
        </w:tc>
        <w:tc>
          <w:tcPr>
            <w:tcW w:w="1452" w:type="dxa"/>
            <w:tcBorders>
              <w:righ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0.0</w:t>
            </w:r>
          </w:p>
        </w:tc>
      </w:tr>
      <w:tr w:rsidR="00D8141B" w:rsidRPr="001668C8" w:rsidTr="001668C8">
        <w:tc>
          <w:tcPr>
            <w:tcW w:w="1656" w:type="dxa"/>
            <w:tcBorders>
              <w:lef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1500</w:t>
            </w:r>
          </w:p>
        </w:tc>
        <w:tc>
          <w:tcPr>
            <w:tcW w:w="162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20</w:t>
            </w:r>
          </w:p>
        </w:tc>
        <w:tc>
          <w:tcPr>
            <w:tcW w:w="1644"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25</w:t>
            </w:r>
          </w:p>
        </w:tc>
        <w:tc>
          <w:tcPr>
            <w:tcW w:w="168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1.0</w:t>
            </w:r>
          </w:p>
        </w:tc>
        <w:tc>
          <w:tcPr>
            <w:tcW w:w="1452" w:type="dxa"/>
            <w:tcBorders>
              <w:righ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1.0</w:t>
            </w:r>
          </w:p>
        </w:tc>
      </w:tr>
      <w:tr w:rsidR="00D8141B" w:rsidRPr="001668C8" w:rsidTr="001668C8">
        <w:tc>
          <w:tcPr>
            <w:tcW w:w="1656" w:type="dxa"/>
            <w:tcBorders>
              <w:lef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2000</w:t>
            </w:r>
          </w:p>
        </w:tc>
        <w:tc>
          <w:tcPr>
            <w:tcW w:w="162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30</w:t>
            </w:r>
          </w:p>
        </w:tc>
        <w:tc>
          <w:tcPr>
            <w:tcW w:w="1644"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35</w:t>
            </w:r>
          </w:p>
        </w:tc>
        <w:tc>
          <w:tcPr>
            <w:tcW w:w="168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2.5</w:t>
            </w:r>
          </w:p>
        </w:tc>
        <w:tc>
          <w:tcPr>
            <w:tcW w:w="1452" w:type="dxa"/>
            <w:tcBorders>
              <w:righ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2.5</w:t>
            </w:r>
          </w:p>
        </w:tc>
      </w:tr>
      <w:tr w:rsidR="00D8141B" w:rsidRPr="001668C8" w:rsidTr="001668C8">
        <w:tc>
          <w:tcPr>
            <w:tcW w:w="1656" w:type="dxa"/>
            <w:tcBorders>
              <w:lef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3000</w:t>
            </w:r>
          </w:p>
        </w:tc>
        <w:tc>
          <w:tcPr>
            <w:tcW w:w="162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45</w:t>
            </w:r>
          </w:p>
        </w:tc>
        <w:tc>
          <w:tcPr>
            <w:tcW w:w="1644"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45</w:t>
            </w:r>
          </w:p>
        </w:tc>
        <w:tc>
          <w:tcPr>
            <w:tcW w:w="168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4.1</w:t>
            </w:r>
          </w:p>
        </w:tc>
        <w:tc>
          <w:tcPr>
            <w:tcW w:w="1452" w:type="dxa"/>
            <w:tcBorders>
              <w:righ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4.1</w:t>
            </w:r>
          </w:p>
        </w:tc>
      </w:tr>
      <w:tr w:rsidR="00D8141B" w:rsidRPr="001668C8" w:rsidTr="001668C8">
        <w:tc>
          <w:tcPr>
            <w:tcW w:w="1656" w:type="dxa"/>
            <w:tcBorders>
              <w:lef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4000</w:t>
            </w:r>
          </w:p>
        </w:tc>
        <w:tc>
          <w:tcPr>
            <w:tcW w:w="162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45</w:t>
            </w:r>
          </w:p>
        </w:tc>
        <w:tc>
          <w:tcPr>
            <w:tcW w:w="1644"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50</w:t>
            </w:r>
          </w:p>
        </w:tc>
        <w:tc>
          <w:tcPr>
            <w:tcW w:w="168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2.2</w:t>
            </w:r>
          </w:p>
        </w:tc>
        <w:tc>
          <w:tcPr>
            <w:tcW w:w="1452" w:type="dxa"/>
            <w:tcBorders>
              <w:righ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3.6</w:t>
            </w:r>
          </w:p>
        </w:tc>
      </w:tr>
      <w:tr w:rsidR="00D8141B" w:rsidRPr="001668C8" w:rsidTr="001668C8">
        <w:tc>
          <w:tcPr>
            <w:tcW w:w="1656" w:type="dxa"/>
            <w:tcBorders>
              <w:lef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6000</w:t>
            </w:r>
          </w:p>
        </w:tc>
        <w:tc>
          <w:tcPr>
            <w:tcW w:w="162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60</w:t>
            </w:r>
          </w:p>
        </w:tc>
        <w:tc>
          <w:tcPr>
            <w:tcW w:w="1644"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55</w:t>
            </w:r>
          </w:p>
        </w:tc>
        <w:tc>
          <w:tcPr>
            <w:tcW w:w="1680" w:type="dxa"/>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1.6</w:t>
            </w:r>
          </w:p>
        </w:tc>
        <w:tc>
          <w:tcPr>
            <w:tcW w:w="1452" w:type="dxa"/>
            <w:tcBorders>
              <w:right w:val="single" w:sz="4"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w:t>
            </w:r>
          </w:p>
        </w:tc>
      </w:tr>
      <w:tr w:rsidR="00D8141B" w:rsidRPr="001668C8" w:rsidTr="001668C8">
        <w:tc>
          <w:tcPr>
            <w:tcW w:w="1656" w:type="dxa"/>
            <w:tcBorders>
              <w:left w:val="single" w:sz="4" w:space="0" w:color="auto"/>
              <w:bottom w:val="single" w:sz="2"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8000</w:t>
            </w:r>
          </w:p>
        </w:tc>
        <w:tc>
          <w:tcPr>
            <w:tcW w:w="1620" w:type="dxa"/>
            <w:tcBorders>
              <w:bottom w:val="single" w:sz="2"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50</w:t>
            </w:r>
          </w:p>
        </w:tc>
        <w:tc>
          <w:tcPr>
            <w:tcW w:w="1644" w:type="dxa"/>
            <w:tcBorders>
              <w:bottom w:val="single" w:sz="2" w:space="0" w:color="auto"/>
            </w:tcBorders>
          </w:tcPr>
          <w:p w:rsidR="00D8141B" w:rsidRPr="001668C8" w:rsidRDefault="00D8141B" w:rsidP="001668C8">
            <w:pPr>
              <w:keepNext/>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20</w:t>
            </w:r>
          </w:p>
        </w:tc>
        <w:tc>
          <w:tcPr>
            <w:tcW w:w="1680" w:type="dxa"/>
            <w:tcBorders>
              <w:bottom w:val="single" w:sz="2"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0.2</w:t>
            </w:r>
          </w:p>
        </w:tc>
        <w:tc>
          <w:tcPr>
            <w:tcW w:w="1452" w:type="dxa"/>
            <w:tcBorders>
              <w:bottom w:val="single" w:sz="2" w:space="0" w:color="auto"/>
              <w:right w:val="single" w:sz="4"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w:t>
            </w:r>
          </w:p>
        </w:tc>
      </w:tr>
      <w:tr w:rsidR="00D8141B" w:rsidRPr="001668C8" w:rsidTr="001668C8">
        <w:trPr>
          <w:cantSplit/>
        </w:trPr>
        <w:tc>
          <w:tcPr>
            <w:tcW w:w="4920" w:type="dxa"/>
            <w:gridSpan w:val="3"/>
            <w:tcBorders>
              <w:top w:val="single" w:sz="2" w:space="0" w:color="auto"/>
              <w:left w:val="single" w:sz="4" w:space="0" w:color="auto"/>
              <w:bottom w:val="single" w:sz="2" w:space="0" w:color="auto"/>
            </w:tcBorders>
          </w:tcPr>
          <w:p w:rsidR="00D8141B" w:rsidRPr="001668C8" w:rsidRDefault="00D8141B" w:rsidP="001668C8">
            <w:pPr>
              <w:keepNext/>
              <w:keepLines/>
              <w:widowControl w:val="0"/>
              <w:spacing w:before="10" w:after="10" w:line="240" w:lineRule="auto"/>
              <w:rPr>
                <w:rFonts w:eastAsia="Times New Roman" w:cs="Arial"/>
                <w:snapToGrid w:val="0"/>
                <w:sz w:val="20"/>
                <w:szCs w:val="20"/>
                <w:lang w:val="en-GB"/>
              </w:rPr>
            </w:pPr>
            <w:r w:rsidRPr="001668C8">
              <w:rPr>
                <w:rFonts w:eastAsia="Times New Roman" w:cs="Arial"/>
                <w:snapToGrid w:val="0"/>
                <w:sz w:val="20"/>
                <w:szCs w:val="20"/>
                <w:lang w:val="en-GB"/>
              </w:rPr>
              <w:t>Total BHI (%) using extension table</w:t>
            </w:r>
          </w:p>
        </w:tc>
        <w:tc>
          <w:tcPr>
            <w:tcW w:w="1680" w:type="dxa"/>
            <w:tcBorders>
              <w:top w:val="single" w:sz="2" w:space="0" w:color="auto"/>
              <w:bottom w:val="single" w:sz="2"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11.6</w:t>
            </w:r>
          </w:p>
        </w:tc>
        <w:tc>
          <w:tcPr>
            <w:tcW w:w="1452" w:type="dxa"/>
            <w:tcBorders>
              <w:top w:val="single" w:sz="2" w:space="0" w:color="auto"/>
              <w:bottom w:val="single" w:sz="2" w:space="0" w:color="auto"/>
              <w:right w:val="single" w:sz="4"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p>
        </w:tc>
      </w:tr>
      <w:tr w:rsidR="00D8141B" w:rsidRPr="001668C8" w:rsidTr="001668C8">
        <w:trPr>
          <w:cantSplit/>
        </w:trPr>
        <w:tc>
          <w:tcPr>
            <w:tcW w:w="4920" w:type="dxa"/>
            <w:gridSpan w:val="3"/>
            <w:tcBorders>
              <w:top w:val="single" w:sz="2" w:space="0" w:color="auto"/>
              <w:left w:val="single" w:sz="4" w:space="0" w:color="auto"/>
              <w:bottom w:val="single" w:sz="2" w:space="0" w:color="auto"/>
            </w:tcBorders>
          </w:tcPr>
          <w:p w:rsidR="00D8141B" w:rsidRPr="001668C8" w:rsidRDefault="00D8141B" w:rsidP="001668C8">
            <w:pPr>
              <w:keepNext/>
              <w:keepLines/>
              <w:widowControl w:val="0"/>
              <w:spacing w:before="10" w:after="10" w:line="240" w:lineRule="auto"/>
              <w:rPr>
                <w:rFonts w:eastAsia="Times New Roman" w:cs="Arial"/>
                <w:snapToGrid w:val="0"/>
                <w:sz w:val="20"/>
                <w:szCs w:val="20"/>
                <w:lang w:val="en-GB"/>
              </w:rPr>
            </w:pPr>
            <w:r w:rsidRPr="001668C8">
              <w:rPr>
                <w:rFonts w:eastAsia="Times New Roman" w:cs="Arial"/>
                <w:snapToGrid w:val="0"/>
                <w:sz w:val="20"/>
                <w:szCs w:val="20"/>
                <w:lang w:val="en-GB"/>
              </w:rPr>
              <w:t>Total BHI (%) not using extension table</w:t>
            </w:r>
          </w:p>
        </w:tc>
        <w:tc>
          <w:tcPr>
            <w:tcW w:w="1680" w:type="dxa"/>
            <w:tcBorders>
              <w:top w:val="single" w:sz="2" w:space="0" w:color="auto"/>
              <w:bottom w:val="single" w:sz="2"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p>
        </w:tc>
        <w:tc>
          <w:tcPr>
            <w:tcW w:w="1452" w:type="dxa"/>
            <w:tcBorders>
              <w:top w:val="single" w:sz="2" w:space="0" w:color="auto"/>
              <w:bottom w:val="single" w:sz="2" w:space="0" w:color="auto"/>
              <w:right w:val="single" w:sz="4"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11.2</w:t>
            </w:r>
          </w:p>
        </w:tc>
      </w:tr>
      <w:tr w:rsidR="00D8141B" w:rsidRPr="001668C8" w:rsidTr="001668C8">
        <w:trPr>
          <w:cantSplit/>
        </w:trPr>
        <w:tc>
          <w:tcPr>
            <w:tcW w:w="4920" w:type="dxa"/>
            <w:gridSpan w:val="3"/>
            <w:tcBorders>
              <w:top w:val="single" w:sz="2" w:space="0" w:color="auto"/>
              <w:left w:val="single" w:sz="4" w:space="0" w:color="auto"/>
              <w:bottom w:val="single" w:sz="2" w:space="0" w:color="auto"/>
            </w:tcBorders>
          </w:tcPr>
          <w:p w:rsidR="00D8141B" w:rsidRPr="001668C8" w:rsidRDefault="00802CA9" w:rsidP="001668C8">
            <w:pPr>
              <w:keepNext/>
              <w:keepLines/>
              <w:widowControl w:val="0"/>
              <w:spacing w:before="10" w:after="10" w:line="240" w:lineRule="auto"/>
              <w:rPr>
                <w:rFonts w:eastAsia="Times New Roman" w:cs="Arial"/>
                <w:snapToGrid w:val="0"/>
                <w:sz w:val="20"/>
                <w:szCs w:val="20"/>
                <w:lang w:val="en-GB"/>
              </w:rPr>
            </w:pPr>
            <w:r w:rsidRPr="001668C8">
              <w:rPr>
                <w:rFonts w:eastAsia="Times New Roman" w:cs="Arial"/>
                <w:snapToGrid w:val="0"/>
                <w:sz w:val="20"/>
                <w:szCs w:val="20"/>
                <w:lang w:val="en-GB"/>
              </w:rPr>
              <w:t>Presbyacusis</w:t>
            </w:r>
            <w:r w:rsidR="00D8141B" w:rsidRPr="001668C8">
              <w:rPr>
                <w:rFonts w:eastAsia="Times New Roman" w:cs="Arial"/>
                <w:snapToGrid w:val="0"/>
                <w:sz w:val="20"/>
                <w:szCs w:val="20"/>
                <w:lang w:val="en-GB"/>
              </w:rPr>
              <w:t xml:space="preserve"> correction </w:t>
            </w:r>
          </w:p>
        </w:tc>
        <w:tc>
          <w:tcPr>
            <w:tcW w:w="1680" w:type="dxa"/>
            <w:tcBorders>
              <w:top w:val="single" w:sz="2" w:space="0" w:color="auto"/>
              <w:bottom w:val="single" w:sz="2"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0</w:t>
            </w:r>
          </w:p>
        </w:tc>
        <w:tc>
          <w:tcPr>
            <w:tcW w:w="1452" w:type="dxa"/>
            <w:tcBorders>
              <w:top w:val="single" w:sz="2" w:space="0" w:color="auto"/>
              <w:bottom w:val="single" w:sz="2" w:space="0" w:color="auto"/>
              <w:right w:val="single" w:sz="4"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p>
        </w:tc>
      </w:tr>
      <w:tr w:rsidR="00D8141B" w:rsidRPr="001668C8" w:rsidTr="001668C8">
        <w:trPr>
          <w:cantSplit/>
          <w:trHeight w:val="660"/>
        </w:trPr>
        <w:tc>
          <w:tcPr>
            <w:tcW w:w="4920" w:type="dxa"/>
            <w:gridSpan w:val="3"/>
            <w:tcBorders>
              <w:top w:val="single" w:sz="2" w:space="0" w:color="auto"/>
              <w:left w:val="single" w:sz="4" w:space="0" w:color="auto"/>
              <w:bottom w:val="single" w:sz="2" w:space="0" w:color="auto"/>
            </w:tcBorders>
          </w:tcPr>
          <w:p w:rsidR="00D8141B" w:rsidRPr="001668C8" w:rsidRDefault="00D8141B" w:rsidP="001668C8">
            <w:pPr>
              <w:keepNext/>
              <w:keepLines/>
              <w:widowControl w:val="0"/>
              <w:suppressAutoHyphens/>
              <w:spacing w:before="10" w:after="10" w:line="240" w:lineRule="auto"/>
              <w:rPr>
                <w:rFonts w:eastAsia="Times New Roman" w:cs="Arial"/>
                <w:snapToGrid w:val="0"/>
                <w:sz w:val="20"/>
                <w:szCs w:val="20"/>
                <w:lang w:val="en-GB"/>
              </w:rPr>
            </w:pPr>
            <w:r w:rsidRPr="001668C8">
              <w:rPr>
                <w:rFonts w:eastAsia="Times New Roman" w:cs="Arial"/>
                <w:snapToGrid w:val="0"/>
                <w:sz w:val="20"/>
                <w:szCs w:val="20"/>
                <w:lang w:val="en-GB"/>
              </w:rPr>
              <w:t>The assessing medical specialist is of the opinion that the binaural hearing impairment in this matter is 11.6% rather than 11.2%</w:t>
            </w:r>
          </w:p>
        </w:tc>
        <w:tc>
          <w:tcPr>
            <w:tcW w:w="1680" w:type="dxa"/>
            <w:tcBorders>
              <w:top w:val="single" w:sz="2" w:space="0" w:color="auto"/>
              <w:bottom w:val="single" w:sz="2"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p>
        </w:tc>
        <w:tc>
          <w:tcPr>
            <w:tcW w:w="1452" w:type="dxa"/>
            <w:tcBorders>
              <w:top w:val="single" w:sz="2" w:space="0" w:color="auto"/>
              <w:bottom w:val="single" w:sz="2" w:space="0" w:color="auto"/>
              <w:right w:val="single" w:sz="4"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p>
        </w:tc>
      </w:tr>
      <w:tr w:rsidR="00D8141B" w:rsidRPr="001668C8" w:rsidTr="001668C8">
        <w:trPr>
          <w:cantSplit/>
        </w:trPr>
        <w:tc>
          <w:tcPr>
            <w:tcW w:w="4920" w:type="dxa"/>
            <w:gridSpan w:val="3"/>
            <w:tcBorders>
              <w:top w:val="single" w:sz="2" w:space="0" w:color="auto"/>
              <w:left w:val="single" w:sz="4" w:space="0" w:color="auto"/>
            </w:tcBorders>
          </w:tcPr>
          <w:p w:rsidR="00D8141B" w:rsidRPr="001668C8" w:rsidRDefault="00D8141B" w:rsidP="001668C8">
            <w:pPr>
              <w:keepNext/>
              <w:keepLines/>
              <w:widowControl w:val="0"/>
              <w:spacing w:before="10" w:after="10" w:line="240" w:lineRule="auto"/>
              <w:rPr>
                <w:rFonts w:eastAsia="Times New Roman" w:cs="Arial"/>
                <w:snapToGrid w:val="0"/>
                <w:sz w:val="20"/>
                <w:szCs w:val="20"/>
                <w:lang w:val="en-GB"/>
              </w:rPr>
            </w:pPr>
            <w:r w:rsidRPr="001668C8">
              <w:rPr>
                <w:rFonts w:eastAsia="Times New Roman" w:cs="Arial"/>
                <w:snapToGrid w:val="0"/>
                <w:sz w:val="20"/>
                <w:szCs w:val="20"/>
                <w:lang w:val="en-GB"/>
              </w:rPr>
              <w:t>Adjusted total %BHI</w:t>
            </w:r>
          </w:p>
        </w:tc>
        <w:tc>
          <w:tcPr>
            <w:tcW w:w="1680" w:type="dxa"/>
            <w:tcBorders>
              <w:top w:val="single" w:sz="2"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r w:rsidRPr="001668C8">
              <w:rPr>
                <w:rFonts w:eastAsia="Times New Roman" w:cs="Arial"/>
                <w:snapToGrid w:val="0"/>
                <w:sz w:val="20"/>
                <w:szCs w:val="20"/>
                <w:lang w:val="en-GB"/>
              </w:rPr>
              <w:t>11.6</w:t>
            </w:r>
          </w:p>
        </w:tc>
        <w:tc>
          <w:tcPr>
            <w:tcW w:w="1452" w:type="dxa"/>
            <w:tcBorders>
              <w:top w:val="single" w:sz="2" w:space="0" w:color="auto"/>
              <w:right w:val="single" w:sz="4" w:space="0" w:color="auto"/>
            </w:tcBorders>
          </w:tcPr>
          <w:p w:rsidR="00D8141B" w:rsidRPr="001668C8" w:rsidRDefault="00D8141B" w:rsidP="001668C8">
            <w:pPr>
              <w:keepLines/>
              <w:widowControl w:val="0"/>
              <w:spacing w:before="10" w:after="10" w:line="240" w:lineRule="auto"/>
              <w:jc w:val="center"/>
              <w:rPr>
                <w:rFonts w:eastAsia="Times New Roman" w:cs="Arial"/>
                <w:snapToGrid w:val="0"/>
                <w:sz w:val="20"/>
                <w:szCs w:val="20"/>
                <w:lang w:val="en-GB"/>
              </w:rPr>
            </w:pPr>
          </w:p>
        </w:tc>
      </w:tr>
      <w:tr w:rsidR="00D8141B" w:rsidRPr="001668C8" w:rsidTr="001668C8">
        <w:trPr>
          <w:cantSplit/>
          <w:trHeight w:val="254"/>
        </w:trPr>
        <w:tc>
          <w:tcPr>
            <w:tcW w:w="8052" w:type="dxa"/>
            <w:gridSpan w:val="5"/>
            <w:tcBorders>
              <w:top w:val="single" w:sz="4" w:space="0" w:color="auto"/>
              <w:left w:val="single" w:sz="4" w:space="0" w:color="auto"/>
              <w:bottom w:val="single" w:sz="4" w:space="0" w:color="auto"/>
              <w:right w:val="single" w:sz="4" w:space="0" w:color="auto"/>
            </w:tcBorders>
          </w:tcPr>
          <w:p w:rsidR="00D8141B" w:rsidRPr="001668C8" w:rsidRDefault="00D8141B" w:rsidP="001668C8">
            <w:pPr>
              <w:keepLines/>
              <w:widowControl w:val="0"/>
              <w:spacing w:before="10" w:after="10" w:line="240" w:lineRule="auto"/>
              <w:rPr>
                <w:rFonts w:eastAsia="Times New Roman" w:cs="Arial"/>
                <w:snapToGrid w:val="0"/>
                <w:sz w:val="20"/>
                <w:szCs w:val="20"/>
                <w:lang w:val="en-GB"/>
              </w:rPr>
            </w:pPr>
            <w:r w:rsidRPr="001668C8">
              <w:rPr>
                <w:rFonts w:eastAsia="Times New Roman" w:cs="Arial"/>
                <w:snapToGrid w:val="0"/>
                <w:sz w:val="20"/>
                <w:szCs w:val="20"/>
                <w:lang w:val="en-GB"/>
              </w:rPr>
              <w:t xml:space="preserve">Resultant Total BHI of 11.6% = 6% WPI (Table 9.1) </w:t>
            </w:r>
          </w:p>
        </w:tc>
      </w:tr>
    </w:tbl>
    <w:p w:rsidR="001668C8" w:rsidRDefault="001668C8" w:rsidP="001668C8">
      <w:pPr>
        <w:pStyle w:val="Heading1"/>
        <w:numPr>
          <w:ilvl w:val="0"/>
          <w:numId w:val="0"/>
        </w:numPr>
        <w:rPr>
          <w:b w:val="0"/>
        </w:rPr>
        <w:sectPr w:rsidR="001668C8" w:rsidSect="002947BC">
          <w:pgSz w:w="11906" w:h="16838" w:code="9"/>
          <w:pgMar w:top="1134" w:right="1134" w:bottom="1134" w:left="1134" w:header="0" w:footer="720" w:gutter="0"/>
          <w:cols w:space="720"/>
          <w:titlePg/>
        </w:sectPr>
      </w:pPr>
      <w:bookmarkStart w:id="212" w:name="c10"/>
      <w:bookmarkStart w:id="213" w:name="_Toc529598384"/>
      <w:bookmarkStart w:id="214" w:name="_Toc422836866"/>
      <w:bookmarkStart w:id="215" w:name="_Hlt529258503"/>
      <w:bookmarkEnd w:id="212"/>
    </w:p>
    <w:p w:rsidR="00D8141B" w:rsidRPr="00D8141B" w:rsidRDefault="00D8141B" w:rsidP="001668C8">
      <w:pPr>
        <w:pStyle w:val="Heading1"/>
        <w:tabs>
          <w:tab w:val="clear" w:pos="567"/>
          <w:tab w:val="left" w:pos="709"/>
        </w:tabs>
        <w:ind w:hanging="720"/>
        <w:rPr>
          <w:bCs/>
        </w:rPr>
      </w:pPr>
      <w:bookmarkStart w:id="216" w:name="_Toc487809953"/>
      <w:r w:rsidRPr="00551741">
        <w:lastRenderedPageBreak/>
        <w:t>The visual system</w:t>
      </w:r>
      <w:bookmarkEnd w:id="213"/>
      <w:bookmarkEnd w:id="214"/>
      <w:bookmarkEnd w:id="216"/>
    </w:p>
    <w:p w:rsidR="00D8141B" w:rsidRPr="00E80BE5" w:rsidRDefault="00D8141B" w:rsidP="00E80BE5">
      <w:pPr>
        <w:pStyle w:val="BodyText10"/>
        <w:numPr>
          <w:ilvl w:val="0"/>
          <w:numId w:val="0"/>
        </w:numPr>
        <w:tabs>
          <w:tab w:val="clear" w:pos="709"/>
        </w:tabs>
        <w:rPr>
          <w:rFonts w:cs="Times New Roman"/>
          <w:b/>
        </w:rPr>
      </w:pPr>
      <w:bookmarkStart w:id="217" w:name="_Toc144874708"/>
      <w:bookmarkStart w:id="218" w:name="_Toc144875297"/>
      <w:bookmarkEnd w:id="215"/>
      <w:r w:rsidRPr="00E80BE5">
        <w:rPr>
          <w:b/>
        </w:rPr>
        <w:t xml:space="preserve">Chapter 8, AMA4 </w:t>
      </w:r>
      <w:r w:rsidR="00E80BE5">
        <w:rPr>
          <w:b/>
        </w:rPr>
        <w:t xml:space="preserve"> </w:t>
      </w:r>
      <w:r w:rsidRPr="00E80BE5">
        <w:rPr>
          <w:b/>
        </w:rPr>
        <w:t>(page 209) applies to the assessment of permanent impairment of the visual system, subject to the modifications set out below.</w:t>
      </w:r>
      <w:bookmarkEnd w:id="217"/>
      <w:bookmarkEnd w:id="218"/>
      <w:r w:rsidRPr="00E80BE5">
        <w:rPr>
          <w:b/>
        </w:rPr>
        <w:t xml:space="preserve"> Before undertaking an impai</w:t>
      </w:r>
      <w:r w:rsidR="004A5BE6" w:rsidRPr="00E80BE5">
        <w:rPr>
          <w:b/>
        </w:rPr>
        <w:t>rment assessment, users of the</w:t>
      </w:r>
      <w:r w:rsidRPr="00E80BE5">
        <w:rPr>
          <w:b/>
        </w:rPr>
        <w:t xml:space="preserve"> Guidelines must be familiar with the</w:t>
      </w:r>
      <w:r w:rsidRPr="00E80BE5">
        <w:rPr>
          <w:rFonts w:cs="Times New Roman"/>
          <w:b/>
        </w:rPr>
        <w:t xml:space="preserve"> following:</w:t>
      </w:r>
    </w:p>
    <w:p w:rsidR="00D8141B" w:rsidRPr="003F702E" w:rsidRDefault="004A5BE6" w:rsidP="00E80BE5">
      <w:pPr>
        <w:pStyle w:val="Bulletpoint"/>
        <w:tabs>
          <w:tab w:val="left" w:pos="1134"/>
        </w:tabs>
        <w:ind w:left="1134"/>
        <w:rPr>
          <w:rFonts w:eastAsia="Calibri"/>
          <w:lang w:val="en-US"/>
        </w:rPr>
      </w:pPr>
      <w:r>
        <w:rPr>
          <w:rFonts w:eastAsia="Calibri"/>
          <w:lang w:val="en-US"/>
        </w:rPr>
        <w:t>The Introduction in the</w:t>
      </w:r>
      <w:r w:rsidR="00D8141B" w:rsidRPr="003F702E">
        <w:rPr>
          <w:rFonts w:eastAsia="Calibri"/>
          <w:lang w:val="en-US"/>
        </w:rPr>
        <w:t xml:space="preserve"> Guidelines</w:t>
      </w:r>
    </w:p>
    <w:p w:rsidR="00D8141B" w:rsidRPr="003F702E" w:rsidRDefault="00D8141B" w:rsidP="00E80BE5">
      <w:pPr>
        <w:pStyle w:val="Bulletpoint"/>
        <w:tabs>
          <w:tab w:val="left" w:pos="1134"/>
        </w:tabs>
        <w:ind w:left="1134"/>
        <w:rPr>
          <w:rFonts w:eastAsia="Calibri"/>
          <w:lang w:val="en-US"/>
        </w:rPr>
      </w:pPr>
      <w:r w:rsidRPr="003F702E">
        <w:rPr>
          <w:rFonts w:eastAsia="Calibri"/>
          <w:lang w:val="en-US"/>
        </w:rPr>
        <w:t>Chapters 1 and 2 of AMA5</w:t>
      </w:r>
    </w:p>
    <w:p w:rsidR="00D8141B" w:rsidRPr="003F702E" w:rsidRDefault="00D8141B" w:rsidP="00E80BE5">
      <w:pPr>
        <w:pStyle w:val="Bulletpoint"/>
        <w:tabs>
          <w:tab w:val="left" w:pos="1134"/>
        </w:tabs>
        <w:ind w:left="1134"/>
        <w:rPr>
          <w:rFonts w:eastAsia="Calibri"/>
          <w:lang w:val="en-US"/>
        </w:rPr>
      </w:pPr>
      <w:r w:rsidRPr="003F702E">
        <w:rPr>
          <w:rFonts w:eastAsia="Calibri"/>
          <w:lang w:val="en-US"/>
        </w:rPr>
        <w:t>Th</w:t>
      </w:r>
      <w:r w:rsidR="004A5BE6">
        <w:rPr>
          <w:rFonts w:eastAsia="Calibri"/>
          <w:lang w:val="en-US"/>
        </w:rPr>
        <w:t>e appropriate chapter/s of the</w:t>
      </w:r>
      <w:r w:rsidRPr="003F702E">
        <w:rPr>
          <w:rFonts w:eastAsia="Calibri"/>
          <w:lang w:val="en-US"/>
        </w:rPr>
        <w:t xml:space="preserve"> Guidelines for the body system they are assessing.</w:t>
      </w:r>
    </w:p>
    <w:p w:rsidR="00D8141B" w:rsidRPr="003F702E" w:rsidRDefault="00D8141B" w:rsidP="00E80BE5">
      <w:pPr>
        <w:pStyle w:val="Bulletpoint"/>
        <w:tabs>
          <w:tab w:val="left" w:pos="1134"/>
        </w:tabs>
        <w:ind w:left="1134"/>
        <w:rPr>
          <w:rFonts w:eastAsia="Calibri"/>
          <w:lang w:val="en-US"/>
        </w:rPr>
      </w:pPr>
      <w:r w:rsidRPr="003F702E">
        <w:rPr>
          <w:rFonts w:eastAsia="Calibri"/>
          <w:lang w:val="en-US"/>
        </w:rPr>
        <w:t>The appropriate chapter/s of AMA</w:t>
      </w:r>
      <w:r w:rsidR="003F702E" w:rsidRPr="003F702E">
        <w:rPr>
          <w:rFonts w:eastAsia="Calibri"/>
          <w:lang w:val="en-US"/>
        </w:rPr>
        <w:t>4</w:t>
      </w:r>
      <w:r w:rsidRPr="003F702E">
        <w:rPr>
          <w:rFonts w:eastAsia="Calibri"/>
          <w:lang w:val="en-US"/>
        </w:rPr>
        <w:t xml:space="preserve"> for the body system they are assessing.</w:t>
      </w:r>
    </w:p>
    <w:p w:rsidR="00D8141B" w:rsidRPr="003F702E" w:rsidRDefault="004A5BE6" w:rsidP="00E80BE5">
      <w:pPr>
        <w:pStyle w:val="BodyText10"/>
        <w:numPr>
          <w:ilvl w:val="0"/>
          <w:numId w:val="0"/>
        </w:numPr>
        <w:spacing w:before="240"/>
        <w:ind w:left="709" w:hanging="709"/>
        <w:rPr>
          <w:bCs/>
        </w:rPr>
      </w:pPr>
      <w:r>
        <w:rPr>
          <w:rFonts w:eastAsia="Calibri"/>
        </w:rPr>
        <w:t>The</w:t>
      </w:r>
      <w:r w:rsidR="00D8141B" w:rsidRPr="003F702E">
        <w:rPr>
          <w:rFonts w:eastAsia="Calibri"/>
        </w:rPr>
        <w:t xml:space="preserve"> Guidelines take precedence over AMA</w:t>
      </w:r>
      <w:r w:rsidR="003F702E" w:rsidRPr="003F702E">
        <w:rPr>
          <w:rFonts w:eastAsia="Calibri"/>
        </w:rPr>
        <w:t>4 and AMA5</w:t>
      </w:r>
      <w:r w:rsidR="00D8141B" w:rsidRPr="003F702E">
        <w:rPr>
          <w:rFonts w:ascii="Calibri" w:eastAsia="Calibri" w:hAnsi="Calibri" w:cs="Calibri"/>
          <w:sz w:val="20"/>
        </w:rPr>
        <w:t>.</w:t>
      </w:r>
    </w:p>
    <w:p w:rsidR="00D8141B" w:rsidRPr="00D8141B" w:rsidRDefault="00D8141B" w:rsidP="00E80BE5">
      <w:pPr>
        <w:pStyle w:val="Heading3"/>
      </w:pPr>
      <w:bookmarkStart w:id="219" w:name="_Toc144874709"/>
      <w:bookmarkStart w:id="220" w:name="_Toc144875298"/>
      <w:r w:rsidRPr="00D8141B">
        <w:t>Introduction and approach to assessment</w:t>
      </w:r>
      <w:bookmarkEnd w:id="219"/>
      <w:bookmarkEnd w:id="220"/>
    </w:p>
    <w:p w:rsidR="00D8141B" w:rsidRPr="00D8141B" w:rsidRDefault="00D8141B" w:rsidP="00E80BE5">
      <w:pPr>
        <w:pStyle w:val="BodyText10"/>
      </w:pPr>
      <w:r w:rsidRPr="00D8141B">
        <w:t>The visual system must be assessed by an ophthalmologist.</w:t>
      </w:r>
    </w:p>
    <w:p w:rsidR="00D8141B" w:rsidRPr="00D8141B" w:rsidRDefault="00D8141B" w:rsidP="00E80BE5">
      <w:pPr>
        <w:pStyle w:val="BodyText10"/>
        <w:rPr>
          <w:szCs w:val="20"/>
        </w:rPr>
      </w:pPr>
      <w:r w:rsidRPr="00D8141B">
        <w:rPr>
          <w:szCs w:val="20"/>
        </w:rPr>
        <w:t>Chapter 8 (pp 209-222) of AMA4 are adopted for the Guidelines without significant change.</w:t>
      </w:r>
    </w:p>
    <w:p w:rsidR="00D8141B" w:rsidRPr="00D8141B" w:rsidRDefault="00D8141B" w:rsidP="00E80BE5">
      <w:pPr>
        <w:pStyle w:val="BodyText10"/>
        <w:rPr>
          <w:szCs w:val="20"/>
        </w:rPr>
      </w:pPr>
      <w:r w:rsidRPr="00D8141B">
        <w:rPr>
          <w:szCs w:val="20"/>
        </w:rPr>
        <w:t>AMA4 is used rather than AMA5 for the assessment of permanent impairment of the visual system because:</w:t>
      </w:r>
    </w:p>
    <w:p w:rsidR="00D8141B" w:rsidRPr="00D8141B" w:rsidRDefault="00D8141B" w:rsidP="00E80BE5">
      <w:pPr>
        <w:pStyle w:val="Bulletpoint"/>
        <w:tabs>
          <w:tab w:val="left" w:pos="1134"/>
        </w:tabs>
        <w:ind w:left="1134"/>
        <w:rPr>
          <w:lang w:val="en-GB"/>
        </w:rPr>
      </w:pPr>
      <w:r w:rsidRPr="00D8141B">
        <w:rPr>
          <w:lang w:val="en-US"/>
        </w:rPr>
        <w:t>the equipment recommended for use in AMA5 is expensive and not owned by most privately practising ophthalmologists (eg the Goldman apparatus for measuring visual fields)</w:t>
      </w:r>
      <w:r w:rsidRPr="00D8141B">
        <w:rPr>
          <w:lang w:val="en-GB"/>
        </w:rPr>
        <w:t>;</w:t>
      </w:r>
    </w:p>
    <w:p w:rsidR="00D8141B" w:rsidRPr="00D8141B" w:rsidRDefault="00D8141B" w:rsidP="00E80BE5">
      <w:pPr>
        <w:pStyle w:val="Bulletpoint"/>
        <w:tabs>
          <w:tab w:val="left" w:pos="1134"/>
        </w:tabs>
        <w:ind w:left="1134"/>
        <w:rPr>
          <w:lang w:val="en-GB"/>
        </w:rPr>
      </w:pPr>
      <w:r w:rsidRPr="00D8141B">
        <w:rPr>
          <w:lang w:val="en-US"/>
        </w:rPr>
        <w:t>the assessments recommended in AMA5 are considered too complex, raising a risk that resulting assessments may be of a lower standard than if the AMA4 method was used</w:t>
      </w:r>
      <w:r w:rsidRPr="00D8141B">
        <w:rPr>
          <w:lang w:val="en-GB"/>
        </w:rPr>
        <w:t>.</w:t>
      </w:r>
    </w:p>
    <w:p w:rsidR="00D8141B" w:rsidRPr="00D8141B" w:rsidRDefault="00D8141B" w:rsidP="00E80BE5">
      <w:pPr>
        <w:pStyle w:val="Bulletpoint"/>
        <w:tabs>
          <w:tab w:val="left" w:pos="1134"/>
        </w:tabs>
        <w:ind w:left="1134"/>
        <w:rPr>
          <w:lang w:val="en-GB"/>
        </w:rPr>
      </w:pPr>
      <w:r w:rsidRPr="00D8141B">
        <w:rPr>
          <w:lang w:val="en-US"/>
        </w:rPr>
        <w:t>there is little emphasis on diplopia in AMA5,  yet this is a relatively frequent problem</w:t>
      </w:r>
      <w:r w:rsidRPr="00D8141B">
        <w:rPr>
          <w:lang w:val="en-GB"/>
        </w:rPr>
        <w:t>.</w:t>
      </w:r>
    </w:p>
    <w:p w:rsidR="00D8141B" w:rsidRPr="00D8141B" w:rsidRDefault="00D8141B" w:rsidP="00E80BE5">
      <w:pPr>
        <w:pStyle w:val="Bulletpoint"/>
        <w:tabs>
          <w:tab w:val="left" w:pos="1134"/>
        </w:tabs>
        <w:ind w:left="1134"/>
        <w:rPr>
          <w:lang w:val="en-GB"/>
        </w:rPr>
      </w:pPr>
      <w:r w:rsidRPr="00D8141B">
        <w:rPr>
          <w:lang w:val="en-US"/>
        </w:rPr>
        <w:t>many ophthalmologists are familiar with the Royal Australian College of Ophthalmologists'  impairment guide, which is similar to AMA4</w:t>
      </w:r>
      <w:r w:rsidRPr="00D8141B">
        <w:rPr>
          <w:lang w:val="en-GB"/>
        </w:rPr>
        <w:t>.</w:t>
      </w:r>
    </w:p>
    <w:p w:rsidR="00D8141B" w:rsidRPr="00D8141B" w:rsidRDefault="00D8141B" w:rsidP="00E80BE5">
      <w:pPr>
        <w:pStyle w:val="BodyText10"/>
        <w:spacing w:before="240"/>
      </w:pPr>
      <w:r w:rsidRPr="00D8141B">
        <w:t>Impairment of vision should be measured with the injured worker wearing their prescribed corrective spectacles and/or contact lenses, if that was normal for the injured worker before the workplace injury. If, as a result of the workplace injury, the injured worker has been prescribed corrective spectacles and/or contact lenses for the first time, or different spectacles and/or contact lenses than those prescribed before injury, the difference should be accounted for in the assessment of permanent impairment.</w:t>
      </w:r>
    </w:p>
    <w:p w:rsidR="00D8141B" w:rsidRPr="00D8141B" w:rsidRDefault="00D8141B" w:rsidP="00E80BE5">
      <w:pPr>
        <w:pStyle w:val="BodyText10"/>
      </w:pPr>
      <w:r w:rsidRPr="00D8141B">
        <w:t>The ophthalmologist should perform, or review, all tests necessary for the assessment of permanent impairment rather than relying on tests, or interpretations of tests, done by the orthoptist or optometrist.</w:t>
      </w:r>
    </w:p>
    <w:p w:rsidR="00D8141B" w:rsidRPr="00D8141B" w:rsidRDefault="00D8141B" w:rsidP="00E80BE5">
      <w:pPr>
        <w:pStyle w:val="BodyText10"/>
      </w:pPr>
      <w:r w:rsidRPr="00D8141B">
        <w:t>An ophthalmologist should assess visual field impairment in all cases.</w:t>
      </w:r>
    </w:p>
    <w:p w:rsidR="00D8141B" w:rsidRPr="00D8141B" w:rsidRDefault="00D8141B" w:rsidP="00E80BE5">
      <w:pPr>
        <w:pStyle w:val="BodyText10"/>
      </w:pPr>
      <w:r w:rsidRPr="00D8141B">
        <w:t>In AMA4 Section 8.5, 'other conditions' (p 222), the 'additional10 per cent impairment' referred to means 10 per cent WPI, not 10 per cent impairment of the visual system.</w:t>
      </w:r>
    </w:p>
    <w:p w:rsidR="00E80BE5" w:rsidRDefault="00E80BE5" w:rsidP="00E80BE5">
      <w:pPr>
        <w:pStyle w:val="Heading1"/>
        <w:numPr>
          <w:ilvl w:val="0"/>
          <w:numId w:val="0"/>
        </w:numPr>
        <w:rPr>
          <w:b w:val="0"/>
        </w:rPr>
        <w:sectPr w:rsidR="00E80BE5" w:rsidSect="002947BC">
          <w:pgSz w:w="11906" w:h="16838" w:code="9"/>
          <w:pgMar w:top="1134" w:right="1134" w:bottom="1134" w:left="1134" w:header="0" w:footer="720" w:gutter="0"/>
          <w:cols w:space="720"/>
          <w:titlePg/>
        </w:sectPr>
      </w:pPr>
      <w:bookmarkStart w:id="221" w:name="c11"/>
      <w:bookmarkStart w:id="222" w:name="_Toc144874710"/>
      <w:bookmarkStart w:id="223" w:name="_Toc529598385"/>
      <w:bookmarkStart w:id="224" w:name="_Toc422836867"/>
      <w:bookmarkEnd w:id="221"/>
    </w:p>
    <w:p w:rsidR="00D8141B" w:rsidRPr="00D8141B" w:rsidRDefault="00D8141B" w:rsidP="00E80BE5">
      <w:pPr>
        <w:pStyle w:val="Heading1"/>
        <w:tabs>
          <w:tab w:val="clear" w:pos="567"/>
          <w:tab w:val="left" w:pos="709"/>
        </w:tabs>
        <w:ind w:hanging="720"/>
        <w:rPr>
          <w:bCs/>
        </w:rPr>
      </w:pPr>
      <w:bookmarkStart w:id="225" w:name="_Toc487809954"/>
      <w:r w:rsidRPr="00551741">
        <w:lastRenderedPageBreak/>
        <w:t>Psychiatric and psychological disorders</w:t>
      </w:r>
      <w:bookmarkEnd w:id="222"/>
      <w:bookmarkEnd w:id="223"/>
      <w:bookmarkEnd w:id="224"/>
      <w:bookmarkEnd w:id="225"/>
    </w:p>
    <w:p w:rsidR="003F702E" w:rsidRPr="009B0A18" w:rsidRDefault="00D8141B" w:rsidP="009B0A18">
      <w:pPr>
        <w:pStyle w:val="BodyText11"/>
        <w:numPr>
          <w:ilvl w:val="0"/>
          <w:numId w:val="0"/>
        </w:numPr>
        <w:tabs>
          <w:tab w:val="clear" w:pos="709"/>
        </w:tabs>
        <w:spacing w:after="80"/>
        <w:rPr>
          <w:b/>
        </w:rPr>
      </w:pPr>
      <w:bookmarkStart w:id="226" w:name="_Toc144874711"/>
      <w:bookmarkStart w:id="227" w:name="_Toc144875300"/>
      <w:r w:rsidRPr="009B0A18">
        <w:rPr>
          <w:b/>
          <w:szCs w:val="20"/>
        </w:rPr>
        <w:t>AMA5 Chapter 14 is excluded and replaced by this chapter.</w:t>
      </w:r>
      <w:bookmarkEnd w:id="226"/>
      <w:bookmarkEnd w:id="227"/>
      <w:r w:rsidR="00D1454D" w:rsidRPr="009B0A18">
        <w:rPr>
          <w:b/>
          <w:szCs w:val="20"/>
        </w:rPr>
        <w:t xml:space="preserve"> </w:t>
      </w:r>
      <w:r w:rsidR="00D1454D" w:rsidRPr="009B0A18">
        <w:rPr>
          <w:b/>
        </w:rPr>
        <w:t xml:space="preserve">Before undertaking an </w:t>
      </w:r>
      <w:r w:rsidR="003F702E" w:rsidRPr="009B0A18">
        <w:rPr>
          <w:b/>
        </w:rPr>
        <w:t>impai</w:t>
      </w:r>
      <w:r w:rsidR="004A5BE6" w:rsidRPr="009B0A18">
        <w:rPr>
          <w:b/>
        </w:rPr>
        <w:t>rment assessment, users of the</w:t>
      </w:r>
      <w:r w:rsidR="003F702E" w:rsidRPr="009B0A18">
        <w:rPr>
          <w:b/>
        </w:rPr>
        <w:t xml:space="preserve"> Guidelines must be familiar with the</w:t>
      </w:r>
      <w:r w:rsidR="009B0A18" w:rsidRPr="009B0A18">
        <w:rPr>
          <w:b/>
        </w:rPr>
        <w:t xml:space="preserve"> </w:t>
      </w:r>
      <w:r w:rsidR="003F702E" w:rsidRPr="009B0A18">
        <w:rPr>
          <w:b/>
          <w:bCs/>
        </w:rPr>
        <w:t>following (in this order):</w:t>
      </w:r>
    </w:p>
    <w:p w:rsidR="003F702E" w:rsidRPr="00D1454D" w:rsidRDefault="004A5BE6" w:rsidP="009B0A18">
      <w:pPr>
        <w:pStyle w:val="Bulletpoint"/>
        <w:tabs>
          <w:tab w:val="left" w:pos="1134"/>
        </w:tabs>
        <w:spacing w:after="80"/>
        <w:ind w:left="1134"/>
        <w:rPr>
          <w:rFonts w:eastAsia="Calibri"/>
          <w:lang w:val="en-US"/>
        </w:rPr>
      </w:pPr>
      <w:r>
        <w:rPr>
          <w:rFonts w:eastAsia="Calibri"/>
          <w:lang w:val="en-US"/>
        </w:rPr>
        <w:t>The Introduction in the</w:t>
      </w:r>
      <w:r w:rsidR="003F702E" w:rsidRPr="00D1454D">
        <w:rPr>
          <w:rFonts w:eastAsia="Calibri"/>
          <w:lang w:val="en-US"/>
        </w:rPr>
        <w:t xml:space="preserve"> Guidelines</w:t>
      </w:r>
    </w:p>
    <w:p w:rsidR="003F702E" w:rsidRPr="00D1454D" w:rsidRDefault="003F702E" w:rsidP="009B0A18">
      <w:pPr>
        <w:pStyle w:val="Bulletpoint"/>
        <w:tabs>
          <w:tab w:val="left" w:pos="1134"/>
        </w:tabs>
        <w:spacing w:after="80"/>
        <w:ind w:left="1134"/>
        <w:rPr>
          <w:rFonts w:eastAsia="Calibri"/>
          <w:lang w:val="en-US"/>
        </w:rPr>
      </w:pPr>
      <w:r w:rsidRPr="00D1454D">
        <w:rPr>
          <w:rFonts w:eastAsia="Calibri"/>
          <w:lang w:val="en-US"/>
        </w:rPr>
        <w:t>Chapters 1 and 2 of AMA5</w:t>
      </w:r>
    </w:p>
    <w:p w:rsidR="003F702E" w:rsidRPr="00D1454D" w:rsidRDefault="003F702E" w:rsidP="009B0A18">
      <w:pPr>
        <w:pStyle w:val="Bulletpoint"/>
        <w:tabs>
          <w:tab w:val="left" w:pos="1134"/>
        </w:tabs>
        <w:ind w:left="1134"/>
        <w:rPr>
          <w:rFonts w:eastAsia="Calibri"/>
          <w:lang w:val="en-US"/>
        </w:rPr>
      </w:pPr>
      <w:r w:rsidRPr="00D1454D">
        <w:rPr>
          <w:rFonts w:eastAsia="Calibri"/>
          <w:lang w:val="en-US"/>
        </w:rPr>
        <w:t>Th</w:t>
      </w:r>
      <w:r w:rsidR="004A5BE6">
        <w:rPr>
          <w:rFonts w:eastAsia="Calibri"/>
          <w:lang w:val="en-US"/>
        </w:rPr>
        <w:t>e appropriate chapter/s of the</w:t>
      </w:r>
      <w:r w:rsidRPr="00D1454D">
        <w:rPr>
          <w:rFonts w:eastAsia="Calibri"/>
          <w:lang w:val="en-US"/>
        </w:rPr>
        <w:t xml:space="preserve"> Guidelines for the body system they are assessing.</w:t>
      </w:r>
    </w:p>
    <w:p w:rsidR="003F702E" w:rsidRPr="00D1454D" w:rsidRDefault="004A5BE6" w:rsidP="009B0A18">
      <w:pPr>
        <w:pStyle w:val="BodyText11"/>
        <w:numPr>
          <w:ilvl w:val="0"/>
          <w:numId w:val="0"/>
        </w:numPr>
        <w:spacing w:before="200"/>
        <w:ind w:left="709" w:hanging="709"/>
        <w:rPr>
          <w:b/>
          <w:bCs/>
        </w:rPr>
      </w:pPr>
      <w:r>
        <w:rPr>
          <w:rFonts w:eastAsia="Calibri"/>
          <w:szCs w:val="20"/>
        </w:rPr>
        <w:t>The</w:t>
      </w:r>
      <w:r w:rsidR="003F702E" w:rsidRPr="00D1454D">
        <w:rPr>
          <w:rFonts w:eastAsia="Calibri"/>
          <w:szCs w:val="20"/>
        </w:rPr>
        <w:t xml:space="preserve"> Guidelines</w:t>
      </w:r>
      <w:r w:rsidR="003F702E" w:rsidRPr="00D1454D">
        <w:t xml:space="preserve"> replace the Psychiatric and Psychological chapter in AMA5.</w:t>
      </w:r>
    </w:p>
    <w:p w:rsidR="00D8141B" w:rsidRPr="00D8141B" w:rsidRDefault="00D8141B" w:rsidP="009B0A18">
      <w:pPr>
        <w:pStyle w:val="Heading3"/>
      </w:pPr>
      <w:bookmarkStart w:id="228" w:name="_Toc144874712"/>
      <w:bookmarkStart w:id="229" w:name="_Toc144875301"/>
      <w:r w:rsidRPr="00D8141B">
        <w:t>Introduction</w:t>
      </w:r>
      <w:bookmarkEnd w:id="228"/>
      <w:bookmarkEnd w:id="229"/>
    </w:p>
    <w:p w:rsidR="00D8141B" w:rsidRPr="00D8141B" w:rsidRDefault="00D8141B" w:rsidP="009B0A18">
      <w:pPr>
        <w:pStyle w:val="BodyText11"/>
      </w:pPr>
      <w:r w:rsidRPr="00D8141B">
        <w:t xml:space="preserve">This </w:t>
      </w:r>
      <w:r w:rsidRPr="009B0A18">
        <w:t>chapter</w:t>
      </w:r>
      <w:r w:rsidRPr="00D8141B">
        <w:t xml:space="preserve"> lays out </w:t>
      </w:r>
      <w:r w:rsidRPr="00E80BE5">
        <w:t>the</w:t>
      </w:r>
      <w:r w:rsidRPr="00D8141B">
        <w:t xml:space="preserve"> method for assessing psychiatric impairment. The evaluation of impairment requires a medical examination.</w:t>
      </w:r>
    </w:p>
    <w:p w:rsidR="00D8141B" w:rsidRPr="00D8141B" w:rsidRDefault="00D8141B" w:rsidP="009B0A18">
      <w:pPr>
        <w:pStyle w:val="BodyText11"/>
      </w:pPr>
      <w:r w:rsidRPr="00D8141B">
        <w:t>Evaluation of psychiatric impairment is conducted by a psychiatrist who has undergone appropriate training in this assessment method.</w:t>
      </w:r>
    </w:p>
    <w:p w:rsidR="00D8141B" w:rsidRPr="00D8141B" w:rsidRDefault="003F4549" w:rsidP="009B0A18">
      <w:pPr>
        <w:pStyle w:val="BodyText11"/>
      </w:pPr>
      <w:r>
        <w:t>DELETED (NORTHERN TERRITORY VARIATION)</w:t>
      </w:r>
      <w:r w:rsidR="00D8141B" w:rsidRPr="00D8141B">
        <w:t xml:space="preserve"> </w:t>
      </w:r>
    </w:p>
    <w:p w:rsidR="00D8141B" w:rsidRPr="00D8141B" w:rsidRDefault="00D8141B" w:rsidP="009B0A18">
      <w:pPr>
        <w:pStyle w:val="Heading3"/>
      </w:pPr>
      <w:bookmarkStart w:id="230" w:name="_Toc144874714"/>
      <w:bookmarkStart w:id="231" w:name="_Toc144875303"/>
      <w:r w:rsidRPr="00D8141B">
        <w:t>Diagnosis</w:t>
      </w:r>
      <w:bookmarkEnd w:id="230"/>
      <w:bookmarkEnd w:id="231"/>
    </w:p>
    <w:p w:rsidR="00D8141B" w:rsidRPr="00D8141B" w:rsidRDefault="00D8141B" w:rsidP="009B0A18">
      <w:pPr>
        <w:pStyle w:val="BodyText11"/>
      </w:pPr>
      <w:r w:rsidRPr="00D8141B">
        <w:t>The impairment rating must be based upon a psychiatric diagnosis (according to a recognised diagnostic system) and the report must specify the diagnostic criteria upon which the diagnosis is based. Impairment arising from any of the somatoform disorders (DSM IV TR, pp 485-511) are excluded from this chapter.</w:t>
      </w:r>
    </w:p>
    <w:p w:rsidR="00D8141B" w:rsidRPr="00D8141B" w:rsidRDefault="00D8141B" w:rsidP="009B0A18">
      <w:pPr>
        <w:pStyle w:val="BodyText11"/>
      </w:pPr>
      <w:r w:rsidRPr="00D8141B">
        <w:t>If pain is present as the result of an organic impairment, it should be assessed as part of the organic condition under the relevant table. This does not constitute part of the assessment of impairment relating to the psychiatric condition. The impairment ratings in the body organ system chapters in AMA5 make allowance for any accompanying pain.</w:t>
      </w:r>
    </w:p>
    <w:p w:rsidR="00D8141B" w:rsidRPr="00D8141B" w:rsidRDefault="00D8141B" w:rsidP="009B0A18">
      <w:pPr>
        <w:pStyle w:val="BodyText11"/>
      </w:pPr>
      <w:r w:rsidRPr="00D8141B">
        <w:t>It is expected that the psychiatrist will provide a rationale for the rating based on the injured worker's psychiatric symptoms. The diagnosis is among the factors to be considered in assessing the severity and possible duration of the impairment, but is not the sole criterion to be used. Clinical assessment of the person may include information from the injured worker's own description of his or her functioning and limitations, from family members and others who may have knowledge of the person. Medical reports, feedback from treating professionals, results of standardised tests, including appropriate psychometric testing performed by a qualified clinical psychologist, and work evaluations may provide useful information to assist with the assessment. Evaluation of impairment will need to take into account variations in the level of functioning over time. Percentage impairment refers to 'whole person impairment'.</w:t>
      </w:r>
    </w:p>
    <w:p w:rsidR="00D8141B" w:rsidRPr="00D8141B" w:rsidRDefault="00D8141B" w:rsidP="009B0A18">
      <w:pPr>
        <w:pStyle w:val="Heading3"/>
      </w:pPr>
      <w:bookmarkStart w:id="232" w:name="_Toc144874715"/>
      <w:bookmarkStart w:id="233" w:name="_Toc144875304"/>
      <w:r w:rsidRPr="00D8141B">
        <w:t>Permanent impairment</w:t>
      </w:r>
      <w:bookmarkEnd w:id="232"/>
      <w:bookmarkEnd w:id="233"/>
    </w:p>
    <w:p w:rsidR="00D8141B" w:rsidRPr="00D8141B" w:rsidRDefault="00D8141B" w:rsidP="009B0A18">
      <w:pPr>
        <w:pStyle w:val="BodyText11"/>
        <w:spacing w:after="80"/>
      </w:pPr>
      <w:r w:rsidRPr="00D8141B">
        <w:t>A psychiatric disorder is permanent, if in your clinical opinion, it is likely to continue indefinitely. Regard should be given to:</w:t>
      </w:r>
    </w:p>
    <w:p w:rsidR="00D8141B" w:rsidRPr="00D8141B" w:rsidRDefault="00D8141B" w:rsidP="009B0A18">
      <w:pPr>
        <w:pStyle w:val="Bulletpoint"/>
        <w:keepNext w:val="0"/>
        <w:tabs>
          <w:tab w:val="left" w:pos="1134"/>
        </w:tabs>
        <w:spacing w:after="80"/>
        <w:ind w:left="1134"/>
        <w:rPr>
          <w:lang w:val="en-GB"/>
        </w:rPr>
      </w:pPr>
      <w:r w:rsidRPr="00D8141B">
        <w:rPr>
          <w:lang w:val="en-GB"/>
        </w:rPr>
        <w:t>the duration of impairment;</w:t>
      </w:r>
    </w:p>
    <w:p w:rsidR="00D8141B" w:rsidRPr="00D8141B" w:rsidRDefault="00D8141B" w:rsidP="009B0A18">
      <w:pPr>
        <w:pStyle w:val="Bulletpoint"/>
        <w:keepNext w:val="0"/>
        <w:tabs>
          <w:tab w:val="left" w:pos="1134"/>
        </w:tabs>
        <w:spacing w:after="80"/>
        <w:ind w:left="1134"/>
        <w:rPr>
          <w:lang w:val="en-GB"/>
        </w:rPr>
      </w:pPr>
      <w:r w:rsidRPr="00D8141B">
        <w:rPr>
          <w:lang w:val="en-GB"/>
        </w:rPr>
        <w:t>the likelihood of improvement in the injured workers’ condition;</w:t>
      </w:r>
    </w:p>
    <w:p w:rsidR="00D8141B" w:rsidRPr="00D8141B" w:rsidRDefault="00D8141B" w:rsidP="009B0A18">
      <w:pPr>
        <w:pStyle w:val="Bulletpoint"/>
        <w:keepNext w:val="0"/>
        <w:tabs>
          <w:tab w:val="left" w:pos="1134"/>
        </w:tabs>
        <w:spacing w:after="80"/>
        <w:ind w:left="1134"/>
        <w:rPr>
          <w:lang w:val="en-GB"/>
        </w:rPr>
      </w:pPr>
      <w:r w:rsidRPr="00D8141B">
        <w:rPr>
          <w:lang w:val="en-GB"/>
        </w:rPr>
        <w:t>whether the injured worker has undertaken reasonable rehabilitative treatment;</w:t>
      </w:r>
    </w:p>
    <w:p w:rsidR="00D8141B" w:rsidRPr="00D8141B" w:rsidRDefault="00D8141B" w:rsidP="009B0A18">
      <w:pPr>
        <w:pStyle w:val="Bulletpoint"/>
        <w:keepNext w:val="0"/>
        <w:tabs>
          <w:tab w:val="left" w:pos="1134"/>
        </w:tabs>
        <w:ind w:left="1134"/>
        <w:rPr>
          <w:lang w:val="en-GB"/>
        </w:rPr>
      </w:pPr>
      <w:r w:rsidRPr="00D8141B">
        <w:rPr>
          <w:lang w:val="en-GB"/>
        </w:rPr>
        <w:t>any other relevant matters.</w:t>
      </w:r>
    </w:p>
    <w:p w:rsidR="00D8141B" w:rsidRPr="00D8141B" w:rsidRDefault="00D8141B" w:rsidP="009B0A18">
      <w:pPr>
        <w:pStyle w:val="Heading3"/>
      </w:pPr>
      <w:bookmarkStart w:id="234" w:name="_Toc144874716"/>
      <w:bookmarkStart w:id="235" w:name="_Toc144875305"/>
      <w:r w:rsidRPr="00D8141B">
        <w:lastRenderedPageBreak/>
        <w:t>Effects of treatment</w:t>
      </w:r>
      <w:bookmarkEnd w:id="234"/>
      <w:bookmarkEnd w:id="235"/>
    </w:p>
    <w:p w:rsidR="00D8141B" w:rsidRPr="00D8141B" w:rsidRDefault="00D8141B" w:rsidP="009B0A18">
      <w:pPr>
        <w:pStyle w:val="BodyText11"/>
      </w:pPr>
      <w:r w:rsidRPr="00D8141B">
        <w:t>Consider the effects of medication, treatment and rehabilitation to date. Is the condition stable? Is treatment likely to change? Are symptoms likely to improve? If the injured worker declines treatment, this should not affect the estimate of permanent impairment. The psychiatrist may make a comment in the report about the likely effect of treatment or the reasons for refusal of treatment.</w:t>
      </w:r>
    </w:p>
    <w:p w:rsidR="00D8141B" w:rsidRPr="00D8141B" w:rsidRDefault="00D8141B" w:rsidP="009B0A18">
      <w:pPr>
        <w:pStyle w:val="Heading3"/>
      </w:pPr>
      <w:bookmarkStart w:id="236" w:name="_Toc144874717"/>
      <w:bookmarkStart w:id="237" w:name="_Toc144875306"/>
      <w:r w:rsidRPr="00D8141B">
        <w:t>Co-morbidity</w:t>
      </w:r>
      <w:bookmarkEnd w:id="236"/>
      <w:bookmarkEnd w:id="237"/>
    </w:p>
    <w:p w:rsidR="00D8141B" w:rsidRPr="00D8141B" w:rsidRDefault="00D8141B" w:rsidP="009B0A18">
      <w:pPr>
        <w:pStyle w:val="BodyText11"/>
      </w:pPr>
      <w:r w:rsidRPr="00D8141B">
        <w:t xml:space="preserve">Consider co-morbid features (eg </w:t>
      </w:r>
      <w:r w:rsidR="005347F7">
        <w:t>bi-polar disorder</w:t>
      </w:r>
      <w:r w:rsidRPr="00D8141B">
        <w:t>, personality disorder, substance abuse) and determine whether they are directly linked to the work-related injury or whether they were pre-existing or unrelated conditions.</w:t>
      </w:r>
    </w:p>
    <w:p w:rsidR="00D8141B" w:rsidRPr="00D8141B" w:rsidRDefault="00D8141B" w:rsidP="009B0A18">
      <w:pPr>
        <w:pStyle w:val="Heading3"/>
      </w:pPr>
      <w:bookmarkStart w:id="238" w:name="_Toc144874718"/>
      <w:bookmarkStart w:id="239" w:name="_Toc144875307"/>
      <w:r w:rsidRPr="00D8141B">
        <w:t>Pre-existing impairment</w:t>
      </w:r>
      <w:bookmarkEnd w:id="238"/>
      <w:bookmarkEnd w:id="239"/>
    </w:p>
    <w:p w:rsidR="00D8141B" w:rsidRPr="00D8141B" w:rsidRDefault="00D8141B" w:rsidP="009B0A18">
      <w:pPr>
        <w:pStyle w:val="BodyText11"/>
      </w:pPr>
      <w:r w:rsidRPr="00D8141B">
        <w:t xml:space="preserve">To measure the impairment caused by a work-related injury or incident, the psychiatrist must measure the proportion of WPI due to a pre-existing condition. Pre-existing impairment is calculated using the same method for calculating current impairment level. The assessing psychiatrist uses all available information to rate the injured worker's pre-injury level of functioning in each of the areas of function. The percentage impairment is calculated using the aggregate score and median class score using the conversion table below. The injured worker's current level of impairment is then assessed, and the pre-existing impairment level (%)  is then subtracted from their current level to obtain the percentage of permanent impairment  directly attributable to the work-related injury. If the percentage of pre-existing impairment cannot be assessed, </w:t>
      </w:r>
      <w:r w:rsidR="005347F7">
        <w:t>the deduction is 1/10th of the assessed WPI</w:t>
      </w:r>
      <w:r w:rsidRPr="00D8141B">
        <w:t>.</w:t>
      </w:r>
    </w:p>
    <w:p w:rsidR="00D8141B" w:rsidRPr="00D8141B" w:rsidRDefault="00D8141B" w:rsidP="009B0A18">
      <w:pPr>
        <w:pStyle w:val="Heading3"/>
      </w:pPr>
      <w:bookmarkStart w:id="240" w:name="_Toc144874719"/>
      <w:bookmarkStart w:id="241" w:name="_Toc144875308"/>
      <w:r w:rsidRPr="00D8141B">
        <w:t>Psychiatric impairment rating scale (PIRS)</w:t>
      </w:r>
      <w:bookmarkEnd w:id="240"/>
      <w:bookmarkEnd w:id="241"/>
    </w:p>
    <w:p w:rsidR="00D8141B" w:rsidRPr="00D8141B" w:rsidRDefault="00EC3105" w:rsidP="009B0A18">
      <w:pPr>
        <w:pStyle w:val="BodyText11"/>
      </w:pPr>
      <w:r>
        <w:rPr>
          <w:noProof/>
          <w:lang w:val="en-AU"/>
        </w:rPr>
        <mc:AlternateContent>
          <mc:Choice Requires="wps">
            <w:drawing>
              <wp:anchor distT="0" distB="0" distL="114300" distR="114300" simplePos="0" relativeHeight="251660288" behindDoc="0" locked="0" layoutInCell="1" allowOverlap="1" wp14:anchorId="242AF847" wp14:editId="1F8384B3">
                <wp:simplePos x="0" y="0"/>
                <wp:positionH relativeFrom="margin">
                  <wp:posOffset>3819525</wp:posOffset>
                </wp:positionH>
                <wp:positionV relativeFrom="paragraph">
                  <wp:posOffset>301625</wp:posOffset>
                </wp:positionV>
                <wp:extent cx="1828800" cy="895547"/>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95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5EF" w:rsidRDefault="006215EF" w:rsidP="00D8141B">
                            <w:r w:rsidRPr="005347F7">
                              <w:rPr>
                                <w:rFonts w:ascii="Helvetica Light" w:hAnsi="Helvetica Light"/>
                                <w:position w:val="2"/>
                                <w:sz w:val="104"/>
                                <w:szCs w:val="104"/>
                              </w:rPr>
                              <w:t>}</w:t>
                            </w:r>
                            <w:r>
                              <w:rPr>
                                <w:rFonts w:cs="Arial"/>
                                <w:position w:val="20"/>
                              </w:rPr>
                              <w:t>Activities of daily living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F847" id="Text Box 3" o:spid="_x0000_s1032" type="#_x0000_t202" style="position:absolute;left:0;text-align:left;margin-left:300.75pt;margin-top:23.75pt;width:2in;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IL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" filled="f" stroked="f">
                <v:textbox inset="0,0,0,0">
                  <w:txbxContent>
                    <w:p w:rsidR="006215EF" w:rsidRDefault="006215EF" w:rsidP="00D8141B">
                      <w:r w:rsidRPr="005347F7">
                        <w:rPr>
                          <w:rFonts w:ascii="Helvetica Light" w:hAnsi="Helvetica Light"/>
                          <w:position w:val="2"/>
                          <w:sz w:val="104"/>
                          <w:szCs w:val="104"/>
                        </w:rPr>
                        <w:t>}</w:t>
                      </w:r>
                      <w:r>
                        <w:rPr>
                          <w:rFonts w:cs="Arial"/>
                          <w:position w:val="20"/>
                        </w:rPr>
                        <w:t>Activities of daily living</w:t>
                      </w:r>
                    </w:p>
                  </w:txbxContent>
                </v:textbox>
                <w10:wrap anchorx="margin"/>
              </v:shape>
            </w:pict>
          </mc:Fallback>
        </mc:AlternateContent>
      </w:r>
      <w:r w:rsidR="00D8141B" w:rsidRPr="00D8141B">
        <w:t>Behavioural consequences of psychiatric disorder are assessed on six scales, each of which evaluates an area of functional impairment:</w:t>
      </w:r>
    </w:p>
    <w:p w:rsidR="00D8141B" w:rsidRPr="00D8141B" w:rsidRDefault="00D8141B" w:rsidP="009B0A18">
      <w:pPr>
        <w:spacing w:after="120" w:line="260" w:lineRule="exact"/>
        <w:ind w:left="1407" w:hanging="698"/>
        <w:rPr>
          <w:rFonts w:eastAsia="Times New Roman" w:cs="Arial"/>
          <w:snapToGrid w:val="0"/>
          <w:szCs w:val="20"/>
          <w:lang w:val="en-GB"/>
        </w:rPr>
      </w:pPr>
      <w:r w:rsidRPr="00D8141B">
        <w:rPr>
          <w:rFonts w:eastAsia="Times New Roman" w:cs="Arial"/>
          <w:snapToGrid w:val="0"/>
          <w:szCs w:val="20"/>
          <w:lang w:val="en-GB"/>
        </w:rPr>
        <w:t xml:space="preserve">1. </w:t>
      </w:r>
      <w:r w:rsidRPr="00D8141B">
        <w:rPr>
          <w:rFonts w:eastAsia="Times New Roman" w:cs="Arial"/>
          <w:snapToGrid w:val="0"/>
          <w:szCs w:val="20"/>
          <w:lang w:val="en-GB"/>
        </w:rPr>
        <w:tab/>
        <w:t>Self care and personal hygiene (Table 11.1)</w:t>
      </w:r>
    </w:p>
    <w:p w:rsidR="00D8141B" w:rsidRPr="00D8141B" w:rsidRDefault="00D8141B" w:rsidP="009B0A18">
      <w:pPr>
        <w:spacing w:after="120" w:line="260" w:lineRule="exact"/>
        <w:ind w:left="1407" w:hanging="698"/>
        <w:rPr>
          <w:rFonts w:eastAsia="Times New Roman" w:cs="Arial"/>
          <w:snapToGrid w:val="0"/>
          <w:szCs w:val="20"/>
          <w:lang w:val="en-GB"/>
        </w:rPr>
      </w:pPr>
      <w:r w:rsidRPr="00D8141B">
        <w:rPr>
          <w:rFonts w:eastAsia="Times New Roman" w:cs="Arial"/>
          <w:snapToGrid w:val="0"/>
          <w:szCs w:val="20"/>
          <w:lang w:val="en-GB"/>
        </w:rPr>
        <w:t xml:space="preserve">2. </w:t>
      </w:r>
      <w:r w:rsidRPr="00D8141B">
        <w:rPr>
          <w:rFonts w:eastAsia="Times New Roman" w:cs="Arial"/>
          <w:snapToGrid w:val="0"/>
          <w:szCs w:val="20"/>
          <w:lang w:val="en-GB"/>
        </w:rPr>
        <w:tab/>
        <w:t>Social and recreational activities (Table 11.2)</w:t>
      </w:r>
    </w:p>
    <w:p w:rsidR="00D8141B" w:rsidRPr="00D8141B" w:rsidRDefault="00D8141B" w:rsidP="009B0A18">
      <w:pPr>
        <w:spacing w:after="120" w:line="260" w:lineRule="exact"/>
        <w:ind w:left="1407" w:hanging="698"/>
        <w:rPr>
          <w:rFonts w:eastAsia="Times New Roman" w:cs="Arial"/>
          <w:snapToGrid w:val="0"/>
          <w:szCs w:val="20"/>
          <w:lang w:val="en-GB"/>
        </w:rPr>
      </w:pPr>
      <w:r w:rsidRPr="00D8141B">
        <w:rPr>
          <w:rFonts w:eastAsia="Times New Roman" w:cs="Arial"/>
          <w:snapToGrid w:val="0"/>
          <w:szCs w:val="20"/>
          <w:lang w:val="en-GB"/>
        </w:rPr>
        <w:t>3.</w:t>
      </w:r>
      <w:r w:rsidRPr="00D8141B">
        <w:rPr>
          <w:rFonts w:eastAsia="Times New Roman" w:cs="Arial"/>
          <w:snapToGrid w:val="0"/>
          <w:szCs w:val="20"/>
          <w:lang w:val="en-GB"/>
        </w:rPr>
        <w:tab/>
        <w:t>Travel (Table 11.3)</w:t>
      </w:r>
    </w:p>
    <w:p w:rsidR="00D8141B" w:rsidRPr="00D8141B" w:rsidRDefault="00D8141B" w:rsidP="009B0A18">
      <w:pPr>
        <w:spacing w:after="120" w:line="260" w:lineRule="exact"/>
        <w:ind w:left="1407" w:hanging="698"/>
        <w:rPr>
          <w:rFonts w:eastAsia="Times New Roman" w:cs="Arial"/>
          <w:snapToGrid w:val="0"/>
          <w:szCs w:val="20"/>
          <w:lang w:val="en-GB"/>
        </w:rPr>
      </w:pPr>
      <w:r w:rsidRPr="00D8141B">
        <w:rPr>
          <w:rFonts w:eastAsia="Times New Roman" w:cs="Arial"/>
          <w:snapToGrid w:val="0"/>
          <w:szCs w:val="20"/>
          <w:lang w:val="en-GB"/>
        </w:rPr>
        <w:t xml:space="preserve">4. </w:t>
      </w:r>
      <w:r w:rsidRPr="00D8141B">
        <w:rPr>
          <w:rFonts w:eastAsia="Times New Roman" w:cs="Arial"/>
          <w:snapToGrid w:val="0"/>
          <w:szCs w:val="20"/>
          <w:lang w:val="en-GB"/>
        </w:rPr>
        <w:tab/>
        <w:t>Social functioning (relationships) (Table 11.4)</w:t>
      </w:r>
    </w:p>
    <w:p w:rsidR="00D8141B" w:rsidRPr="00D8141B" w:rsidRDefault="00D8141B" w:rsidP="009B0A18">
      <w:pPr>
        <w:spacing w:after="120" w:line="260" w:lineRule="exact"/>
        <w:ind w:left="1407" w:hanging="698"/>
        <w:rPr>
          <w:rFonts w:eastAsia="Times New Roman" w:cs="Arial"/>
          <w:snapToGrid w:val="0"/>
          <w:szCs w:val="20"/>
          <w:lang w:val="en-GB"/>
        </w:rPr>
      </w:pPr>
      <w:r w:rsidRPr="00D8141B">
        <w:rPr>
          <w:rFonts w:eastAsia="Times New Roman" w:cs="Arial"/>
          <w:snapToGrid w:val="0"/>
          <w:szCs w:val="20"/>
          <w:lang w:val="en-GB"/>
        </w:rPr>
        <w:t xml:space="preserve">5. </w:t>
      </w:r>
      <w:r w:rsidRPr="00D8141B">
        <w:rPr>
          <w:rFonts w:eastAsia="Times New Roman" w:cs="Arial"/>
          <w:snapToGrid w:val="0"/>
          <w:szCs w:val="20"/>
          <w:lang w:val="en-GB"/>
        </w:rPr>
        <w:tab/>
      </w:r>
      <w:r w:rsidRPr="00D8141B">
        <w:rPr>
          <w:rFonts w:eastAsia="Times New Roman" w:cs="Arial"/>
          <w:snapToGrid w:val="0"/>
          <w:szCs w:val="20"/>
          <w:lang w:val="en-US"/>
        </w:rPr>
        <w:t>Concentration, persistence and pace (table 11.5)</w:t>
      </w:r>
    </w:p>
    <w:p w:rsidR="00D8141B" w:rsidRPr="00D8141B" w:rsidRDefault="00D8141B" w:rsidP="006E2E4F">
      <w:pPr>
        <w:spacing w:after="240" w:line="240" w:lineRule="auto"/>
        <w:ind w:left="1406" w:hanging="697"/>
        <w:rPr>
          <w:rFonts w:eastAsia="Times New Roman" w:cs="Arial"/>
          <w:snapToGrid w:val="0"/>
          <w:szCs w:val="20"/>
          <w:lang w:val="en-GB"/>
        </w:rPr>
      </w:pPr>
      <w:r w:rsidRPr="00D8141B">
        <w:rPr>
          <w:rFonts w:eastAsia="Times New Roman" w:cs="Arial"/>
          <w:snapToGrid w:val="0"/>
          <w:szCs w:val="20"/>
          <w:lang w:val="en-GB"/>
        </w:rPr>
        <w:t>6.</w:t>
      </w:r>
      <w:r w:rsidRPr="00D8141B">
        <w:rPr>
          <w:rFonts w:eastAsia="Times New Roman" w:cs="Arial"/>
          <w:snapToGrid w:val="0"/>
          <w:szCs w:val="20"/>
          <w:lang w:val="en-GB"/>
        </w:rPr>
        <w:tab/>
        <w:t>Employability (Table 11.6)</w:t>
      </w:r>
    </w:p>
    <w:p w:rsidR="00D8141B" w:rsidRPr="00D8141B" w:rsidRDefault="00D8141B" w:rsidP="009B0A18">
      <w:pPr>
        <w:pStyle w:val="BodyText11"/>
      </w:pPr>
      <w:r w:rsidRPr="00D8141B">
        <w:t>Impairment in each area is rated using class descriptors. Classes range from 1 to 5, in accordance with severity. The standard form must be used when scoring the PIRS. The examples of activities are examples only. The assessing psychiatrist should take account of the person's cultural background. Consider activities that are usual for the person's age, sex and cultural norms.</w:t>
      </w:r>
    </w:p>
    <w:p w:rsidR="006E2E4F" w:rsidRDefault="006E2E4F">
      <w:pPr>
        <w:rPr>
          <w:rFonts w:eastAsia="Times New Roman" w:cs="Arial"/>
          <w:b/>
          <w:bCs/>
          <w:sz w:val="24"/>
          <w:szCs w:val="24"/>
          <w:lang w:val="en-GB"/>
        </w:rPr>
      </w:pPr>
      <w:bookmarkStart w:id="242" w:name="_Toc144874720"/>
      <w:bookmarkStart w:id="243" w:name="_Toc144875309"/>
      <w:r>
        <w:rPr>
          <w:rFonts w:eastAsia="Times New Roman" w:cs="Arial"/>
          <w:b/>
          <w:bCs/>
          <w:sz w:val="24"/>
          <w:szCs w:val="24"/>
          <w:lang w:val="en-GB"/>
        </w:rPr>
        <w:br w:type="page"/>
      </w:r>
    </w:p>
    <w:p w:rsidR="00D8141B" w:rsidRPr="009B0A18" w:rsidRDefault="00D8141B" w:rsidP="009B0A18">
      <w:pPr>
        <w:keepNext/>
        <w:spacing w:before="240" w:after="120" w:line="240" w:lineRule="auto"/>
        <w:jc w:val="center"/>
        <w:outlineLvl w:val="3"/>
        <w:rPr>
          <w:rFonts w:eastAsia="Times New Roman" w:cs="Arial"/>
          <w:b/>
          <w:bCs/>
          <w:sz w:val="24"/>
          <w:szCs w:val="24"/>
          <w:lang w:val="en-GB"/>
        </w:rPr>
      </w:pPr>
      <w:r w:rsidRPr="009B0A18">
        <w:rPr>
          <w:rFonts w:eastAsia="Times New Roman" w:cs="Arial"/>
          <w:b/>
          <w:bCs/>
          <w:sz w:val="24"/>
          <w:szCs w:val="24"/>
          <w:lang w:val="en-GB"/>
        </w:rPr>
        <w:lastRenderedPageBreak/>
        <w:t xml:space="preserve">Table 11.1: Psychiatric impairment rating scale </w:t>
      </w:r>
      <w:r w:rsidRPr="009B0A18">
        <w:rPr>
          <w:rFonts w:eastAsia="Times New Roman" w:cs="Arial"/>
          <w:b/>
          <w:bCs/>
          <w:sz w:val="24"/>
          <w:szCs w:val="24"/>
          <w:lang w:val="en-GB"/>
        </w:rPr>
        <w:br/>
        <w:t>— Self care and personal hygiene</w:t>
      </w:r>
      <w:bookmarkEnd w:id="242"/>
      <w:bookmarkEnd w:id="243"/>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412"/>
      </w:tblGrid>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Class 1 </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deficit, or minor deficit attributable to the normal variation in the general population</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2</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Mild impairment: able to live independently; looks after self adequately, although may look unkempt occasionally; sometimes misses a meal or relies on take-away food.</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3</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Moderate impairment: Can’t live independently without regular support. Needs prompting to shower daily and wear clean clothes. Does not prepare own meals, frequently misses meals. Family member or community nurse visits (or should visit) 2–3 times per week to ensure minimum level of hygiene and nutrition.</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4</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Severe impairment: Needs supervised residential care. If unsupervised, may accidentally or purposefully hurt self.</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Class 5 </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Totally impaired: Needs assistance with basic functions, such as feeding and toileting.</w:t>
            </w:r>
          </w:p>
        </w:tc>
      </w:tr>
    </w:tbl>
    <w:p w:rsidR="00D8141B" w:rsidRPr="009B0A18" w:rsidRDefault="00D8141B" w:rsidP="00D8141B">
      <w:pPr>
        <w:keepNext/>
        <w:spacing w:before="240" w:after="120" w:line="240" w:lineRule="auto"/>
        <w:jc w:val="center"/>
        <w:outlineLvl w:val="3"/>
        <w:rPr>
          <w:rFonts w:eastAsia="Times New Roman" w:cs="Arial"/>
          <w:b/>
          <w:bCs/>
          <w:sz w:val="24"/>
          <w:szCs w:val="24"/>
          <w:lang w:val="en-GB"/>
        </w:rPr>
      </w:pPr>
      <w:bookmarkStart w:id="244" w:name="_Toc144874721"/>
      <w:bookmarkStart w:id="245" w:name="_Toc144875310"/>
      <w:r w:rsidRPr="009B0A18">
        <w:rPr>
          <w:rFonts w:eastAsia="Times New Roman" w:cs="Arial"/>
          <w:b/>
          <w:bCs/>
          <w:sz w:val="24"/>
          <w:szCs w:val="24"/>
          <w:lang w:val="en-GB"/>
        </w:rPr>
        <w:t xml:space="preserve">Table 11.2: Psychiatric impairment rating scale </w:t>
      </w:r>
      <w:r w:rsidRPr="009B0A18">
        <w:rPr>
          <w:rFonts w:eastAsia="Times New Roman" w:cs="Arial"/>
          <w:b/>
          <w:bCs/>
          <w:sz w:val="24"/>
          <w:szCs w:val="24"/>
          <w:lang w:val="en-GB"/>
        </w:rPr>
        <w:br/>
        <w:t>— Social and recreational activities</w:t>
      </w:r>
      <w:bookmarkEnd w:id="244"/>
      <w:bookmarkEnd w:id="245"/>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412"/>
      </w:tblGrid>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1</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deficit, or minor deficit attributable to the normal variation in the general population: regularly participates in social activities that are age, sex and culturally appropriate. May belong to clubs or associations and is actively involved with these.</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2</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Mild impairment: occasionally goes out to such events without needing a support person, but does not become actively involved (eg, dancing, cheering favourite team).</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3</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Moderate impairment: rarely goes out to such events, and mostly when prompted by family or close friend. Will not go out without a support person. Not actively involved, remains quiet and withdrawn.</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4</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Severe impairment: never leaves place of residence. Tolerates the company of family member or close friend, but will go to a different room or garden when others come to visit family or flat mate.</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5</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Totally impaired. Cannot tolerate living with anybody, extremely uncomfortable when visited by close family member.</w:t>
            </w:r>
          </w:p>
        </w:tc>
      </w:tr>
    </w:tbl>
    <w:p w:rsidR="00D8141B" w:rsidRPr="009B0A18" w:rsidRDefault="00D8141B" w:rsidP="00D8141B">
      <w:pPr>
        <w:keepNext/>
        <w:spacing w:before="240" w:after="120" w:line="240" w:lineRule="auto"/>
        <w:jc w:val="center"/>
        <w:outlineLvl w:val="3"/>
        <w:rPr>
          <w:rFonts w:eastAsia="Times New Roman" w:cs="Arial"/>
          <w:b/>
          <w:bCs/>
          <w:sz w:val="24"/>
          <w:szCs w:val="24"/>
          <w:lang w:val="en-GB"/>
        </w:rPr>
      </w:pPr>
      <w:bookmarkStart w:id="246" w:name="_Toc144874722"/>
      <w:bookmarkStart w:id="247" w:name="_Toc144875311"/>
      <w:r w:rsidRPr="009B0A18">
        <w:rPr>
          <w:rFonts w:eastAsia="Times New Roman" w:cs="Arial"/>
          <w:b/>
          <w:bCs/>
          <w:sz w:val="24"/>
          <w:szCs w:val="24"/>
          <w:lang w:val="en-GB"/>
        </w:rPr>
        <w:t xml:space="preserve">Table 11.3: Psychiatric impairment rating scale </w:t>
      </w:r>
      <w:r w:rsidRPr="009B0A18">
        <w:rPr>
          <w:rFonts w:eastAsia="Times New Roman" w:cs="Arial"/>
          <w:b/>
          <w:bCs/>
          <w:sz w:val="24"/>
          <w:szCs w:val="24"/>
          <w:lang w:val="en-GB"/>
        </w:rPr>
        <w:br/>
        <w:t>— Travel</w:t>
      </w:r>
      <w:bookmarkEnd w:id="246"/>
      <w:bookmarkEnd w:id="247"/>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412"/>
      </w:tblGrid>
      <w:tr w:rsidR="00D8141B" w:rsidRPr="00D8141B" w:rsidTr="006E2E4F">
        <w:tc>
          <w:tcPr>
            <w:tcW w:w="992"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1</w:t>
            </w:r>
          </w:p>
        </w:tc>
        <w:tc>
          <w:tcPr>
            <w:tcW w:w="7412"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deficit, or minor deficit attributable to the normal variation in the general population: Can travel to new environments without supervision.</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2</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Mild impairment: can travel without support person, but only in a familiar area such as local shops, visiting a neighbour.</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3</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Moderate impairment: cannot travel away from own residence without support person. Problems may be due to excessive anxiety or cognitive impairment.</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4</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Severe impairment: finds it extremely uncomfortable to leave own residence even with trusted person.</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5</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Totally impaired: may require two or more persons to supervise when travelling.</w:t>
            </w:r>
          </w:p>
        </w:tc>
      </w:tr>
    </w:tbl>
    <w:p w:rsidR="006E2E4F" w:rsidRDefault="006E2E4F" w:rsidP="00D8141B">
      <w:pPr>
        <w:keepNext/>
        <w:spacing w:before="240" w:after="120" w:line="240" w:lineRule="auto"/>
        <w:jc w:val="center"/>
        <w:outlineLvl w:val="3"/>
        <w:rPr>
          <w:rFonts w:eastAsia="Times New Roman" w:cs="Arial"/>
          <w:b/>
          <w:bCs/>
          <w:sz w:val="24"/>
          <w:szCs w:val="24"/>
          <w:lang w:val="en-GB"/>
        </w:rPr>
      </w:pPr>
      <w:bookmarkStart w:id="248" w:name="_Toc144874723"/>
      <w:bookmarkStart w:id="249" w:name="_Toc144875312"/>
    </w:p>
    <w:p w:rsidR="006E2E4F" w:rsidRDefault="006E2E4F">
      <w:pPr>
        <w:rPr>
          <w:rFonts w:eastAsia="Times New Roman" w:cs="Arial"/>
          <w:b/>
          <w:bCs/>
          <w:sz w:val="24"/>
          <w:szCs w:val="24"/>
          <w:lang w:val="en-GB"/>
        </w:rPr>
      </w:pPr>
      <w:r>
        <w:rPr>
          <w:rFonts w:eastAsia="Times New Roman" w:cs="Arial"/>
          <w:b/>
          <w:bCs/>
          <w:sz w:val="24"/>
          <w:szCs w:val="24"/>
          <w:lang w:val="en-GB"/>
        </w:rPr>
        <w:br w:type="page"/>
      </w:r>
    </w:p>
    <w:p w:rsidR="00D8141B" w:rsidRPr="009B0A18" w:rsidRDefault="00D8141B" w:rsidP="00D8141B">
      <w:pPr>
        <w:keepNext/>
        <w:spacing w:before="240" w:after="120" w:line="240" w:lineRule="auto"/>
        <w:jc w:val="center"/>
        <w:outlineLvl w:val="3"/>
        <w:rPr>
          <w:rFonts w:eastAsia="Times New Roman" w:cs="Arial"/>
          <w:b/>
          <w:bCs/>
          <w:sz w:val="24"/>
          <w:szCs w:val="24"/>
          <w:lang w:val="en-GB"/>
        </w:rPr>
      </w:pPr>
      <w:r w:rsidRPr="009B0A18">
        <w:rPr>
          <w:rFonts w:eastAsia="Times New Roman" w:cs="Arial"/>
          <w:b/>
          <w:bCs/>
          <w:sz w:val="24"/>
          <w:szCs w:val="24"/>
          <w:lang w:val="en-GB"/>
        </w:rPr>
        <w:lastRenderedPageBreak/>
        <w:t xml:space="preserve">Table 11.4: Psychiatric impairment rating scale </w:t>
      </w:r>
      <w:r w:rsidRPr="009B0A18">
        <w:rPr>
          <w:rFonts w:eastAsia="Times New Roman" w:cs="Arial"/>
          <w:b/>
          <w:bCs/>
          <w:sz w:val="24"/>
          <w:szCs w:val="24"/>
          <w:lang w:val="en-GB"/>
        </w:rPr>
        <w:br/>
        <w:t>— Social functioning</w:t>
      </w:r>
      <w:bookmarkEnd w:id="248"/>
      <w:bookmarkEnd w:id="249"/>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412"/>
      </w:tblGrid>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1</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deficit, or minor deficit attributable to the normal variation in the general population: No difficulty in forming and sustaining relationships (eg, partner, close friendships lasting years).</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2</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Mild impairment: existing relationships strained. Tension and arguments with partner or close family member, loss of some friendships.</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3</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Moderate impairment: previously established relationships severely strained, evidenced by periods of separation or domestic violence. Spouse, relatives or community services looking after children.</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4</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Severe impairment: unable to form or sustain long term relationships. Pre-existing relationships ended (eg, lost partner, close friends). Unable to care for dependants (eg, own children, elderly parent).</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5</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Totally impaired: unable to function within society. Living away from populated areas, actively avoiding social contact.</w:t>
            </w:r>
          </w:p>
        </w:tc>
      </w:tr>
    </w:tbl>
    <w:p w:rsidR="00D8141B" w:rsidRPr="009B0A18" w:rsidRDefault="00D8141B" w:rsidP="00D8141B">
      <w:pPr>
        <w:keepNext/>
        <w:spacing w:before="240" w:after="120" w:line="240" w:lineRule="auto"/>
        <w:jc w:val="center"/>
        <w:outlineLvl w:val="3"/>
        <w:rPr>
          <w:rFonts w:eastAsia="Times New Roman" w:cs="Arial"/>
          <w:b/>
          <w:bCs/>
          <w:sz w:val="24"/>
          <w:szCs w:val="24"/>
          <w:lang w:val="en-GB"/>
        </w:rPr>
      </w:pPr>
      <w:bookmarkStart w:id="250" w:name="_Toc144874724"/>
      <w:bookmarkStart w:id="251" w:name="_Toc144875313"/>
      <w:r w:rsidRPr="009B0A18">
        <w:rPr>
          <w:rFonts w:eastAsia="Times New Roman" w:cs="Arial"/>
          <w:b/>
          <w:bCs/>
          <w:sz w:val="24"/>
          <w:szCs w:val="24"/>
          <w:lang w:val="en-GB"/>
        </w:rPr>
        <w:t xml:space="preserve">Table 11.5: Psychiatric impairment rating scale </w:t>
      </w:r>
      <w:r w:rsidRPr="009B0A18">
        <w:rPr>
          <w:rFonts w:eastAsia="Times New Roman" w:cs="Arial"/>
          <w:b/>
          <w:bCs/>
          <w:sz w:val="24"/>
          <w:szCs w:val="24"/>
          <w:lang w:val="en-GB"/>
        </w:rPr>
        <w:br/>
        <w:t>— Concentration, persistence and pace</w:t>
      </w:r>
      <w:bookmarkEnd w:id="250"/>
      <w:bookmarkEnd w:id="251"/>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412"/>
      </w:tblGrid>
      <w:tr w:rsidR="00D8141B" w:rsidRPr="00D8141B" w:rsidTr="006E2E4F">
        <w:tc>
          <w:tcPr>
            <w:tcW w:w="992"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1</w:t>
            </w:r>
          </w:p>
        </w:tc>
        <w:tc>
          <w:tcPr>
            <w:tcW w:w="7412"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deficit, or minor deficit attributable to the normal variation in the general population. Able to pass a TAFE or university course within normal time frame.</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2</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Mild impairment: can undertake a basic retraining course, or a standard course at a slower pace. Can focus on intellectually demanding tasks for periods of up to 30 minutes, then feels fatigued or develops headache.</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3</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Moderate impairment: unable to read more than newspaper articles. Finds it difficult to follow complex instructions (eg, operating manuals, building plans), make significant repairs to motor vehicle, type long documents, follow a pattern for making clothes, tapestry or knitting.</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4</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Severe impairment: can only read a few lines before losing concentration. Difficulties following simple instructions. Concentration deficits obvious even during brief conversation. Unable to live alone, or needs regular assistance from relatives or community services.</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5</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Totally impaired: needs constant supervision and assistance within institutional setting.</w:t>
            </w:r>
          </w:p>
        </w:tc>
      </w:tr>
    </w:tbl>
    <w:p w:rsidR="00D8141B" w:rsidRPr="009B0A18" w:rsidRDefault="00D8141B" w:rsidP="00D8141B">
      <w:pPr>
        <w:keepNext/>
        <w:tabs>
          <w:tab w:val="left" w:pos="720"/>
        </w:tabs>
        <w:spacing w:before="240" w:after="120" w:line="240" w:lineRule="auto"/>
        <w:jc w:val="center"/>
        <w:outlineLvl w:val="3"/>
        <w:rPr>
          <w:rFonts w:eastAsia="Times New Roman" w:cs="Arial"/>
          <w:b/>
          <w:bCs/>
          <w:sz w:val="24"/>
          <w:szCs w:val="24"/>
          <w:lang w:val="en-GB"/>
        </w:rPr>
      </w:pPr>
      <w:bookmarkStart w:id="252" w:name="_Toc144874725"/>
      <w:bookmarkStart w:id="253" w:name="_Toc144875314"/>
      <w:r w:rsidRPr="009B0A18">
        <w:rPr>
          <w:rFonts w:eastAsia="Times New Roman" w:cs="Arial"/>
          <w:b/>
          <w:bCs/>
          <w:sz w:val="24"/>
          <w:szCs w:val="24"/>
          <w:lang w:val="en-GB"/>
        </w:rPr>
        <w:t xml:space="preserve">Table 11.6: Psychiatric impairment rating scale </w:t>
      </w:r>
      <w:r w:rsidRPr="009B0A18">
        <w:rPr>
          <w:rFonts w:eastAsia="Times New Roman" w:cs="Arial"/>
          <w:b/>
          <w:bCs/>
          <w:sz w:val="24"/>
          <w:szCs w:val="24"/>
          <w:lang w:val="en-GB"/>
        </w:rPr>
        <w:br/>
        <w:t>— Employability</w:t>
      </w:r>
      <w:bookmarkEnd w:id="252"/>
      <w:bookmarkEnd w:id="253"/>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412"/>
      </w:tblGrid>
      <w:tr w:rsidR="00D8141B" w:rsidRPr="00D8141B" w:rsidTr="006E2E4F">
        <w:tc>
          <w:tcPr>
            <w:tcW w:w="992"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1</w:t>
            </w:r>
          </w:p>
        </w:tc>
        <w:tc>
          <w:tcPr>
            <w:tcW w:w="7412"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deficit, or minor deficit attributable to the normal variation in the general population. Able to work full time. Duties and performance are consistent with the injured worker’s education and training. The person is able to cope with the normal demands of the job.</w:t>
            </w:r>
          </w:p>
        </w:tc>
      </w:tr>
      <w:tr w:rsidR="00D8141B" w:rsidRPr="00D8141B" w:rsidTr="006E2E4F">
        <w:tc>
          <w:tcPr>
            <w:tcW w:w="992"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2</w:t>
            </w:r>
          </w:p>
        </w:tc>
        <w:tc>
          <w:tcPr>
            <w:tcW w:w="7412"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Mild impairment. Able to work full time but in a different environment from that of the pre-injury job. The duties require comparable skill and intellect as those of the pre-injury job. Can work in the same position, but no more than 20 hours per week (eg, no longer happy to work with specific persons, or work in a specific location due to travel required).</w:t>
            </w:r>
          </w:p>
        </w:tc>
      </w:tr>
      <w:tr w:rsidR="00D8141B" w:rsidRPr="00D8141B" w:rsidTr="006E2E4F">
        <w:tc>
          <w:tcPr>
            <w:tcW w:w="992"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3</w:t>
            </w:r>
          </w:p>
        </w:tc>
        <w:tc>
          <w:tcPr>
            <w:tcW w:w="7412" w:type="dxa"/>
          </w:tcPr>
          <w:p w:rsidR="00D8141B" w:rsidRPr="00D8141B" w:rsidRDefault="00D8141B" w:rsidP="00D8141B">
            <w:pPr>
              <w:keepNext/>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Moderate impairment: cannot work at all in same position. Can perform less than 20 hours per week in a different position, which requires less skill or is qualitatively different (eg, less stressful).</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4</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Severe impairment: cannot work more than one or two days at a time, less than 20 hours per fortnight. Pace is reduced, attendance is erratic.</w:t>
            </w:r>
          </w:p>
        </w:tc>
      </w:tr>
      <w:tr w:rsidR="00D8141B" w:rsidRPr="00D8141B" w:rsidTr="006E2E4F">
        <w:tc>
          <w:tcPr>
            <w:tcW w:w="99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Class 5</w:t>
            </w:r>
          </w:p>
        </w:tc>
        <w:tc>
          <w:tcPr>
            <w:tcW w:w="7412" w:type="dxa"/>
          </w:tcPr>
          <w:p w:rsidR="00D8141B" w:rsidRPr="00D8141B" w:rsidRDefault="00D8141B" w:rsidP="00D8141B">
            <w:pPr>
              <w:keepLines/>
              <w:widowControl w:val="0"/>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Totally impaired. Cannot work at all.</w:t>
            </w:r>
          </w:p>
        </w:tc>
      </w:tr>
    </w:tbl>
    <w:p w:rsidR="00D8141B" w:rsidRPr="00D8141B" w:rsidRDefault="00D8141B" w:rsidP="009B0A18">
      <w:pPr>
        <w:pStyle w:val="Heading3"/>
      </w:pPr>
      <w:bookmarkStart w:id="254" w:name="_Toc144874726"/>
      <w:bookmarkStart w:id="255" w:name="_Toc144875315"/>
      <w:r w:rsidRPr="00D8141B">
        <w:lastRenderedPageBreak/>
        <w:t>Using the PIRS to measure impairment</w:t>
      </w:r>
      <w:bookmarkEnd w:id="254"/>
      <w:bookmarkEnd w:id="255"/>
    </w:p>
    <w:p w:rsidR="00D8141B" w:rsidRPr="00D8141B" w:rsidRDefault="00D8141B" w:rsidP="006E2E4F">
      <w:pPr>
        <w:pStyle w:val="BodyText11"/>
      </w:pPr>
      <w:r w:rsidRPr="00D8141B">
        <w:t>Rating psychiatric impairment using the PIRS is a two-step procedure:</w:t>
      </w:r>
    </w:p>
    <w:p w:rsidR="00D8141B" w:rsidRPr="00D8141B" w:rsidRDefault="00D8141B" w:rsidP="006E2E4F">
      <w:pPr>
        <w:pStyle w:val="BodyText11"/>
        <w:numPr>
          <w:ilvl w:val="0"/>
          <w:numId w:val="0"/>
        </w:numPr>
        <w:tabs>
          <w:tab w:val="left" w:pos="1276"/>
        </w:tabs>
        <w:ind w:left="709"/>
        <w:rPr>
          <w:snapToGrid w:val="0"/>
        </w:rPr>
      </w:pPr>
      <w:r w:rsidRPr="00D8141B">
        <w:rPr>
          <w:snapToGrid w:val="0"/>
        </w:rPr>
        <w:t xml:space="preserve">1. </w:t>
      </w:r>
      <w:r w:rsidRPr="00D8141B">
        <w:rPr>
          <w:snapToGrid w:val="0"/>
        </w:rPr>
        <w:tab/>
        <w:t>Determine the median class score.</w:t>
      </w:r>
    </w:p>
    <w:p w:rsidR="00D8141B" w:rsidRPr="00D8141B" w:rsidRDefault="00D8141B" w:rsidP="006E2E4F">
      <w:pPr>
        <w:pStyle w:val="BodyText11"/>
        <w:numPr>
          <w:ilvl w:val="0"/>
          <w:numId w:val="0"/>
        </w:numPr>
        <w:tabs>
          <w:tab w:val="left" w:pos="1276"/>
        </w:tabs>
        <w:ind w:left="709"/>
        <w:rPr>
          <w:snapToGrid w:val="0"/>
        </w:rPr>
      </w:pPr>
      <w:r w:rsidRPr="00D8141B">
        <w:rPr>
          <w:snapToGrid w:val="0"/>
        </w:rPr>
        <w:t xml:space="preserve">2. </w:t>
      </w:r>
      <w:r w:rsidRPr="00D8141B">
        <w:rPr>
          <w:snapToGrid w:val="0"/>
        </w:rPr>
        <w:tab/>
        <w:t>Calculate the aggregate score.</w:t>
      </w:r>
    </w:p>
    <w:p w:rsidR="00D8141B" w:rsidRPr="00D8141B" w:rsidRDefault="00D8141B" w:rsidP="009B0A18">
      <w:pPr>
        <w:pStyle w:val="Heading3"/>
      </w:pPr>
      <w:bookmarkStart w:id="256" w:name="_Toc144874727"/>
      <w:bookmarkStart w:id="257" w:name="_Toc144875316"/>
      <w:r w:rsidRPr="00D8141B">
        <w:t>Determining the median class score</w:t>
      </w:r>
      <w:bookmarkEnd w:id="256"/>
      <w:bookmarkEnd w:id="257"/>
      <w:r w:rsidRPr="00D8141B">
        <w:t xml:space="preserve"> </w:t>
      </w:r>
    </w:p>
    <w:p w:rsidR="00D8141B" w:rsidRPr="00D8141B" w:rsidRDefault="00F15823" w:rsidP="006E2E4F">
      <w:pPr>
        <w:pStyle w:val="BodyText11"/>
        <w:rPr>
          <w:sz w:val="24"/>
        </w:rPr>
      </w:pPr>
      <w:r>
        <w:tab/>
      </w:r>
      <w:r w:rsidR="00D8141B" w:rsidRPr="00D8141B">
        <w:t>Each area of function described in the PIRS is given an impairment rating which ranges from Class 1 to 5. The six scores are arranged in ascending order, using the standard form. The median is then calculated by averaging the two middle scores eg:</w:t>
      </w:r>
    </w:p>
    <w:p w:rsidR="00D8141B" w:rsidRPr="00D8141B" w:rsidRDefault="006E2E4F" w:rsidP="006E2E4F">
      <w:pPr>
        <w:pStyle w:val="BodyText11"/>
        <w:numPr>
          <w:ilvl w:val="0"/>
          <w:numId w:val="0"/>
        </w:numPr>
        <w:tabs>
          <w:tab w:val="clear" w:pos="709"/>
          <w:tab w:val="left" w:pos="3402"/>
          <w:tab w:val="left" w:pos="5670"/>
        </w:tabs>
        <w:ind w:left="1276"/>
        <w:rPr>
          <w:snapToGrid w:val="0"/>
        </w:rPr>
      </w:pPr>
      <w:r>
        <w:rPr>
          <w:snapToGrid w:val="0"/>
        </w:rPr>
        <w:t>Example A:</w:t>
      </w:r>
      <w:r>
        <w:rPr>
          <w:snapToGrid w:val="0"/>
        </w:rPr>
        <w:tab/>
      </w:r>
      <w:r w:rsidR="00D8141B" w:rsidRPr="00D8141B">
        <w:rPr>
          <w:snapToGrid w:val="0"/>
        </w:rPr>
        <w:t xml:space="preserve">1, 2, </w:t>
      </w:r>
      <w:r w:rsidR="00D8141B" w:rsidRPr="00D8141B">
        <w:rPr>
          <w:b/>
          <w:bCs/>
          <w:snapToGrid w:val="0"/>
        </w:rPr>
        <w:t>3, 3</w:t>
      </w:r>
      <w:r w:rsidR="00D8141B" w:rsidRPr="00D8141B">
        <w:rPr>
          <w:snapToGrid w:val="0"/>
        </w:rPr>
        <w:t xml:space="preserve">, 4, 5 </w:t>
      </w:r>
      <w:r w:rsidR="00D8141B" w:rsidRPr="00D8141B">
        <w:rPr>
          <w:snapToGrid w:val="0"/>
        </w:rPr>
        <w:tab/>
        <w:t>Median Class = 3</w:t>
      </w:r>
    </w:p>
    <w:p w:rsidR="00D8141B" w:rsidRPr="00D8141B" w:rsidRDefault="006E2E4F" w:rsidP="006E2E4F">
      <w:pPr>
        <w:pStyle w:val="BodyText11"/>
        <w:numPr>
          <w:ilvl w:val="0"/>
          <w:numId w:val="0"/>
        </w:numPr>
        <w:tabs>
          <w:tab w:val="clear" w:pos="709"/>
          <w:tab w:val="left" w:pos="3402"/>
          <w:tab w:val="left" w:pos="5670"/>
        </w:tabs>
        <w:ind w:left="1276"/>
        <w:rPr>
          <w:snapToGrid w:val="0"/>
        </w:rPr>
      </w:pPr>
      <w:r>
        <w:rPr>
          <w:snapToGrid w:val="0"/>
        </w:rPr>
        <w:t>Example B:</w:t>
      </w:r>
      <w:r>
        <w:rPr>
          <w:snapToGrid w:val="0"/>
        </w:rPr>
        <w:tab/>
      </w:r>
      <w:r w:rsidR="00D8141B" w:rsidRPr="00D8141B">
        <w:rPr>
          <w:snapToGrid w:val="0"/>
        </w:rPr>
        <w:t xml:space="preserve">1, 2, </w:t>
      </w:r>
      <w:r w:rsidR="00D8141B" w:rsidRPr="00D8141B">
        <w:rPr>
          <w:b/>
          <w:bCs/>
          <w:snapToGrid w:val="0"/>
        </w:rPr>
        <w:t>2, 3</w:t>
      </w:r>
      <w:r w:rsidR="00D8141B" w:rsidRPr="00D8141B">
        <w:rPr>
          <w:snapToGrid w:val="0"/>
        </w:rPr>
        <w:t>,</w:t>
      </w:r>
      <w:r w:rsidR="00D8141B" w:rsidRPr="00D8141B">
        <w:rPr>
          <w:b/>
          <w:snapToGrid w:val="0"/>
        </w:rPr>
        <w:t xml:space="preserve"> </w:t>
      </w:r>
      <w:r w:rsidR="00D8141B" w:rsidRPr="00D8141B">
        <w:rPr>
          <w:snapToGrid w:val="0"/>
        </w:rPr>
        <w:t>3, 4</w:t>
      </w:r>
      <w:r w:rsidR="00D8141B" w:rsidRPr="00D8141B">
        <w:rPr>
          <w:snapToGrid w:val="0"/>
        </w:rPr>
        <w:tab/>
        <w:t>Median Class = 2.5 = 3*</w:t>
      </w:r>
    </w:p>
    <w:p w:rsidR="00D8141B" w:rsidRPr="00D8141B" w:rsidRDefault="006E2E4F" w:rsidP="006E2E4F">
      <w:pPr>
        <w:pStyle w:val="BodyText11"/>
        <w:numPr>
          <w:ilvl w:val="0"/>
          <w:numId w:val="0"/>
        </w:numPr>
        <w:tabs>
          <w:tab w:val="clear" w:pos="709"/>
          <w:tab w:val="left" w:pos="3402"/>
          <w:tab w:val="left" w:pos="5670"/>
        </w:tabs>
        <w:ind w:left="1276"/>
        <w:rPr>
          <w:snapToGrid w:val="0"/>
        </w:rPr>
      </w:pPr>
      <w:r>
        <w:rPr>
          <w:snapToGrid w:val="0"/>
        </w:rPr>
        <w:t>Example C:</w:t>
      </w:r>
      <w:r>
        <w:rPr>
          <w:snapToGrid w:val="0"/>
        </w:rPr>
        <w:tab/>
      </w:r>
      <w:r w:rsidR="00D8141B" w:rsidRPr="00D8141B">
        <w:rPr>
          <w:snapToGrid w:val="0"/>
        </w:rPr>
        <w:t xml:space="preserve">1, 2, </w:t>
      </w:r>
      <w:r w:rsidR="00D8141B" w:rsidRPr="00D8141B">
        <w:rPr>
          <w:b/>
          <w:bCs/>
          <w:snapToGrid w:val="0"/>
        </w:rPr>
        <w:t>3, 5</w:t>
      </w:r>
      <w:r w:rsidR="00D8141B" w:rsidRPr="00D8141B">
        <w:rPr>
          <w:snapToGrid w:val="0"/>
        </w:rPr>
        <w:t>, 5, 5</w:t>
      </w:r>
      <w:r w:rsidR="00D8141B" w:rsidRPr="00D8141B">
        <w:rPr>
          <w:snapToGrid w:val="0"/>
        </w:rPr>
        <w:tab/>
        <w:t>Median Class = 4</w:t>
      </w:r>
    </w:p>
    <w:p w:rsidR="00D8141B" w:rsidRPr="00D8141B" w:rsidRDefault="00D8141B" w:rsidP="006E2E4F">
      <w:pPr>
        <w:pStyle w:val="BodyText11"/>
        <w:numPr>
          <w:ilvl w:val="0"/>
          <w:numId w:val="0"/>
        </w:numPr>
        <w:spacing w:before="240"/>
        <w:ind w:left="709"/>
      </w:pPr>
      <w:r w:rsidRPr="00D8141B">
        <w:t>*If a score falls between two classes, it is rounded up to the next class. A median class score of 2.5 thus becomes 3.</w:t>
      </w:r>
    </w:p>
    <w:p w:rsidR="00D8141B" w:rsidRPr="00D8141B" w:rsidRDefault="00D8141B" w:rsidP="006E2E4F">
      <w:pPr>
        <w:pStyle w:val="BodyText11"/>
      </w:pPr>
      <w:r w:rsidRPr="00D8141B">
        <w:t>The median class score method was chosen, as it is not influenced by extremes. Each area of function is assessed separately. While impairment in one area is neither equivalent nor interchangeable with impairment in other areas, the median seems the fairest way to translate different impairments onto a linear scale.</w:t>
      </w:r>
    </w:p>
    <w:p w:rsidR="00D8141B" w:rsidRPr="00D8141B" w:rsidRDefault="00D8141B" w:rsidP="009B0A18">
      <w:pPr>
        <w:pStyle w:val="Heading3"/>
      </w:pPr>
      <w:bookmarkStart w:id="258" w:name="_Toc144874728"/>
      <w:bookmarkStart w:id="259" w:name="_Toc144875317"/>
      <w:r w:rsidRPr="00D8141B">
        <w:t>Median class score and percentage impairment</w:t>
      </w:r>
      <w:bookmarkEnd w:id="258"/>
      <w:bookmarkEnd w:id="259"/>
    </w:p>
    <w:p w:rsidR="00D8141B" w:rsidRPr="00D8141B" w:rsidRDefault="00D8141B" w:rsidP="006E2E4F">
      <w:pPr>
        <w:pStyle w:val="BodyText11"/>
      </w:pPr>
      <w:r w:rsidRPr="00D8141B">
        <w:t>Each median class score represents a range of impairment, as shown below:</w:t>
      </w:r>
    </w:p>
    <w:p w:rsidR="00D8141B" w:rsidRPr="00D8141B" w:rsidRDefault="00D8141B" w:rsidP="006E2E4F">
      <w:pPr>
        <w:pStyle w:val="Bulletpoint"/>
        <w:tabs>
          <w:tab w:val="left" w:pos="1134"/>
        </w:tabs>
        <w:ind w:left="1134"/>
        <w:rPr>
          <w:snapToGrid w:val="0"/>
          <w:lang w:val="en-GB"/>
        </w:rPr>
      </w:pPr>
      <w:r w:rsidRPr="00D8141B">
        <w:rPr>
          <w:snapToGrid w:val="0"/>
          <w:lang w:val="en-GB"/>
        </w:rPr>
        <w:t>Class 1 = 0–3%</w:t>
      </w:r>
    </w:p>
    <w:p w:rsidR="00D8141B" w:rsidRPr="00D8141B" w:rsidRDefault="00D8141B" w:rsidP="006E2E4F">
      <w:pPr>
        <w:pStyle w:val="Bulletpoint"/>
        <w:tabs>
          <w:tab w:val="left" w:pos="1134"/>
        </w:tabs>
        <w:ind w:left="1134"/>
        <w:rPr>
          <w:snapToGrid w:val="0"/>
          <w:lang w:val="en-GB"/>
        </w:rPr>
      </w:pPr>
      <w:r w:rsidRPr="00D8141B">
        <w:rPr>
          <w:snapToGrid w:val="0"/>
          <w:lang w:val="en-GB"/>
        </w:rPr>
        <w:t>Class 2 = 4–10%</w:t>
      </w:r>
    </w:p>
    <w:p w:rsidR="00D8141B" w:rsidRPr="00D8141B" w:rsidRDefault="00D8141B" w:rsidP="006E2E4F">
      <w:pPr>
        <w:pStyle w:val="Bulletpoint"/>
        <w:tabs>
          <w:tab w:val="left" w:pos="1134"/>
        </w:tabs>
        <w:ind w:left="1134"/>
        <w:rPr>
          <w:snapToGrid w:val="0"/>
          <w:lang w:val="en-GB"/>
        </w:rPr>
      </w:pPr>
      <w:r w:rsidRPr="00D8141B">
        <w:rPr>
          <w:snapToGrid w:val="0"/>
          <w:lang w:val="en-GB"/>
        </w:rPr>
        <w:t>Class 3 = 11–30%</w:t>
      </w:r>
    </w:p>
    <w:p w:rsidR="00D8141B" w:rsidRPr="00D8141B" w:rsidRDefault="00D8141B" w:rsidP="006E2E4F">
      <w:pPr>
        <w:pStyle w:val="Bulletpoint"/>
        <w:tabs>
          <w:tab w:val="left" w:pos="1134"/>
        </w:tabs>
        <w:ind w:left="1134"/>
        <w:rPr>
          <w:snapToGrid w:val="0"/>
          <w:lang w:val="en-GB"/>
        </w:rPr>
      </w:pPr>
      <w:r w:rsidRPr="00D8141B">
        <w:rPr>
          <w:snapToGrid w:val="0"/>
          <w:lang w:val="en-GB"/>
        </w:rPr>
        <w:t>Class 4 = 31–60%</w:t>
      </w:r>
    </w:p>
    <w:p w:rsidR="00D8141B" w:rsidRPr="00D8141B" w:rsidRDefault="00D8141B" w:rsidP="006E2E4F">
      <w:pPr>
        <w:pStyle w:val="Bulletpoint"/>
        <w:tabs>
          <w:tab w:val="left" w:pos="1134"/>
        </w:tabs>
        <w:ind w:left="1134"/>
        <w:rPr>
          <w:snapToGrid w:val="0"/>
          <w:lang w:val="en-GB"/>
        </w:rPr>
      </w:pPr>
      <w:r w:rsidRPr="00D8141B">
        <w:rPr>
          <w:snapToGrid w:val="0"/>
          <w:lang w:val="en-GB"/>
        </w:rPr>
        <w:t>Class 5 = 61–100%</w:t>
      </w:r>
    </w:p>
    <w:p w:rsidR="00D8141B" w:rsidRPr="00D8141B" w:rsidRDefault="00D8141B" w:rsidP="009B0A18">
      <w:pPr>
        <w:pStyle w:val="Heading3"/>
      </w:pPr>
      <w:bookmarkStart w:id="260" w:name="_Toc144874729"/>
      <w:bookmarkStart w:id="261" w:name="_Toc144875318"/>
      <w:r w:rsidRPr="00D8141B">
        <w:t>Calculation of the aggregate score</w:t>
      </w:r>
      <w:bookmarkEnd w:id="260"/>
      <w:bookmarkEnd w:id="261"/>
    </w:p>
    <w:p w:rsidR="00D8141B" w:rsidRPr="00D8141B" w:rsidRDefault="00D8141B" w:rsidP="006E2E4F">
      <w:pPr>
        <w:pStyle w:val="BodyText11"/>
      </w:pPr>
      <w:r w:rsidRPr="00D8141B">
        <w:t>The aggregate score is used to determine an exact percentage of impairment within a particular median class range. The six class scores are added to give the aggregate score.</w:t>
      </w:r>
    </w:p>
    <w:p w:rsidR="00D8141B" w:rsidRPr="00D8141B" w:rsidRDefault="00D8141B" w:rsidP="009B0A18">
      <w:pPr>
        <w:pStyle w:val="Heading3"/>
      </w:pPr>
      <w:bookmarkStart w:id="262" w:name="_Toc144874730"/>
      <w:bookmarkStart w:id="263" w:name="_Toc144875319"/>
      <w:r w:rsidRPr="00D8141B">
        <w:t>Use of the conversion table to arrive at percentage impairment</w:t>
      </w:r>
      <w:bookmarkEnd w:id="262"/>
      <w:bookmarkEnd w:id="263"/>
    </w:p>
    <w:p w:rsidR="00D8141B" w:rsidRPr="00D8141B" w:rsidRDefault="00D8141B" w:rsidP="006E2E4F">
      <w:pPr>
        <w:pStyle w:val="BodyText11"/>
        <w:rPr>
          <w:b/>
        </w:rPr>
      </w:pPr>
      <w:r w:rsidRPr="00D8141B">
        <w:t>The aggregate score is converted to a percentage score using the conversion table (table 11.7 below).</w:t>
      </w:r>
    </w:p>
    <w:p w:rsidR="00D8141B" w:rsidRPr="00D8141B" w:rsidRDefault="00D8141B" w:rsidP="006E2E4F">
      <w:pPr>
        <w:pStyle w:val="BodyText11"/>
      </w:pPr>
      <w:r w:rsidRPr="00D8141B">
        <w:t>The conversion table was developed to calculate the percentage impairment based on the aggregate and median scores.</w:t>
      </w:r>
    </w:p>
    <w:p w:rsidR="00D8141B" w:rsidRPr="00D8141B" w:rsidRDefault="00D8141B" w:rsidP="006E2E4F">
      <w:pPr>
        <w:pStyle w:val="BodyText11"/>
      </w:pPr>
      <w:r w:rsidRPr="00D8141B">
        <w:t>The scores within the conversion table are spread in such a way to ensure that the final percentage rating is consistent with the measurement of permanent impairment percentages for other body systems.</w:t>
      </w:r>
    </w:p>
    <w:p w:rsidR="00D8141B" w:rsidRPr="009B0A18" w:rsidRDefault="00D8141B" w:rsidP="00D8141B">
      <w:pPr>
        <w:keepNext/>
        <w:tabs>
          <w:tab w:val="left" w:pos="720"/>
        </w:tabs>
        <w:spacing w:before="240" w:after="120" w:line="240" w:lineRule="auto"/>
        <w:outlineLvl w:val="3"/>
        <w:rPr>
          <w:rFonts w:eastAsia="Times New Roman" w:cs="Arial"/>
          <w:b/>
          <w:bCs/>
          <w:sz w:val="24"/>
          <w:szCs w:val="24"/>
          <w:lang w:val="en-GB"/>
        </w:rPr>
      </w:pPr>
      <w:bookmarkStart w:id="264" w:name="_Toc144874731"/>
      <w:bookmarkStart w:id="265" w:name="_Toc144875320"/>
      <w:r w:rsidRPr="009B0A18">
        <w:rPr>
          <w:rFonts w:eastAsia="Times New Roman" w:cs="Arial"/>
          <w:b/>
          <w:bCs/>
          <w:sz w:val="24"/>
          <w:szCs w:val="24"/>
          <w:lang w:val="en-GB"/>
        </w:rPr>
        <w:lastRenderedPageBreak/>
        <w:t>Table 11.7: Conversion table</w:t>
      </w:r>
      <w:bookmarkEnd w:id="264"/>
      <w:bookmarkEnd w:id="265"/>
    </w:p>
    <w:tbl>
      <w:tblPr>
        <w:tblW w:w="907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851"/>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223"/>
        <w:gridCol w:w="89"/>
        <w:gridCol w:w="312"/>
        <w:gridCol w:w="312"/>
      </w:tblGrid>
      <w:tr w:rsidR="006E2E4F" w:rsidRPr="006E2E4F" w:rsidTr="00741EC9">
        <w:trPr>
          <w:gridAfter w:val="3"/>
          <w:wAfter w:w="713" w:type="dxa"/>
          <w:cantSplit/>
          <w:trHeight w:hRule="exact" w:val="397"/>
        </w:trPr>
        <w:tc>
          <w:tcPr>
            <w:tcW w:w="425" w:type="dxa"/>
            <w:vMerge w:val="restart"/>
            <w:tcBorders>
              <w:top w:val="nil"/>
              <w:left w:val="nil"/>
              <w:bottom w:val="nil"/>
              <w:right w:val="nil"/>
            </w:tcBorders>
            <w:textDirection w:val="btLr"/>
          </w:tcPr>
          <w:p w:rsidR="00D8141B" w:rsidRPr="00D8141B" w:rsidRDefault="00D8141B" w:rsidP="00741EC9">
            <w:pPr>
              <w:keepLines/>
              <w:widowControl w:val="0"/>
              <w:spacing w:before="40" w:after="120" w:line="240" w:lineRule="auto"/>
              <w:rPr>
                <w:rFonts w:eastAsia="Times New Roman" w:cs="Arial"/>
                <w:b/>
                <w:bCs/>
                <w:snapToGrid w:val="0"/>
                <w:szCs w:val="20"/>
                <w:lang w:val="en-GB"/>
              </w:rPr>
            </w:pPr>
            <w:r w:rsidRPr="00D8141B">
              <w:rPr>
                <w:rFonts w:eastAsia="Times New Roman" w:cs="Arial"/>
                <w:snapToGrid w:val="0"/>
                <w:szCs w:val="20"/>
                <w:lang w:val="en-GB"/>
              </w:rPr>
              <w:t xml:space="preserve">   </w:t>
            </w:r>
            <w:r w:rsidRPr="00D8141B">
              <w:rPr>
                <w:rFonts w:eastAsia="Times New Roman" w:cs="Arial"/>
                <w:b/>
                <w:bCs/>
                <w:snapToGrid w:val="0"/>
                <w:szCs w:val="20"/>
                <w:lang w:val="en-GB"/>
              </w:rPr>
              <w:t>% Impairment</w:t>
            </w:r>
          </w:p>
        </w:tc>
        <w:tc>
          <w:tcPr>
            <w:tcW w:w="851" w:type="dxa"/>
            <w:vMerge w:val="restart"/>
            <w:tcBorders>
              <w:top w:val="nil"/>
              <w:left w:val="nil"/>
              <w:right w:val="nil"/>
            </w:tcBorders>
            <w:vAlign w:val="center"/>
          </w:tcPr>
          <w:p w:rsidR="00D8141B" w:rsidRPr="006E2E4F" w:rsidRDefault="00D8141B" w:rsidP="00741EC9">
            <w:pPr>
              <w:keepLines/>
              <w:widowControl w:val="0"/>
              <w:spacing w:before="40" w:after="120" w:line="240" w:lineRule="auto"/>
              <w:jc w:val="center"/>
              <w:rPr>
                <w:rFonts w:eastAsia="Times New Roman" w:cs="Arial"/>
                <w:snapToGrid w:val="0"/>
                <w:sz w:val="20"/>
                <w:szCs w:val="20"/>
                <w:lang w:val="en-GB"/>
              </w:rPr>
            </w:pPr>
          </w:p>
        </w:tc>
        <w:tc>
          <w:tcPr>
            <w:tcW w:w="7087" w:type="dxa"/>
            <w:gridSpan w:val="23"/>
            <w:tcBorders>
              <w:top w:val="nil"/>
              <w:left w:val="nil"/>
              <w:right w:val="nil"/>
            </w:tcBorders>
          </w:tcPr>
          <w:p w:rsidR="00D8141B" w:rsidRPr="00741EC9" w:rsidRDefault="00D8141B" w:rsidP="00741EC9">
            <w:pPr>
              <w:keepNext/>
              <w:keepLines/>
              <w:widowControl w:val="0"/>
              <w:suppressAutoHyphens/>
              <w:spacing w:before="80" w:after="120" w:line="240" w:lineRule="auto"/>
              <w:jc w:val="center"/>
              <w:rPr>
                <w:rFonts w:eastAsia="Times New Roman" w:cs="Arial"/>
                <w:b/>
                <w:bCs/>
                <w:snapToGrid w:val="0"/>
                <w:lang w:val="en-GB"/>
              </w:rPr>
            </w:pPr>
            <w:r w:rsidRPr="00741EC9">
              <w:rPr>
                <w:rFonts w:eastAsia="Times New Roman" w:cs="Arial"/>
                <w:b/>
                <w:bCs/>
                <w:snapToGrid w:val="0"/>
                <w:lang w:val="en-GB"/>
              </w:rPr>
              <w:t>Aggregate score</w:t>
            </w:r>
          </w:p>
        </w:tc>
      </w:tr>
      <w:tr w:rsidR="00D8141B" w:rsidRPr="006E2E4F" w:rsidTr="006E2E4F">
        <w:trPr>
          <w:cantSplit/>
          <w:trHeight w:hRule="exact" w:val="320"/>
        </w:trPr>
        <w:tc>
          <w:tcPr>
            <w:tcW w:w="425" w:type="dxa"/>
            <w:vMerge/>
            <w:tcBorders>
              <w:top w:val="single" w:sz="4" w:space="0" w:color="auto"/>
              <w:left w:val="nil"/>
              <w:bottom w:val="nil"/>
              <w:right w:val="nil"/>
            </w:tcBorders>
          </w:tcPr>
          <w:p w:rsidR="00D8141B" w:rsidRPr="00D8141B" w:rsidRDefault="00D8141B" w:rsidP="00D8141B">
            <w:pPr>
              <w:keepLines/>
              <w:widowControl w:val="0"/>
              <w:spacing w:before="40" w:after="40" w:line="240" w:lineRule="auto"/>
              <w:rPr>
                <w:rFonts w:eastAsia="Times New Roman" w:cs="Arial"/>
                <w:snapToGrid w:val="0"/>
                <w:szCs w:val="20"/>
                <w:lang w:val="en-GB"/>
              </w:rPr>
            </w:pPr>
          </w:p>
        </w:tc>
        <w:tc>
          <w:tcPr>
            <w:tcW w:w="851" w:type="dxa"/>
            <w:vMerge/>
            <w:tcBorders>
              <w:top w:val="single" w:sz="4" w:space="0" w:color="auto"/>
              <w:left w:val="nil"/>
            </w:tcBorders>
            <w:vAlign w:val="center"/>
          </w:tcPr>
          <w:p w:rsidR="00D8141B" w:rsidRPr="006E2E4F" w:rsidRDefault="00D8141B" w:rsidP="00D8141B">
            <w:pPr>
              <w:keepLines/>
              <w:widowControl w:val="0"/>
              <w:spacing w:before="40" w:after="40" w:line="240" w:lineRule="auto"/>
              <w:rPr>
                <w:rFonts w:eastAsia="Times New Roman" w:cs="Arial"/>
                <w:snapToGrid w:val="0"/>
                <w:sz w:val="20"/>
                <w:szCs w:val="20"/>
                <w:lang w:val="en-GB"/>
              </w:rPr>
            </w:pP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6</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7</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8</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9</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100</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11</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12</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13</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14</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15</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16</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17</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18</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19</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20</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21</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22</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23</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24</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25</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26</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27</w:t>
            </w:r>
          </w:p>
        </w:tc>
        <w:tc>
          <w:tcPr>
            <w:tcW w:w="312" w:type="dxa"/>
            <w:gridSpan w:val="2"/>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28</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29</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b/>
                <w:bCs/>
                <w:snapToGrid w:val="0"/>
                <w:sz w:val="20"/>
                <w:szCs w:val="20"/>
                <w:lang w:val="en-GB"/>
              </w:rPr>
            </w:pPr>
            <w:r w:rsidRPr="006E2E4F">
              <w:rPr>
                <w:rFonts w:eastAsia="Times New Roman" w:cs="Arial"/>
                <w:b/>
                <w:bCs/>
                <w:snapToGrid w:val="0"/>
                <w:sz w:val="20"/>
                <w:szCs w:val="20"/>
                <w:lang w:val="en-GB"/>
              </w:rPr>
              <w:t>30</w:t>
            </w:r>
          </w:p>
        </w:tc>
      </w:tr>
      <w:tr w:rsidR="00D8141B" w:rsidRPr="006E2E4F" w:rsidTr="006E2E4F">
        <w:trPr>
          <w:cantSplit/>
          <w:trHeight w:hRule="exact" w:val="320"/>
        </w:trPr>
        <w:tc>
          <w:tcPr>
            <w:tcW w:w="425" w:type="dxa"/>
            <w:vMerge/>
            <w:tcBorders>
              <w:left w:val="nil"/>
              <w:bottom w:val="nil"/>
            </w:tcBorders>
          </w:tcPr>
          <w:p w:rsidR="00D8141B" w:rsidRPr="00D8141B" w:rsidRDefault="00D8141B" w:rsidP="00D8141B">
            <w:pPr>
              <w:keepLines/>
              <w:widowControl w:val="0"/>
              <w:spacing w:before="40" w:after="40" w:line="240" w:lineRule="auto"/>
              <w:rPr>
                <w:rFonts w:eastAsia="Times New Roman" w:cs="Arial"/>
                <w:snapToGrid w:val="0"/>
                <w:szCs w:val="20"/>
                <w:lang w:val="en-GB"/>
              </w:rPr>
            </w:pPr>
          </w:p>
        </w:tc>
        <w:tc>
          <w:tcPr>
            <w:tcW w:w="851" w:type="dxa"/>
            <w:vAlign w:val="center"/>
          </w:tcPr>
          <w:p w:rsidR="00D8141B" w:rsidRPr="006E2E4F" w:rsidRDefault="00D8141B" w:rsidP="00D8141B">
            <w:pPr>
              <w:keepLines/>
              <w:widowControl w:val="0"/>
              <w:spacing w:before="40" w:after="40" w:line="240" w:lineRule="auto"/>
              <w:rPr>
                <w:rFonts w:eastAsia="Times New Roman" w:cs="Arial"/>
                <w:snapToGrid w:val="0"/>
                <w:sz w:val="20"/>
                <w:szCs w:val="20"/>
                <w:lang w:val="en-GB"/>
              </w:rPr>
            </w:pPr>
            <w:r w:rsidRPr="006E2E4F">
              <w:rPr>
                <w:rFonts w:eastAsia="Times New Roman" w:cs="Arial"/>
                <w:snapToGrid w:val="0"/>
                <w:sz w:val="20"/>
                <w:szCs w:val="20"/>
                <w:lang w:val="en-GB"/>
              </w:rPr>
              <w:t>Class 1</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0</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0</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1</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1</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2</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2</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2</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3</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3</w:t>
            </w:r>
          </w:p>
        </w:tc>
        <w:tc>
          <w:tcPr>
            <w:tcW w:w="312" w:type="dxa"/>
            <w:tcBorders>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gridSpan w:val="2"/>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r>
      <w:tr w:rsidR="00D8141B" w:rsidRPr="006E2E4F" w:rsidTr="006E2E4F">
        <w:trPr>
          <w:cantSplit/>
          <w:trHeight w:hRule="exact" w:val="320"/>
        </w:trPr>
        <w:tc>
          <w:tcPr>
            <w:tcW w:w="425" w:type="dxa"/>
            <w:vMerge/>
            <w:tcBorders>
              <w:left w:val="nil"/>
              <w:bottom w:val="nil"/>
            </w:tcBorders>
          </w:tcPr>
          <w:p w:rsidR="00D8141B" w:rsidRPr="00D8141B" w:rsidRDefault="00D8141B" w:rsidP="00D8141B">
            <w:pPr>
              <w:keepLines/>
              <w:widowControl w:val="0"/>
              <w:spacing w:before="40" w:after="40" w:line="240" w:lineRule="auto"/>
              <w:rPr>
                <w:rFonts w:eastAsia="Times New Roman" w:cs="Arial"/>
                <w:snapToGrid w:val="0"/>
                <w:szCs w:val="20"/>
                <w:lang w:val="en-GB"/>
              </w:rPr>
            </w:pPr>
          </w:p>
        </w:tc>
        <w:tc>
          <w:tcPr>
            <w:tcW w:w="851" w:type="dxa"/>
            <w:vAlign w:val="center"/>
          </w:tcPr>
          <w:p w:rsidR="00D8141B" w:rsidRPr="006E2E4F" w:rsidRDefault="00D8141B" w:rsidP="00D8141B">
            <w:pPr>
              <w:keepLines/>
              <w:widowControl w:val="0"/>
              <w:spacing w:before="40" w:after="40" w:line="240" w:lineRule="auto"/>
              <w:rPr>
                <w:rFonts w:eastAsia="Times New Roman" w:cs="Arial"/>
                <w:snapToGrid w:val="0"/>
                <w:sz w:val="20"/>
                <w:szCs w:val="20"/>
                <w:lang w:val="en-GB"/>
              </w:rPr>
            </w:pPr>
            <w:r w:rsidRPr="006E2E4F">
              <w:rPr>
                <w:rFonts w:eastAsia="Times New Roman" w:cs="Arial"/>
                <w:snapToGrid w:val="0"/>
                <w:sz w:val="20"/>
                <w:szCs w:val="20"/>
                <w:lang w:val="en-GB"/>
              </w:rPr>
              <w:t>Class 2</w:t>
            </w:r>
          </w:p>
        </w:tc>
        <w:tc>
          <w:tcPr>
            <w:tcW w:w="312" w:type="dxa"/>
            <w:tcBorders>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nil"/>
              <w:bottom w:val="single" w:sz="4" w:space="0" w:color="auto"/>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4</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5</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5</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6</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7</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7</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8</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9</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9</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10</w:t>
            </w:r>
          </w:p>
        </w:tc>
        <w:tc>
          <w:tcPr>
            <w:tcW w:w="312" w:type="dxa"/>
            <w:tcBorders>
              <w:top w:val="single" w:sz="4" w:space="0" w:color="auto"/>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gridSpan w:val="2"/>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r>
      <w:tr w:rsidR="00D8141B" w:rsidRPr="006E2E4F" w:rsidTr="006E2E4F">
        <w:trPr>
          <w:cantSplit/>
          <w:trHeight w:hRule="exact" w:val="320"/>
        </w:trPr>
        <w:tc>
          <w:tcPr>
            <w:tcW w:w="425" w:type="dxa"/>
            <w:vMerge/>
            <w:tcBorders>
              <w:left w:val="nil"/>
              <w:bottom w:val="nil"/>
            </w:tcBorders>
          </w:tcPr>
          <w:p w:rsidR="00D8141B" w:rsidRPr="00D8141B" w:rsidRDefault="00D8141B" w:rsidP="00D8141B">
            <w:pPr>
              <w:keepLines/>
              <w:widowControl w:val="0"/>
              <w:spacing w:before="40" w:after="40" w:line="240" w:lineRule="auto"/>
              <w:rPr>
                <w:rFonts w:eastAsia="Times New Roman" w:cs="Arial"/>
                <w:snapToGrid w:val="0"/>
                <w:szCs w:val="20"/>
                <w:lang w:val="en-GB"/>
              </w:rPr>
            </w:pPr>
          </w:p>
        </w:tc>
        <w:tc>
          <w:tcPr>
            <w:tcW w:w="851" w:type="dxa"/>
            <w:vAlign w:val="center"/>
          </w:tcPr>
          <w:p w:rsidR="00D8141B" w:rsidRPr="006E2E4F" w:rsidRDefault="00D8141B" w:rsidP="00D8141B">
            <w:pPr>
              <w:keepLines/>
              <w:widowControl w:val="0"/>
              <w:spacing w:before="40" w:after="40" w:line="240" w:lineRule="auto"/>
              <w:rPr>
                <w:rFonts w:eastAsia="Times New Roman" w:cs="Arial"/>
                <w:snapToGrid w:val="0"/>
                <w:sz w:val="20"/>
                <w:szCs w:val="20"/>
                <w:lang w:val="en-GB"/>
              </w:rPr>
            </w:pPr>
            <w:r w:rsidRPr="006E2E4F">
              <w:rPr>
                <w:rFonts w:eastAsia="Times New Roman" w:cs="Arial"/>
                <w:snapToGrid w:val="0"/>
                <w:sz w:val="20"/>
                <w:szCs w:val="20"/>
                <w:lang w:val="en-GB"/>
              </w:rPr>
              <w:t>Class 3</w:t>
            </w:r>
          </w:p>
        </w:tc>
        <w:tc>
          <w:tcPr>
            <w:tcW w:w="312" w:type="dxa"/>
            <w:tcBorders>
              <w:top w:val="single" w:sz="4" w:space="0" w:color="auto"/>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11</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13</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15</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17</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19</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22</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24</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26</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28</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30</w:t>
            </w:r>
          </w:p>
        </w:tc>
        <w:tc>
          <w:tcPr>
            <w:tcW w:w="312" w:type="dxa"/>
            <w:tcBorders>
              <w:top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gridSpan w:val="2"/>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r>
      <w:tr w:rsidR="00D8141B" w:rsidRPr="006E2E4F" w:rsidTr="006E2E4F">
        <w:trPr>
          <w:cantSplit/>
          <w:trHeight w:hRule="exact" w:val="320"/>
        </w:trPr>
        <w:tc>
          <w:tcPr>
            <w:tcW w:w="425" w:type="dxa"/>
            <w:vMerge/>
            <w:tcBorders>
              <w:left w:val="nil"/>
              <w:bottom w:val="nil"/>
            </w:tcBorders>
          </w:tcPr>
          <w:p w:rsidR="00D8141B" w:rsidRPr="00D8141B" w:rsidRDefault="00D8141B" w:rsidP="00D8141B">
            <w:pPr>
              <w:keepLines/>
              <w:widowControl w:val="0"/>
              <w:spacing w:before="40" w:after="40" w:line="240" w:lineRule="auto"/>
              <w:rPr>
                <w:rFonts w:eastAsia="Times New Roman" w:cs="Arial"/>
                <w:snapToGrid w:val="0"/>
                <w:szCs w:val="20"/>
                <w:lang w:val="en-GB"/>
              </w:rPr>
            </w:pPr>
          </w:p>
        </w:tc>
        <w:tc>
          <w:tcPr>
            <w:tcW w:w="851" w:type="dxa"/>
            <w:vAlign w:val="center"/>
          </w:tcPr>
          <w:p w:rsidR="00D8141B" w:rsidRPr="006E2E4F" w:rsidRDefault="00D8141B" w:rsidP="00D8141B">
            <w:pPr>
              <w:keepLines/>
              <w:widowControl w:val="0"/>
              <w:spacing w:before="40" w:after="40" w:line="240" w:lineRule="auto"/>
              <w:rPr>
                <w:rFonts w:eastAsia="Times New Roman" w:cs="Arial"/>
                <w:snapToGrid w:val="0"/>
                <w:sz w:val="20"/>
                <w:szCs w:val="20"/>
                <w:lang w:val="en-GB"/>
              </w:rPr>
            </w:pPr>
            <w:r w:rsidRPr="006E2E4F">
              <w:rPr>
                <w:rFonts w:eastAsia="Times New Roman" w:cs="Arial"/>
                <w:snapToGrid w:val="0"/>
                <w:sz w:val="20"/>
                <w:szCs w:val="20"/>
                <w:lang w:val="en-GB"/>
              </w:rPr>
              <w:t>Class 4</w:t>
            </w:r>
          </w:p>
        </w:tc>
        <w:tc>
          <w:tcPr>
            <w:tcW w:w="312" w:type="dxa"/>
            <w:tcBorders>
              <w:top w:val="single" w:sz="4" w:space="0" w:color="auto"/>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bottom w:val="single" w:sz="4" w:space="0" w:color="auto"/>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31</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34</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37</w:t>
            </w:r>
          </w:p>
        </w:tc>
        <w:tc>
          <w:tcPr>
            <w:tcW w:w="312" w:type="dxa"/>
            <w:tcBorders>
              <w:bottom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41</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44</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47</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50</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54</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57</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60</w:t>
            </w:r>
          </w:p>
        </w:tc>
        <w:tc>
          <w:tcPr>
            <w:tcW w:w="312" w:type="dxa"/>
            <w:tcBorders>
              <w:top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gridSpan w:val="2"/>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r>
      <w:tr w:rsidR="00D8141B" w:rsidRPr="006E2E4F" w:rsidTr="006E2E4F">
        <w:trPr>
          <w:cantSplit/>
          <w:trHeight w:hRule="exact" w:val="320"/>
        </w:trPr>
        <w:tc>
          <w:tcPr>
            <w:tcW w:w="425" w:type="dxa"/>
            <w:vMerge/>
            <w:tcBorders>
              <w:left w:val="nil"/>
              <w:bottom w:val="nil"/>
            </w:tcBorders>
          </w:tcPr>
          <w:p w:rsidR="00D8141B" w:rsidRPr="00D8141B" w:rsidRDefault="00D8141B" w:rsidP="00D8141B">
            <w:pPr>
              <w:keepLines/>
              <w:widowControl w:val="0"/>
              <w:spacing w:before="40" w:after="40" w:line="240" w:lineRule="auto"/>
              <w:rPr>
                <w:rFonts w:eastAsia="Times New Roman" w:cs="Arial"/>
                <w:snapToGrid w:val="0"/>
                <w:szCs w:val="20"/>
                <w:lang w:val="en-GB"/>
              </w:rPr>
            </w:pPr>
          </w:p>
        </w:tc>
        <w:tc>
          <w:tcPr>
            <w:tcW w:w="851" w:type="dxa"/>
            <w:vAlign w:val="center"/>
          </w:tcPr>
          <w:p w:rsidR="00D8141B" w:rsidRPr="006E2E4F" w:rsidRDefault="00D8141B" w:rsidP="00D8141B">
            <w:pPr>
              <w:keepLines/>
              <w:widowControl w:val="0"/>
              <w:spacing w:before="40" w:after="40" w:line="240" w:lineRule="auto"/>
              <w:rPr>
                <w:rFonts w:eastAsia="Times New Roman" w:cs="Arial"/>
                <w:snapToGrid w:val="0"/>
                <w:sz w:val="20"/>
                <w:szCs w:val="20"/>
                <w:lang w:val="en-GB"/>
              </w:rPr>
            </w:pPr>
            <w:r w:rsidRPr="006E2E4F">
              <w:rPr>
                <w:rFonts w:eastAsia="Times New Roman" w:cs="Arial"/>
                <w:snapToGrid w:val="0"/>
                <w:sz w:val="20"/>
                <w:szCs w:val="20"/>
                <w:lang w:val="en-GB"/>
              </w:rPr>
              <w:t>Class 5</w:t>
            </w:r>
          </w:p>
        </w:tc>
        <w:tc>
          <w:tcPr>
            <w:tcW w:w="312" w:type="dxa"/>
            <w:tcBorders>
              <w:top w:val="single" w:sz="4" w:space="0" w:color="auto"/>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nil"/>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top w:val="single" w:sz="4" w:space="0" w:color="auto"/>
              <w:left w:val="nil"/>
              <w:right w:val="single" w:sz="4" w:space="0" w:color="auto"/>
            </w:tcBorders>
            <w:shd w:val="pct10" w:color="auto" w:fill="auto"/>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p>
        </w:tc>
        <w:tc>
          <w:tcPr>
            <w:tcW w:w="312" w:type="dxa"/>
            <w:tcBorders>
              <w:left w:val="single" w:sz="4" w:space="0" w:color="auto"/>
            </w:tcBorders>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61</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65</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70</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74</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78</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83</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87</w:t>
            </w:r>
          </w:p>
        </w:tc>
        <w:tc>
          <w:tcPr>
            <w:tcW w:w="312" w:type="dxa"/>
            <w:gridSpan w:val="2"/>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91</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96</w:t>
            </w:r>
          </w:p>
        </w:tc>
        <w:tc>
          <w:tcPr>
            <w:tcW w:w="312" w:type="dxa"/>
            <w:vAlign w:val="center"/>
          </w:tcPr>
          <w:p w:rsidR="00D8141B" w:rsidRPr="006E2E4F" w:rsidRDefault="00D8141B" w:rsidP="00D8141B">
            <w:pPr>
              <w:keepLines/>
              <w:widowControl w:val="0"/>
              <w:spacing w:before="40" w:after="40" w:line="240" w:lineRule="auto"/>
              <w:jc w:val="center"/>
              <w:rPr>
                <w:rFonts w:eastAsia="Times New Roman" w:cs="Arial"/>
                <w:snapToGrid w:val="0"/>
                <w:sz w:val="20"/>
                <w:szCs w:val="20"/>
                <w:lang w:val="en-GB"/>
              </w:rPr>
            </w:pPr>
            <w:r w:rsidRPr="006E2E4F">
              <w:rPr>
                <w:rFonts w:eastAsia="Times New Roman" w:cs="Arial"/>
                <w:snapToGrid w:val="0"/>
                <w:sz w:val="20"/>
                <w:szCs w:val="20"/>
                <w:lang w:val="en-GB"/>
              </w:rPr>
              <w:t>100</w:t>
            </w:r>
          </w:p>
        </w:tc>
      </w:tr>
    </w:tbl>
    <w:p w:rsidR="00D8141B" w:rsidRPr="00741EC9" w:rsidRDefault="00D8141B" w:rsidP="00741EC9">
      <w:pPr>
        <w:pStyle w:val="BodyText11"/>
        <w:numPr>
          <w:ilvl w:val="0"/>
          <w:numId w:val="0"/>
        </w:numPr>
        <w:spacing w:before="240" w:after="120"/>
        <w:ind w:left="709"/>
        <w:rPr>
          <w:b/>
        </w:rPr>
      </w:pPr>
      <w:bookmarkStart w:id="266" w:name="_Toc144874732"/>
      <w:bookmarkStart w:id="267" w:name="_Toc144875321"/>
      <w:r w:rsidRPr="00741EC9">
        <w:rPr>
          <w:b/>
        </w:rPr>
        <w:t>Conversion table — explanatory notes</w:t>
      </w:r>
      <w:bookmarkEnd w:id="266"/>
      <w:bookmarkEnd w:id="267"/>
    </w:p>
    <w:p w:rsidR="00D8141B" w:rsidRPr="00741EC9" w:rsidRDefault="00D8141B" w:rsidP="00741EC9">
      <w:pPr>
        <w:pStyle w:val="BodyText11"/>
        <w:numPr>
          <w:ilvl w:val="0"/>
          <w:numId w:val="0"/>
        </w:numPr>
        <w:tabs>
          <w:tab w:val="left" w:pos="1276"/>
        </w:tabs>
        <w:ind w:left="709"/>
        <w:rPr>
          <w:b/>
          <w:snapToGrid w:val="0"/>
        </w:rPr>
      </w:pPr>
      <w:r w:rsidRPr="00741EC9">
        <w:rPr>
          <w:b/>
          <w:snapToGrid w:val="0"/>
        </w:rPr>
        <w:t xml:space="preserve">a. </w:t>
      </w:r>
      <w:r w:rsidRPr="00741EC9">
        <w:rPr>
          <w:b/>
          <w:snapToGrid w:val="0"/>
        </w:rPr>
        <w:tab/>
        <w:t>Distribution of aggregate scores</w:t>
      </w:r>
    </w:p>
    <w:p w:rsidR="00D8141B" w:rsidRPr="00D8141B" w:rsidRDefault="00D8141B" w:rsidP="00741EC9">
      <w:pPr>
        <w:pStyle w:val="Bulletpoint"/>
        <w:tabs>
          <w:tab w:val="left" w:pos="1701"/>
        </w:tabs>
        <w:ind w:left="1701"/>
        <w:rPr>
          <w:snapToGrid w:val="0"/>
          <w:lang w:val="en-GB"/>
        </w:rPr>
      </w:pPr>
      <w:r w:rsidRPr="00D8141B">
        <w:rPr>
          <w:snapToGrid w:val="0"/>
          <w:lang w:val="en-GB"/>
        </w:rPr>
        <w:t>The lowest aggregate score that can be obtained is: 1+1+1+1+1+1=6.</w:t>
      </w:r>
    </w:p>
    <w:p w:rsidR="00D8141B" w:rsidRPr="00D8141B" w:rsidRDefault="00D8141B" w:rsidP="00741EC9">
      <w:pPr>
        <w:pStyle w:val="Bulletpoint"/>
        <w:tabs>
          <w:tab w:val="left" w:pos="1701"/>
        </w:tabs>
        <w:ind w:left="1701"/>
        <w:rPr>
          <w:snapToGrid w:val="0"/>
          <w:lang w:val="en-GB"/>
        </w:rPr>
      </w:pPr>
      <w:r w:rsidRPr="00D8141B">
        <w:rPr>
          <w:snapToGrid w:val="0"/>
          <w:lang w:val="en-GB"/>
        </w:rPr>
        <w:t xml:space="preserve">The highest aggregate score is 5+5+5+5+5+5= 30. </w:t>
      </w:r>
    </w:p>
    <w:p w:rsidR="00D8141B" w:rsidRPr="00D8141B" w:rsidRDefault="00D8141B" w:rsidP="00741EC9">
      <w:pPr>
        <w:pStyle w:val="Bulletpoint"/>
        <w:tabs>
          <w:tab w:val="left" w:pos="1701"/>
        </w:tabs>
        <w:ind w:left="1701"/>
        <w:rPr>
          <w:snapToGrid w:val="0"/>
          <w:lang w:val="en-GB"/>
        </w:rPr>
      </w:pPr>
      <w:r w:rsidRPr="00D8141B">
        <w:rPr>
          <w:snapToGrid w:val="0"/>
          <w:lang w:val="en-GB"/>
        </w:rPr>
        <w:t xml:space="preserve">The table therefore has aggregate scores ranging from six to 30. </w:t>
      </w:r>
    </w:p>
    <w:p w:rsidR="00D8141B" w:rsidRPr="00D8141B" w:rsidRDefault="00D8141B" w:rsidP="00741EC9">
      <w:pPr>
        <w:pStyle w:val="Bulletpoint"/>
        <w:tabs>
          <w:tab w:val="left" w:pos="1701"/>
        </w:tabs>
        <w:ind w:left="1701"/>
        <w:rPr>
          <w:snapToGrid w:val="0"/>
          <w:lang w:val="en-GB"/>
        </w:rPr>
      </w:pPr>
      <w:r w:rsidRPr="00D8141B">
        <w:rPr>
          <w:snapToGrid w:val="0"/>
          <w:lang w:val="en-GB"/>
        </w:rPr>
        <w:t xml:space="preserve">Each </w:t>
      </w:r>
      <w:r w:rsidRPr="00D8141B">
        <w:rPr>
          <w:rFonts w:ascii="TradeGothic" w:hAnsi="TradeGothic"/>
          <w:snapToGrid w:val="0"/>
          <w:color w:val="000000"/>
          <w:lang w:val="en-US"/>
        </w:rPr>
        <w:t xml:space="preserve">median class score has an impairment range, and a range of possible aggregate scores </w:t>
      </w:r>
      <w:r w:rsidRPr="00D8141B">
        <w:rPr>
          <w:snapToGrid w:val="0"/>
          <w:lang w:val="en-US"/>
        </w:rPr>
        <w:t>(eg class 3 = 11-30 per cent)</w:t>
      </w:r>
      <w:r w:rsidRPr="00D8141B">
        <w:rPr>
          <w:snapToGrid w:val="0"/>
          <w:lang w:val="en-GB"/>
        </w:rPr>
        <w:t>.</w:t>
      </w:r>
    </w:p>
    <w:p w:rsidR="00D8141B" w:rsidRPr="00D8141B" w:rsidRDefault="00D8141B" w:rsidP="00741EC9">
      <w:pPr>
        <w:pStyle w:val="Bulletpoint"/>
        <w:tabs>
          <w:tab w:val="left" w:pos="1701"/>
        </w:tabs>
        <w:ind w:left="1701"/>
        <w:rPr>
          <w:snapToGrid w:val="0"/>
          <w:lang w:val="en-GB"/>
        </w:rPr>
      </w:pPr>
      <w:r w:rsidRPr="00D8141B">
        <w:rPr>
          <w:snapToGrid w:val="0"/>
          <w:lang w:val="en-US"/>
        </w:rPr>
        <w:t>The lowest aggregate score for class 3 is 13 (1 + 1 + 2 + 3 + 3 + 3 = 13).</w:t>
      </w:r>
      <w:r w:rsidRPr="00D8141B">
        <w:rPr>
          <w:snapToGrid w:val="0"/>
          <w:lang w:val="en-GB"/>
        </w:rPr>
        <w:t xml:space="preserve"> </w:t>
      </w:r>
    </w:p>
    <w:p w:rsidR="00D8141B" w:rsidRPr="00D8141B" w:rsidRDefault="00D8141B" w:rsidP="00741EC9">
      <w:pPr>
        <w:pStyle w:val="Bulletpoint"/>
        <w:tabs>
          <w:tab w:val="left" w:pos="1701"/>
        </w:tabs>
        <w:ind w:left="1701"/>
        <w:rPr>
          <w:b/>
          <w:bCs/>
          <w:snapToGrid w:val="0"/>
          <w:lang w:val="en-GB"/>
        </w:rPr>
      </w:pPr>
      <w:r w:rsidRPr="00D8141B">
        <w:rPr>
          <w:snapToGrid w:val="0"/>
          <w:lang w:val="en-US"/>
        </w:rPr>
        <w:t>The highest aggregate score for class 3 is 22 (3 + 3 + 3 + 3 + 5 + 5 = 22).</w:t>
      </w:r>
    </w:p>
    <w:p w:rsidR="00D8141B" w:rsidRPr="00741EC9" w:rsidRDefault="00D8141B" w:rsidP="00741EC9">
      <w:pPr>
        <w:pStyle w:val="Bulletpoint"/>
        <w:tabs>
          <w:tab w:val="left" w:pos="1701"/>
        </w:tabs>
        <w:ind w:left="1701"/>
        <w:rPr>
          <w:b/>
          <w:bCs/>
          <w:snapToGrid w:val="0"/>
          <w:lang w:val="en-GB"/>
        </w:rPr>
      </w:pPr>
      <w:r w:rsidRPr="00D8141B">
        <w:rPr>
          <w:snapToGrid w:val="0"/>
          <w:lang w:val="en-US"/>
        </w:rPr>
        <w:t>The conversion table distributes the impairment percentages across aggregate scores.</w:t>
      </w:r>
    </w:p>
    <w:p w:rsidR="00D8141B" w:rsidRPr="00741EC9" w:rsidRDefault="00D8141B" w:rsidP="00741EC9">
      <w:pPr>
        <w:pStyle w:val="BodyText11"/>
        <w:numPr>
          <w:ilvl w:val="0"/>
          <w:numId w:val="0"/>
        </w:numPr>
        <w:tabs>
          <w:tab w:val="left" w:pos="1276"/>
        </w:tabs>
        <w:ind w:left="709"/>
        <w:rPr>
          <w:b/>
          <w:snapToGrid w:val="0"/>
        </w:rPr>
      </w:pPr>
      <w:r w:rsidRPr="00741EC9">
        <w:rPr>
          <w:b/>
          <w:snapToGrid w:val="0"/>
        </w:rPr>
        <w:t xml:space="preserve">b. </w:t>
      </w:r>
      <w:r w:rsidRPr="00741EC9">
        <w:rPr>
          <w:b/>
          <w:snapToGrid w:val="0"/>
        </w:rPr>
        <w:tab/>
        <w:t>Same aggregate score in different classes</w:t>
      </w:r>
    </w:p>
    <w:p w:rsidR="00D8141B" w:rsidRPr="00D8141B" w:rsidRDefault="00D8141B" w:rsidP="00741EC9">
      <w:pPr>
        <w:pStyle w:val="Bulletpoint"/>
        <w:tabs>
          <w:tab w:val="left" w:pos="1701"/>
        </w:tabs>
        <w:ind w:left="1701"/>
        <w:rPr>
          <w:snapToGrid w:val="0"/>
          <w:lang w:val="en-GB"/>
        </w:rPr>
      </w:pPr>
      <w:r w:rsidRPr="00D8141B">
        <w:rPr>
          <w:snapToGrid w:val="0"/>
          <w:lang w:val="en-US"/>
        </w:rPr>
        <w:t>The conversion table shows that the same aggregate score leads to different percentages of impairment in different median classes</w:t>
      </w:r>
      <w:r w:rsidRPr="00D8141B">
        <w:rPr>
          <w:snapToGrid w:val="0"/>
          <w:lang w:val="en-GB"/>
        </w:rPr>
        <w:t xml:space="preserve">. </w:t>
      </w:r>
    </w:p>
    <w:p w:rsidR="00D8141B" w:rsidRPr="00D8141B" w:rsidRDefault="00D8141B" w:rsidP="00741EC9">
      <w:pPr>
        <w:pStyle w:val="Bulletpoint"/>
        <w:tabs>
          <w:tab w:val="left" w:pos="1701"/>
        </w:tabs>
        <w:ind w:left="1701"/>
        <w:rPr>
          <w:snapToGrid w:val="0"/>
          <w:lang w:val="en-GB"/>
        </w:rPr>
      </w:pPr>
      <w:r w:rsidRPr="00D8141B">
        <w:rPr>
          <w:snapToGrid w:val="0"/>
          <w:lang w:val="en-GB"/>
        </w:rPr>
        <w:t xml:space="preserve">For example, an aggregate score of 18 is equivalent to an impairment rating of </w:t>
      </w:r>
    </w:p>
    <w:p w:rsidR="00D8141B" w:rsidRPr="00D8141B" w:rsidRDefault="00D8141B" w:rsidP="0081060E">
      <w:pPr>
        <w:pStyle w:val="Bulletpoint"/>
        <w:numPr>
          <w:ilvl w:val="1"/>
          <w:numId w:val="41"/>
        </w:numPr>
        <w:tabs>
          <w:tab w:val="left" w:pos="2127"/>
        </w:tabs>
        <w:ind w:left="2127" w:hanging="426"/>
        <w:rPr>
          <w:snapToGrid w:val="0"/>
          <w:lang w:val="en-GB"/>
        </w:rPr>
      </w:pPr>
      <w:r w:rsidRPr="00D8141B">
        <w:rPr>
          <w:snapToGrid w:val="0"/>
          <w:lang w:val="en-GB"/>
        </w:rPr>
        <w:t>10% in Class 2,</w:t>
      </w:r>
    </w:p>
    <w:p w:rsidR="00D8141B" w:rsidRPr="00D8141B" w:rsidRDefault="00D8141B" w:rsidP="0081060E">
      <w:pPr>
        <w:pStyle w:val="Bulletpoint"/>
        <w:numPr>
          <w:ilvl w:val="1"/>
          <w:numId w:val="41"/>
        </w:numPr>
        <w:tabs>
          <w:tab w:val="left" w:pos="2127"/>
        </w:tabs>
        <w:ind w:left="2127" w:hanging="426"/>
        <w:rPr>
          <w:snapToGrid w:val="0"/>
          <w:lang w:val="en-GB"/>
        </w:rPr>
      </w:pPr>
      <w:r w:rsidRPr="00D8141B">
        <w:rPr>
          <w:snapToGrid w:val="0"/>
          <w:lang w:val="en-GB"/>
        </w:rPr>
        <w:t>22% in Class 3,</w:t>
      </w:r>
    </w:p>
    <w:p w:rsidR="00D8141B" w:rsidRPr="00D8141B" w:rsidRDefault="00D8141B" w:rsidP="0081060E">
      <w:pPr>
        <w:pStyle w:val="Bulletpoint"/>
        <w:numPr>
          <w:ilvl w:val="1"/>
          <w:numId w:val="41"/>
        </w:numPr>
        <w:tabs>
          <w:tab w:val="left" w:pos="2127"/>
        </w:tabs>
        <w:ind w:left="2127" w:hanging="426"/>
        <w:rPr>
          <w:snapToGrid w:val="0"/>
          <w:lang w:val="en-GB"/>
        </w:rPr>
      </w:pPr>
      <w:r w:rsidRPr="00D8141B">
        <w:rPr>
          <w:snapToGrid w:val="0"/>
          <w:lang w:val="en-GB"/>
        </w:rPr>
        <w:t xml:space="preserve">34% in Class 4. </w:t>
      </w:r>
    </w:p>
    <w:p w:rsidR="00D8141B" w:rsidRPr="00D8141B" w:rsidRDefault="00D8141B" w:rsidP="00741EC9">
      <w:pPr>
        <w:pStyle w:val="Bulletpoint"/>
        <w:keepNext w:val="0"/>
        <w:tabs>
          <w:tab w:val="left" w:pos="1701"/>
        </w:tabs>
        <w:ind w:left="1701"/>
        <w:rPr>
          <w:snapToGrid w:val="0"/>
          <w:lang w:val="en-GB"/>
        </w:rPr>
      </w:pPr>
      <w:r w:rsidRPr="00D8141B">
        <w:rPr>
          <w:snapToGrid w:val="0"/>
          <w:lang w:val="en-US"/>
        </w:rPr>
        <w:t>This is due to the fact that an injured worker whose impairment is in median class 2 is likely to have a lower score across most areas of function. They may be significantly impaired in one aspect of their life, such as travel, yet have low impairment in social function, self-care or concentration</w:t>
      </w:r>
      <w:r w:rsidRPr="00D8141B">
        <w:rPr>
          <w:snapToGrid w:val="0"/>
          <w:lang w:val="en-GB"/>
        </w:rPr>
        <w:t xml:space="preserve">. </w:t>
      </w:r>
    </w:p>
    <w:p w:rsidR="00D8141B" w:rsidRPr="00D8141B" w:rsidRDefault="00D8141B" w:rsidP="00741EC9">
      <w:pPr>
        <w:pStyle w:val="Bulletpoint"/>
        <w:keepNext w:val="0"/>
        <w:tabs>
          <w:tab w:val="left" w:pos="1701"/>
        </w:tabs>
        <w:ind w:left="1701"/>
        <w:rPr>
          <w:snapToGrid w:val="0"/>
          <w:lang w:val="en-GB"/>
        </w:rPr>
      </w:pPr>
      <w:r w:rsidRPr="00D8141B">
        <w:rPr>
          <w:snapToGrid w:val="0"/>
          <w:lang w:val="en-US"/>
        </w:rPr>
        <w:t>Someone whose impairment reaches median class 4 will experience significant impairment across most aspects of his or her life.</w:t>
      </w:r>
    </w:p>
    <w:p w:rsidR="00D8141B" w:rsidRPr="00D8141B" w:rsidRDefault="00D8141B" w:rsidP="00741EC9">
      <w:pPr>
        <w:pStyle w:val="Heading3"/>
        <w:keepNext w:val="0"/>
      </w:pPr>
      <w:bookmarkStart w:id="268" w:name="_Toc144874733"/>
      <w:bookmarkStart w:id="269" w:name="_Toc144875322"/>
      <w:r w:rsidRPr="00D8141B">
        <w:t>Examples: (Using the previous cases)</w:t>
      </w:r>
      <w:bookmarkEnd w:id="268"/>
      <w:bookmarkEnd w:id="269"/>
    </w:p>
    <w:p w:rsidR="00D8141B" w:rsidRPr="00D8141B" w:rsidRDefault="00D8141B" w:rsidP="00980036">
      <w:pPr>
        <w:spacing w:after="0" w:line="240" w:lineRule="auto"/>
        <w:outlineLvl w:val="2"/>
        <w:rPr>
          <w:rFonts w:eastAsia="Times New Roman" w:cs="Arial"/>
          <w:b/>
          <w:bCs/>
          <w:szCs w:val="20"/>
          <w:lang w:val="en-US"/>
        </w:rPr>
      </w:pPr>
      <w:bookmarkStart w:id="270" w:name="_Toc144874734"/>
      <w:bookmarkStart w:id="271" w:name="_Toc144875323"/>
      <w:r w:rsidRPr="00D8141B">
        <w:rPr>
          <w:rFonts w:eastAsia="Times New Roman" w:cs="Arial"/>
          <w:b/>
          <w:bCs/>
          <w:szCs w:val="20"/>
          <w:lang w:val="en-US"/>
        </w:rPr>
        <w:t>Example A</w:t>
      </w:r>
      <w:bookmarkEnd w:id="270"/>
      <w:bookmarkEnd w:id="271"/>
    </w:p>
    <w:p w:rsidR="00D8141B" w:rsidRPr="00D8141B" w:rsidRDefault="00D8141B" w:rsidP="00980036">
      <w:pPr>
        <w:keepNext/>
        <w:keepLines/>
        <w:tabs>
          <w:tab w:val="left" w:pos="7371"/>
        </w:tabs>
        <w:spacing w:before="120" w:after="120" w:line="240" w:lineRule="auto"/>
        <w:ind w:left="709"/>
        <w:outlineLvl w:val="3"/>
        <w:rPr>
          <w:rFonts w:eastAsia="Times New Roman" w:cs="Arial"/>
          <w:szCs w:val="20"/>
          <w:lang w:val="en-GB"/>
        </w:rPr>
      </w:pPr>
      <w:bookmarkStart w:id="272" w:name="_Toc144874735"/>
      <w:bookmarkStart w:id="273" w:name="_Toc144875324"/>
      <w:r w:rsidRPr="00D8141B">
        <w:rPr>
          <w:rFonts w:eastAsia="Times New Roman" w:cs="Arial"/>
          <w:b/>
          <w:bCs/>
          <w:szCs w:val="20"/>
          <w:lang w:val="en-GB"/>
        </w:rPr>
        <w:t>PIRS scores</w:t>
      </w:r>
      <w:r w:rsidRPr="00D8141B">
        <w:rPr>
          <w:rFonts w:eastAsia="Times New Roman" w:cs="Arial"/>
          <w:szCs w:val="20"/>
          <w:lang w:val="en-GB"/>
        </w:rPr>
        <w:tab/>
        <w:t xml:space="preserve"> </w:t>
      </w:r>
      <w:r w:rsidRPr="00D8141B">
        <w:rPr>
          <w:rFonts w:eastAsia="Times New Roman" w:cs="Arial"/>
          <w:b/>
          <w:bCs/>
          <w:szCs w:val="20"/>
          <w:lang w:val="en-GB"/>
        </w:rPr>
        <w:t>Median class</w:t>
      </w:r>
      <w:bookmarkEnd w:id="272"/>
      <w:bookmarkEnd w:id="273"/>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60"/>
        <w:gridCol w:w="960"/>
        <w:gridCol w:w="960"/>
        <w:gridCol w:w="960"/>
        <w:gridCol w:w="960"/>
        <w:gridCol w:w="960"/>
        <w:gridCol w:w="960"/>
      </w:tblGrid>
      <w:tr w:rsidR="00D8141B" w:rsidRPr="00D8141B" w:rsidTr="00741EC9">
        <w:tc>
          <w:tcPr>
            <w:tcW w:w="960" w:type="dxa"/>
            <w:vAlign w:val="center"/>
          </w:tcPr>
          <w:p w:rsidR="00D8141B" w:rsidRPr="00D8141B" w:rsidRDefault="00D8141B" w:rsidP="00D8141B">
            <w:pPr>
              <w:keepNext/>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1</w:t>
            </w:r>
          </w:p>
        </w:tc>
        <w:tc>
          <w:tcPr>
            <w:tcW w:w="960" w:type="dxa"/>
            <w:tcBorders>
              <w:right w:val="single" w:sz="18" w:space="0" w:color="auto"/>
            </w:tcBorders>
            <w:vAlign w:val="center"/>
          </w:tcPr>
          <w:p w:rsidR="00D8141B" w:rsidRPr="00D8141B" w:rsidRDefault="00D8141B" w:rsidP="00D8141B">
            <w:pPr>
              <w:keepNext/>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2</w:t>
            </w:r>
          </w:p>
        </w:tc>
        <w:tc>
          <w:tcPr>
            <w:tcW w:w="960" w:type="dxa"/>
            <w:tcBorders>
              <w:top w:val="single" w:sz="18" w:space="0" w:color="auto"/>
              <w:left w:val="single" w:sz="18" w:space="0" w:color="auto"/>
              <w:bottom w:val="single" w:sz="18" w:space="0" w:color="auto"/>
              <w:right w:val="single" w:sz="18" w:space="0" w:color="auto"/>
            </w:tcBorders>
            <w:vAlign w:val="center"/>
          </w:tcPr>
          <w:p w:rsidR="00D8141B" w:rsidRPr="00D8141B" w:rsidRDefault="00D8141B" w:rsidP="00D8141B">
            <w:pPr>
              <w:keepNext/>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3</w:t>
            </w:r>
          </w:p>
        </w:tc>
        <w:tc>
          <w:tcPr>
            <w:tcW w:w="960" w:type="dxa"/>
            <w:tcBorders>
              <w:top w:val="single" w:sz="18" w:space="0" w:color="auto"/>
              <w:left w:val="single" w:sz="18" w:space="0" w:color="auto"/>
              <w:bottom w:val="single" w:sz="18" w:space="0" w:color="auto"/>
              <w:right w:val="single" w:sz="18" w:space="0" w:color="auto"/>
            </w:tcBorders>
            <w:vAlign w:val="center"/>
          </w:tcPr>
          <w:p w:rsidR="00D8141B" w:rsidRPr="00D8141B" w:rsidRDefault="00D8141B" w:rsidP="00D8141B">
            <w:pPr>
              <w:keepNext/>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3</w:t>
            </w:r>
          </w:p>
        </w:tc>
        <w:tc>
          <w:tcPr>
            <w:tcW w:w="960" w:type="dxa"/>
            <w:tcBorders>
              <w:left w:val="single" w:sz="18" w:space="0" w:color="auto"/>
            </w:tcBorders>
            <w:vAlign w:val="center"/>
          </w:tcPr>
          <w:p w:rsidR="00D8141B" w:rsidRPr="00D8141B" w:rsidRDefault="00D8141B" w:rsidP="00D8141B">
            <w:pPr>
              <w:keepNext/>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4</w:t>
            </w:r>
          </w:p>
        </w:tc>
        <w:tc>
          <w:tcPr>
            <w:tcW w:w="960" w:type="dxa"/>
            <w:vAlign w:val="center"/>
          </w:tcPr>
          <w:p w:rsidR="00D8141B" w:rsidRPr="00D8141B" w:rsidRDefault="00D8141B" w:rsidP="00D8141B">
            <w:pPr>
              <w:keepNext/>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5</w:t>
            </w:r>
          </w:p>
        </w:tc>
        <w:tc>
          <w:tcPr>
            <w:tcW w:w="960" w:type="dxa"/>
            <w:tcBorders>
              <w:top w:val="nil"/>
              <w:bottom w:val="nil"/>
            </w:tcBorders>
            <w:vAlign w:val="center"/>
          </w:tcPr>
          <w:p w:rsidR="00D8141B" w:rsidRPr="00D8141B" w:rsidRDefault="00D8141B" w:rsidP="00D8141B">
            <w:pPr>
              <w:keepNext/>
              <w:keepLines/>
              <w:widowControl w:val="0"/>
              <w:spacing w:before="40" w:after="40" w:line="240" w:lineRule="auto"/>
              <w:jc w:val="center"/>
              <w:rPr>
                <w:rFonts w:eastAsia="Times New Roman" w:cs="Arial"/>
                <w:snapToGrid w:val="0"/>
                <w:szCs w:val="20"/>
                <w:lang w:val="en-GB"/>
              </w:rPr>
            </w:pPr>
          </w:p>
        </w:tc>
        <w:tc>
          <w:tcPr>
            <w:tcW w:w="960" w:type="dxa"/>
            <w:vAlign w:val="center"/>
          </w:tcPr>
          <w:p w:rsidR="00D8141B" w:rsidRPr="00D8141B" w:rsidRDefault="00D8141B" w:rsidP="00D8141B">
            <w:pPr>
              <w:keepNext/>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 3</w:t>
            </w:r>
          </w:p>
        </w:tc>
      </w:tr>
    </w:tbl>
    <w:p w:rsidR="00D8141B" w:rsidRPr="00D8141B" w:rsidRDefault="00D8141B" w:rsidP="00980036">
      <w:pPr>
        <w:keepNext/>
        <w:keepLines/>
        <w:tabs>
          <w:tab w:val="left" w:pos="6521"/>
          <w:tab w:val="left" w:pos="7371"/>
        </w:tabs>
        <w:spacing w:before="240" w:after="120" w:line="240" w:lineRule="auto"/>
        <w:ind w:left="709"/>
        <w:outlineLvl w:val="3"/>
        <w:rPr>
          <w:rFonts w:eastAsia="Times New Roman" w:cs="Arial"/>
          <w:szCs w:val="20"/>
          <w:lang w:val="en-GB"/>
        </w:rPr>
      </w:pPr>
      <w:bookmarkStart w:id="274" w:name="_Toc144874736"/>
      <w:bookmarkStart w:id="275" w:name="_Toc144875325"/>
      <w:r w:rsidRPr="00D8141B">
        <w:rPr>
          <w:rFonts w:eastAsia="Times New Roman" w:cs="Arial"/>
          <w:b/>
          <w:bCs/>
          <w:szCs w:val="20"/>
          <w:lang w:val="en-GB"/>
        </w:rPr>
        <w:t>Aggregate score</w:t>
      </w:r>
      <w:r w:rsidRPr="00D8141B">
        <w:rPr>
          <w:rFonts w:eastAsia="Times New Roman" w:cs="Arial"/>
          <w:szCs w:val="20"/>
          <w:lang w:val="en-GB"/>
        </w:rPr>
        <w:tab/>
        <w:t xml:space="preserve"> </w:t>
      </w:r>
      <w:r w:rsidRPr="00D8141B">
        <w:rPr>
          <w:rFonts w:eastAsia="Times New Roman" w:cs="Arial"/>
          <w:b/>
          <w:bCs/>
          <w:szCs w:val="20"/>
          <w:lang w:val="en-GB"/>
        </w:rPr>
        <w:t xml:space="preserve">Total </w:t>
      </w:r>
      <w:r w:rsidRPr="00D8141B">
        <w:rPr>
          <w:rFonts w:eastAsia="Times New Roman" w:cs="Arial"/>
          <w:b/>
          <w:bCs/>
          <w:szCs w:val="20"/>
          <w:lang w:val="en-GB"/>
        </w:rPr>
        <w:tab/>
        <w:t>% Impairment</w:t>
      </w:r>
      <w:bookmarkEnd w:id="274"/>
      <w:bookmarkEnd w:id="275"/>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60"/>
        <w:gridCol w:w="960"/>
        <w:gridCol w:w="960"/>
        <w:gridCol w:w="960"/>
        <w:gridCol w:w="960"/>
        <w:gridCol w:w="960"/>
        <w:gridCol w:w="960"/>
      </w:tblGrid>
      <w:tr w:rsidR="00D8141B" w:rsidRPr="00D8141B" w:rsidTr="00741EC9">
        <w:tc>
          <w:tcPr>
            <w:tcW w:w="960" w:type="dxa"/>
            <w:tcBorders>
              <w:top w:val="single" w:sz="4" w:space="0" w:color="auto"/>
              <w:bottom w:val="single" w:sz="4" w:space="0" w:color="auto"/>
              <w:right w:val="single" w:sz="4" w:space="0" w:color="auto"/>
            </w:tcBorders>
            <w:vAlign w:val="center"/>
          </w:tcPr>
          <w:p w:rsidR="00D8141B" w:rsidRPr="00D8141B" w:rsidRDefault="00D8141B" w:rsidP="00741EC9">
            <w:pPr>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1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741EC9">
            <w:pPr>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2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741EC9">
            <w:pPr>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3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741EC9">
            <w:pPr>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3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741EC9">
            <w:pPr>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4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741EC9">
            <w:pPr>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5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741EC9">
            <w:pPr>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18</w:t>
            </w:r>
          </w:p>
        </w:tc>
        <w:tc>
          <w:tcPr>
            <w:tcW w:w="960" w:type="dxa"/>
            <w:tcBorders>
              <w:top w:val="single" w:sz="4" w:space="0" w:color="auto"/>
              <w:left w:val="single" w:sz="4" w:space="0" w:color="auto"/>
              <w:bottom w:val="single" w:sz="4" w:space="0" w:color="auto"/>
            </w:tcBorders>
            <w:vAlign w:val="center"/>
          </w:tcPr>
          <w:p w:rsidR="00D8141B" w:rsidRPr="00D8141B" w:rsidRDefault="00D8141B" w:rsidP="00741EC9">
            <w:pPr>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22%</w:t>
            </w:r>
          </w:p>
        </w:tc>
      </w:tr>
    </w:tbl>
    <w:p w:rsidR="00D8141B" w:rsidRPr="00D8141B" w:rsidRDefault="00D8141B" w:rsidP="00980036">
      <w:pPr>
        <w:spacing w:before="240" w:after="120" w:line="240" w:lineRule="auto"/>
        <w:outlineLvl w:val="2"/>
        <w:rPr>
          <w:rFonts w:eastAsia="Times New Roman" w:cs="Arial"/>
          <w:b/>
          <w:bCs/>
          <w:szCs w:val="20"/>
          <w:lang w:val="en-US"/>
        </w:rPr>
      </w:pPr>
      <w:bookmarkStart w:id="276" w:name="_Toc144874737"/>
      <w:bookmarkStart w:id="277" w:name="_Toc144875326"/>
      <w:r w:rsidRPr="00D8141B">
        <w:rPr>
          <w:rFonts w:eastAsia="Times New Roman" w:cs="Arial"/>
          <w:b/>
          <w:bCs/>
          <w:szCs w:val="20"/>
          <w:lang w:val="en-US"/>
        </w:rPr>
        <w:lastRenderedPageBreak/>
        <w:t>Example B</w:t>
      </w:r>
      <w:bookmarkEnd w:id="276"/>
      <w:bookmarkEnd w:id="277"/>
    </w:p>
    <w:p w:rsidR="00D8141B" w:rsidRPr="00D8141B" w:rsidRDefault="00D8141B" w:rsidP="00980036">
      <w:pPr>
        <w:keepNext/>
        <w:tabs>
          <w:tab w:val="left" w:pos="7371"/>
        </w:tabs>
        <w:spacing w:before="120" w:after="120" w:line="240" w:lineRule="auto"/>
        <w:ind w:left="709"/>
        <w:outlineLvl w:val="3"/>
        <w:rPr>
          <w:rFonts w:eastAsia="Times New Roman" w:cs="Arial"/>
          <w:szCs w:val="20"/>
          <w:lang w:val="en-GB"/>
        </w:rPr>
      </w:pPr>
      <w:bookmarkStart w:id="278" w:name="_Toc144874738"/>
      <w:bookmarkStart w:id="279" w:name="_Toc144875327"/>
      <w:r w:rsidRPr="00D8141B">
        <w:rPr>
          <w:rFonts w:eastAsia="Times New Roman" w:cs="Arial"/>
          <w:b/>
          <w:bCs/>
          <w:szCs w:val="20"/>
          <w:lang w:val="en-GB"/>
        </w:rPr>
        <w:t>PIRS scores</w:t>
      </w:r>
      <w:r w:rsidRPr="00D8141B">
        <w:rPr>
          <w:rFonts w:eastAsia="Times New Roman" w:cs="Arial"/>
          <w:szCs w:val="20"/>
          <w:lang w:val="en-GB"/>
        </w:rPr>
        <w:tab/>
        <w:t xml:space="preserve"> </w:t>
      </w:r>
      <w:r w:rsidRPr="00D8141B">
        <w:rPr>
          <w:rFonts w:eastAsia="Times New Roman" w:cs="Arial"/>
          <w:b/>
          <w:bCs/>
          <w:szCs w:val="20"/>
          <w:lang w:val="en-GB"/>
        </w:rPr>
        <w:t>Median class</w:t>
      </w:r>
      <w:bookmarkEnd w:id="278"/>
      <w:bookmarkEnd w:id="279"/>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60"/>
        <w:gridCol w:w="960"/>
        <w:gridCol w:w="960"/>
        <w:gridCol w:w="960"/>
        <w:gridCol w:w="960"/>
        <w:gridCol w:w="960"/>
        <w:gridCol w:w="960"/>
      </w:tblGrid>
      <w:tr w:rsidR="00D8141B" w:rsidRPr="00D8141B" w:rsidTr="00741EC9">
        <w:tc>
          <w:tcPr>
            <w:tcW w:w="960" w:type="dxa"/>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1</w:t>
            </w:r>
          </w:p>
        </w:tc>
        <w:tc>
          <w:tcPr>
            <w:tcW w:w="960" w:type="dxa"/>
            <w:tcBorders>
              <w:right w:val="single" w:sz="18"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2</w:t>
            </w:r>
          </w:p>
        </w:tc>
        <w:tc>
          <w:tcPr>
            <w:tcW w:w="960" w:type="dxa"/>
            <w:tcBorders>
              <w:top w:val="single" w:sz="18" w:space="0" w:color="auto"/>
              <w:left w:val="single" w:sz="18" w:space="0" w:color="auto"/>
              <w:bottom w:val="single" w:sz="18" w:space="0" w:color="auto"/>
              <w:right w:val="single" w:sz="18"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2</w:t>
            </w:r>
          </w:p>
        </w:tc>
        <w:tc>
          <w:tcPr>
            <w:tcW w:w="960" w:type="dxa"/>
            <w:tcBorders>
              <w:top w:val="single" w:sz="18" w:space="0" w:color="auto"/>
              <w:left w:val="single" w:sz="18" w:space="0" w:color="auto"/>
              <w:bottom w:val="single" w:sz="18" w:space="0" w:color="auto"/>
              <w:right w:val="single" w:sz="18"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3</w:t>
            </w:r>
          </w:p>
        </w:tc>
        <w:tc>
          <w:tcPr>
            <w:tcW w:w="960" w:type="dxa"/>
            <w:tcBorders>
              <w:left w:val="single" w:sz="18"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3</w:t>
            </w:r>
          </w:p>
        </w:tc>
        <w:tc>
          <w:tcPr>
            <w:tcW w:w="960" w:type="dxa"/>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4</w:t>
            </w:r>
          </w:p>
        </w:tc>
        <w:tc>
          <w:tcPr>
            <w:tcW w:w="960" w:type="dxa"/>
            <w:tcBorders>
              <w:top w:val="nil"/>
              <w:bottom w:val="nil"/>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p>
        </w:tc>
        <w:tc>
          <w:tcPr>
            <w:tcW w:w="960" w:type="dxa"/>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 3</w:t>
            </w:r>
          </w:p>
        </w:tc>
      </w:tr>
    </w:tbl>
    <w:p w:rsidR="00D8141B" w:rsidRPr="00D8141B" w:rsidRDefault="00D8141B" w:rsidP="00980036">
      <w:pPr>
        <w:keepNext/>
        <w:tabs>
          <w:tab w:val="left" w:pos="6521"/>
          <w:tab w:val="left" w:pos="7371"/>
        </w:tabs>
        <w:spacing w:before="120" w:after="120" w:line="240" w:lineRule="auto"/>
        <w:ind w:left="851"/>
        <w:outlineLvl w:val="3"/>
        <w:rPr>
          <w:rFonts w:eastAsia="Times New Roman" w:cs="Arial"/>
          <w:szCs w:val="20"/>
          <w:lang w:val="en-GB"/>
        </w:rPr>
      </w:pPr>
      <w:bookmarkStart w:id="280" w:name="_Toc144874739"/>
      <w:bookmarkStart w:id="281" w:name="_Toc144875328"/>
      <w:r w:rsidRPr="00D8141B">
        <w:rPr>
          <w:rFonts w:eastAsia="Times New Roman" w:cs="Arial"/>
          <w:b/>
          <w:bCs/>
          <w:szCs w:val="20"/>
          <w:lang w:val="en-GB"/>
        </w:rPr>
        <w:t>Aggregate score</w:t>
      </w:r>
      <w:r w:rsidRPr="00D8141B">
        <w:rPr>
          <w:rFonts w:eastAsia="Times New Roman" w:cs="Arial"/>
          <w:szCs w:val="20"/>
          <w:lang w:val="en-GB"/>
        </w:rPr>
        <w:tab/>
        <w:t xml:space="preserve"> </w:t>
      </w:r>
      <w:r w:rsidRPr="00D8141B">
        <w:rPr>
          <w:rFonts w:eastAsia="Times New Roman" w:cs="Arial"/>
          <w:b/>
          <w:bCs/>
          <w:szCs w:val="20"/>
          <w:lang w:val="en-GB"/>
        </w:rPr>
        <w:t xml:space="preserve">Total </w:t>
      </w:r>
      <w:r w:rsidRPr="00D8141B">
        <w:rPr>
          <w:rFonts w:eastAsia="Times New Roman" w:cs="Arial"/>
          <w:b/>
          <w:bCs/>
          <w:szCs w:val="20"/>
          <w:lang w:val="en-GB"/>
        </w:rPr>
        <w:tab/>
        <w:t>% Impairment</w:t>
      </w:r>
      <w:bookmarkEnd w:id="280"/>
      <w:bookmarkEnd w:id="281"/>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60"/>
        <w:gridCol w:w="960"/>
        <w:gridCol w:w="960"/>
        <w:gridCol w:w="960"/>
        <w:gridCol w:w="960"/>
        <w:gridCol w:w="960"/>
        <w:gridCol w:w="960"/>
      </w:tblGrid>
      <w:tr w:rsidR="00D8141B" w:rsidRPr="00D8141B" w:rsidTr="00741EC9">
        <w:tc>
          <w:tcPr>
            <w:tcW w:w="960" w:type="dxa"/>
            <w:tcBorders>
              <w:top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1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2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2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3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3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4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15</w:t>
            </w:r>
          </w:p>
        </w:tc>
        <w:tc>
          <w:tcPr>
            <w:tcW w:w="960" w:type="dxa"/>
            <w:tcBorders>
              <w:top w:val="single" w:sz="4" w:space="0" w:color="auto"/>
              <w:left w:val="single" w:sz="4" w:space="0" w:color="auto"/>
              <w:bottom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15%</w:t>
            </w:r>
          </w:p>
        </w:tc>
      </w:tr>
    </w:tbl>
    <w:p w:rsidR="00D8141B" w:rsidRPr="00D8141B" w:rsidRDefault="00D8141B" w:rsidP="00980036">
      <w:pPr>
        <w:keepNext/>
        <w:spacing w:before="240" w:after="0" w:line="240" w:lineRule="auto"/>
        <w:outlineLvl w:val="2"/>
        <w:rPr>
          <w:rFonts w:eastAsia="Times New Roman" w:cs="Arial"/>
          <w:b/>
          <w:bCs/>
          <w:szCs w:val="20"/>
          <w:lang w:val="en-US"/>
        </w:rPr>
      </w:pPr>
      <w:bookmarkStart w:id="282" w:name="_Toc144874740"/>
      <w:bookmarkStart w:id="283" w:name="_Toc144875329"/>
      <w:r w:rsidRPr="00D8141B">
        <w:rPr>
          <w:rFonts w:eastAsia="Times New Roman" w:cs="Arial"/>
          <w:b/>
          <w:bCs/>
          <w:szCs w:val="20"/>
          <w:lang w:val="en-US"/>
        </w:rPr>
        <w:t>Example C</w:t>
      </w:r>
      <w:bookmarkEnd w:id="282"/>
      <w:bookmarkEnd w:id="283"/>
    </w:p>
    <w:p w:rsidR="00D8141B" w:rsidRPr="00D8141B" w:rsidRDefault="00D8141B" w:rsidP="00980036">
      <w:pPr>
        <w:keepNext/>
        <w:tabs>
          <w:tab w:val="left" w:pos="7371"/>
        </w:tabs>
        <w:spacing w:before="120" w:after="120" w:line="240" w:lineRule="auto"/>
        <w:ind w:left="709"/>
        <w:outlineLvl w:val="3"/>
        <w:rPr>
          <w:rFonts w:eastAsia="Times New Roman" w:cs="Arial"/>
          <w:szCs w:val="20"/>
          <w:lang w:val="en-GB"/>
        </w:rPr>
      </w:pPr>
      <w:bookmarkStart w:id="284" w:name="_Toc144874741"/>
      <w:bookmarkStart w:id="285" w:name="_Toc144875330"/>
      <w:r w:rsidRPr="00D8141B">
        <w:rPr>
          <w:rFonts w:eastAsia="Times New Roman" w:cs="Arial"/>
          <w:b/>
          <w:bCs/>
          <w:szCs w:val="20"/>
          <w:lang w:val="en-GB"/>
        </w:rPr>
        <w:t>PIRS scores</w:t>
      </w:r>
      <w:r w:rsidRPr="00D8141B">
        <w:rPr>
          <w:rFonts w:eastAsia="Times New Roman" w:cs="Arial"/>
          <w:szCs w:val="20"/>
          <w:lang w:val="en-GB"/>
        </w:rPr>
        <w:tab/>
        <w:t xml:space="preserve"> </w:t>
      </w:r>
      <w:r w:rsidRPr="00D8141B">
        <w:rPr>
          <w:rFonts w:eastAsia="Times New Roman" w:cs="Arial"/>
          <w:b/>
          <w:bCs/>
          <w:szCs w:val="20"/>
          <w:lang w:val="en-GB"/>
        </w:rPr>
        <w:t>Median class</w:t>
      </w:r>
      <w:bookmarkEnd w:id="284"/>
      <w:bookmarkEnd w:id="285"/>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60"/>
        <w:gridCol w:w="960"/>
        <w:gridCol w:w="960"/>
        <w:gridCol w:w="960"/>
        <w:gridCol w:w="960"/>
        <w:gridCol w:w="960"/>
        <w:gridCol w:w="960"/>
      </w:tblGrid>
      <w:tr w:rsidR="00D8141B" w:rsidRPr="00D8141B" w:rsidTr="00741EC9">
        <w:tc>
          <w:tcPr>
            <w:tcW w:w="960" w:type="dxa"/>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1</w:t>
            </w:r>
          </w:p>
        </w:tc>
        <w:tc>
          <w:tcPr>
            <w:tcW w:w="960" w:type="dxa"/>
            <w:tcBorders>
              <w:right w:val="single" w:sz="18"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2</w:t>
            </w:r>
          </w:p>
        </w:tc>
        <w:tc>
          <w:tcPr>
            <w:tcW w:w="960" w:type="dxa"/>
            <w:tcBorders>
              <w:top w:val="single" w:sz="18" w:space="0" w:color="auto"/>
              <w:left w:val="single" w:sz="18" w:space="0" w:color="auto"/>
              <w:bottom w:val="single" w:sz="18" w:space="0" w:color="auto"/>
              <w:right w:val="single" w:sz="18"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3</w:t>
            </w:r>
          </w:p>
        </w:tc>
        <w:tc>
          <w:tcPr>
            <w:tcW w:w="960" w:type="dxa"/>
            <w:tcBorders>
              <w:top w:val="single" w:sz="18" w:space="0" w:color="auto"/>
              <w:left w:val="single" w:sz="18" w:space="0" w:color="auto"/>
              <w:bottom w:val="single" w:sz="18" w:space="0" w:color="auto"/>
              <w:right w:val="single" w:sz="18"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5</w:t>
            </w:r>
          </w:p>
        </w:tc>
        <w:tc>
          <w:tcPr>
            <w:tcW w:w="960" w:type="dxa"/>
            <w:tcBorders>
              <w:left w:val="single" w:sz="18"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5</w:t>
            </w:r>
          </w:p>
        </w:tc>
        <w:tc>
          <w:tcPr>
            <w:tcW w:w="960" w:type="dxa"/>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5</w:t>
            </w:r>
          </w:p>
        </w:tc>
        <w:tc>
          <w:tcPr>
            <w:tcW w:w="960" w:type="dxa"/>
            <w:tcBorders>
              <w:top w:val="nil"/>
              <w:bottom w:val="nil"/>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p>
        </w:tc>
        <w:tc>
          <w:tcPr>
            <w:tcW w:w="960" w:type="dxa"/>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 4</w:t>
            </w:r>
          </w:p>
        </w:tc>
      </w:tr>
    </w:tbl>
    <w:p w:rsidR="00D8141B" w:rsidRPr="00D8141B" w:rsidRDefault="00D8141B" w:rsidP="00980036">
      <w:pPr>
        <w:keepNext/>
        <w:tabs>
          <w:tab w:val="left" w:pos="6521"/>
          <w:tab w:val="left" w:pos="7371"/>
        </w:tabs>
        <w:spacing w:before="120" w:after="120" w:line="240" w:lineRule="auto"/>
        <w:ind w:left="709"/>
        <w:outlineLvl w:val="3"/>
        <w:rPr>
          <w:rFonts w:eastAsia="Times New Roman" w:cs="Arial"/>
          <w:szCs w:val="20"/>
          <w:lang w:val="en-GB"/>
        </w:rPr>
      </w:pPr>
      <w:bookmarkStart w:id="286" w:name="_Toc144874742"/>
      <w:bookmarkStart w:id="287" w:name="_Toc144875331"/>
      <w:r w:rsidRPr="00D8141B">
        <w:rPr>
          <w:rFonts w:eastAsia="Times New Roman" w:cs="Arial"/>
          <w:b/>
          <w:bCs/>
          <w:szCs w:val="20"/>
          <w:lang w:val="en-GB"/>
        </w:rPr>
        <w:t>Aggregate score</w:t>
      </w:r>
      <w:r w:rsidRPr="00D8141B">
        <w:rPr>
          <w:rFonts w:eastAsia="Times New Roman" w:cs="Arial"/>
          <w:szCs w:val="20"/>
          <w:lang w:val="en-GB"/>
        </w:rPr>
        <w:tab/>
        <w:t xml:space="preserve"> </w:t>
      </w:r>
      <w:r w:rsidRPr="00D8141B">
        <w:rPr>
          <w:rFonts w:eastAsia="Times New Roman" w:cs="Arial"/>
          <w:b/>
          <w:bCs/>
          <w:szCs w:val="20"/>
          <w:lang w:val="en-GB"/>
        </w:rPr>
        <w:t xml:space="preserve">Total </w:t>
      </w:r>
      <w:r w:rsidRPr="00D8141B">
        <w:rPr>
          <w:rFonts w:eastAsia="Times New Roman" w:cs="Arial"/>
          <w:b/>
          <w:bCs/>
          <w:szCs w:val="20"/>
          <w:lang w:val="en-GB"/>
        </w:rPr>
        <w:tab/>
        <w:t>% Impairment</w:t>
      </w:r>
      <w:bookmarkEnd w:id="286"/>
      <w:bookmarkEnd w:id="287"/>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60"/>
        <w:gridCol w:w="960"/>
        <w:gridCol w:w="960"/>
        <w:gridCol w:w="960"/>
        <w:gridCol w:w="960"/>
        <w:gridCol w:w="960"/>
        <w:gridCol w:w="960"/>
      </w:tblGrid>
      <w:tr w:rsidR="00D8141B" w:rsidRPr="00D8141B" w:rsidTr="00741EC9">
        <w:tc>
          <w:tcPr>
            <w:tcW w:w="960" w:type="dxa"/>
            <w:tcBorders>
              <w:top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1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2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3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5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5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5 =</w:t>
            </w:r>
          </w:p>
        </w:tc>
        <w:tc>
          <w:tcPr>
            <w:tcW w:w="960" w:type="dxa"/>
            <w:tcBorders>
              <w:top w:val="single" w:sz="4" w:space="0" w:color="auto"/>
              <w:left w:val="single" w:sz="4" w:space="0" w:color="auto"/>
              <w:bottom w:val="single" w:sz="4" w:space="0" w:color="auto"/>
              <w:right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21</w:t>
            </w:r>
          </w:p>
        </w:tc>
        <w:tc>
          <w:tcPr>
            <w:tcW w:w="960" w:type="dxa"/>
            <w:tcBorders>
              <w:top w:val="single" w:sz="4" w:space="0" w:color="auto"/>
              <w:left w:val="single" w:sz="4" w:space="0" w:color="auto"/>
              <w:bottom w:val="single" w:sz="4" w:space="0" w:color="auto"/>
            </w:tcBorders>
            <w:vAlign w:val="center"/>
          </w:tcPr>
          <w:p w:rsidR="00D8141B" w:rsidRPr="00D8141B" w:rsidRDefault="00D8141B" w:rsidP="00D8141B">
            <w:pPr>
              <w:keepLines/>
              <w:widowControl w:val="0"/>
              <w:spacing w:before="40" w:after="40" w:line="240" w:lineRule="auto"/>
              <w:jc w:val="center"/>
              <w:rPr>
                <w:rFonts w:eastAsia="Times New Roman" w:cs="Arial"/>
                <w:snapToGrid w:val="0"/>
                <w:szCs w:val="20"/>
                <w:lang w:val="en-GB"/>
              </w:rPr>
            </w:pPr>
            <w:r w:rsidRPr="00D8141B">
              <w:rPr>
                <w:rFonts w:eastAsia="Times New Roman" w:cs="Arial"/>
                <w:snapToGrid w:val="0"/>
                <w:szCs w:val="20"/>
                <w:lang w:val="en-GB"/>
              </w:rPr>
              <w:t>44%</w:t>
            </w:r>
          </w:p>
        </w:tc>
      </w:tr>
    </w:tbl>
    <w:p w:rsidR="00D8141B" w:rsidRPr="009B0A18" w:rsidRDefault="00D8141B" w:rsidP="00980036">
      <w:pPr>
        <w:spacing w:before="360" w:after="120" w:line="240" w:lineRule="auto"/>
        <w:outlineLvl w:val="2"/>
        <w:rPr>
          <w:rFonts w:eastAsia="Times New Roman" w:cs="Arial"/>
          <w:b/>
          <w:bCs/>
          <w:sz w:val="24"/>
          <w:szCs w:val="24"/>
          <w:lang w:val="en-US"/>
        </w:rPr>
      </w:pPr>
      <w:bookmarkStart w:id="288" w:name="_Toc144874743"/>
      <w:bookmarkStart w:id="289" w:name="_Toc144875332"/>
      <w:r w:rsidRPr="009B0A18">
        <w:rPr>
          <w:rFonts w:eastAsia="Times New Roman" w:cs="Arial"/>
          <w:b/>
          <w:bCs/>
          <w:sz w:val="24"/>
          <w:szCs w:val="24"/>
          <w:lang w:val="en-US"/>
        </w:rPr>
        <w:t>Table 11.8: PIRS rating form</w:t>
      </w:r>
      <w:bookmarkEnd w:id="288"/>
      <w:bookmarkEnd w:id="2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567"/>
        <w:gridCol w:w="1984"/>
        <w:gridCol w:w="2693"/>
        <w:gridCol w:w="2309"/>
      </w:tblGrid>
      <w:tr w:rsidR="00D8141B" w:rsidRPr="00741EC9" w:rsidTr="00741EC9">
        <w:trPr>
          <w:trHeight w:val="280"/>
        </w:trPr>
        <w:tc>
          <w:tcPr>
            <w:tcW w:w="1447" w:type="dxa"/>
          </w:tcPr>
          <w:p w:rsidR="00D8141B" w:rsidRPr="00741EC9" w:rsidRDefault="00D8141B" w:rsidP="00980036">
            <w:pPr>
              <w:widowControl w:val="0"/>
              <w:spacing w:before="10" w:after="10" w:line="240" w:lineRule="auto"/>
              <w:rPr>
                <w:rFonts w:eastAsia="Times New Roman" w:cs="Arial"/>
                <w:snapToGrid w:val="0"/>
                <w:sz w:val="20"/>
                <w:szCs w:val="20"/>
                <w:lang w:val="en-GB"/>
              </w:rPr>
            </w:pPr>
            <w:r w:rsidRPr="00741EC9">
              <w:rPr>
                <w:rFonts w:eastAsia="Times New Roman" w:cs="Arial"/>
                <w:snapToGrid w:val="0"/>
                <w:sz w:val="20"/>
                <w:szCs w:val="20"/>
                <w:lang w:val="en-GB"/>
              </w:rPr>
              <w:t>Name</w:t>
            </w:r>
          </w:p>
        </w:tc>
        <w:tc>
          <w:tcPr>
            <w:tcW w:w="2551" w:type="dxa"/>
            <w:gridSpan w:val="2"/>
          </w:tcPr>
          <w:p w:rsidR="00D8141B" w:rsidRPr="00741EC9" w:rsidRDefault="00D8141B" w:rsidP="00980036">
            <w:pPr>
              <w:widowControl w:val="0"/>
              <w:spacing w:before="10" w:after="10" w:line="240" w:lineRule="auto"/>
              <w:rPr>
                <w:rFonts w:eastAsia="Times New Roman" w:cs="Arial"/>
                <w:snapToGrid w:val="0"/>
                <w:sz w:val="20"/>
                <w:szCs w:val="20"/>
                <w:lang w:val="en-GB"/>
              </w:rPr>
            </w:pPr>
          </w:p>
        </w:tc>
        <w:tc>
          <w:tcPr>
            <w:tcW w:w="2693" w:type="dxa"/>
          </w:tcPr>
          <w:p w:rsidR="00D8141B" w:rsidRPr="00741EC9" w:rsidRDefault="00D8141B" w:rsidP="00980036">
            <w:pPr>
              <w:widowControl w:val="0"/>
              <w:spacing w:before="10" w:after="10" w:line="240" w:lineRule="auto"/>
              <w:rPr>
                <w:rFonts w:eastAsia="Times New Roman" w:cs="Arial"/>
                <w:snapToGrid w:val="0"/>
                <w:sz w:val="20"/>
                <w:szCs w:val="20"/>
                <w:lang w:val="en-GB"/>
              </w:rPr>
            </w:pPr>
            <w:r w:rsidRPr="00741EC9">
              <w:rPr>
                <w:rFonts w:eastAsia="Times New Roman" w:cs="Arial"/>
                <w:snapToGrid w:val="0"/>
                <w:sz w:val="20"/>
                <w:szCs w:val="20"/>
                <w:lang w:val="en-GB"/>
              </w:rPr>
              <w:t xml:space="preserve">Claim reference number </w:t>
            </w:r>
          </w:p>
        </w:tc>
        <w:tc>
          <w:tcPr>
            <w:tcW w:w="2309" w:type="dxa"/>
          </w:tcPr>
          <w:p w:rsidR="00D8141B" w:rsidRPr="00741EC9" w:rsidRDefault="00D8141B" w:rsidP="00980036">
            <w:pPr>
              <w:widowControl w:val="0"/>
              <w:spacing w:before="10" w:after="10" w:line="240" w:lineRule="auto"/>
              <w:rPr>
                <w:rFonts w:eastAsia="Times New Roman" w:cs="Arial"/>
                <w:snapToGrid w:val="0"/>
                <w:sz w:val="20"/>
                <w:szCs w:val="20"/>
                <w:lang w:val="en-GB"/>
              </w:rPr>
            </w:pPr>
          </w:p>
        </w:tc>
      </w:tr>
      <w:tr w:rsidR="00D8141B" w:rsidRPr="00741EC9" w:rsidTr="00741EC9">
        <w:trPr>
          <w:trHeight w:val="280"/>
        </w:trPr>
        <w:tc>
          <w:tcPr>
            <w:tcW w:w="1447" w:type="dxa"/>
          </w:tcPr>
          <w:p w:rsidR="00D8141B" w:rsidRPr="00741EC9" w:rsidRDefault="00D8141B" w:rsidP="00980036">
            <w:pPr>
              <w:widowControl w:val="0"/>
              <w:spacing w:before="10" w:after="10" w:line="240" w:lineRule="auto"/>
              <w:rPr>
                <w:rFonts w:eastAsia="Times New Roman" w:cs="Arial"/>
                <w:snapToGrid w:val="0"/>
                <w:sz w:val="20"/>
                <w:szCs w:val="20"/>
                <w:lang w:val="en-GB"/>
              </w:rPr>
            </w:pPr>
            <w:r w:rsidRPr="00741EC9">
              <w:rPr>
                <w:rFonts w:eastAsia="Times New Roman" w:cs="Arial"/>
                <w:snapToGrid w:val="0"/>
                <w:sz w:val="20"/>
                <w:szCs w:val="20"/>
                <w:lang w:val="en-GB"/>
              </w:rPr>
              <w:t>D.O.B.</w:t>
            </w:r>
          </w:p>
        </w:tc>
        <w:tc>
          <w:tcPr>
            <w:tcW w:w="2551" w:type="dxa"/>
            <w:gridSpan w:val="2"/>
          </w:tcPr>
          <w:p w:rsidR="00D8141B" w:rsidRPr="00741EC9" w:rsidRDefault="00D8141B" w:rsidP="00980036">
            <w:pPr>
              <w:widowControl w:val="0"/>
              <w:spacing w:before="10" w:after="10" w:line="240" w:lineRule="auto"/>
              <w:rPr>
                <w:rFonts w:eastAsia="Times New Roman" w:cs="Arial"/>
                <w:snapToGrid w:val="0"/>
                <w:sz w:val="20"/>
                <w:szCs w:val="20"/>
                <w:lang w:val="en-GB"/>
              </w:rPr>
            </w:pPr>
          </w:p>
        </w:tc>
        <w:tc>
          <w:tcPr>
            <w:tcW w:w="2693" w:type="dxa"/>
          </w:tcPr>
          <w:p w:rsidR="00D8141B" w:rsidRPr="00741EC9" w:rsidRDefault="00D8141B" w:rsidP="00980036">
            <w:pPr>
              <w:widowControl w:val="0"/>
              <w:spacing w:before="10" w:after="10" w:line="240" w:lineRule="auto"/>
              <w:rPr>
                <w:rFonts w:eastAsia="Times New Roman" w:cs="Arial"/>
                <w:snapToGrid w:val="0"/>
                <w:sz w:val="20"/>
                <w:szCs w:val="20"/>
                <w:lang w:val="en-GB"/>
              </w:rPr>
            </w:pPr>
            <w:r w:rsidRPr="00741EC9">
              <w:rPr>
                <w:rFonts w:eastAsia="Times New Roman" w:cs="Arial"/>
                <w:snapToGrid w:val="0"/>
                <w:sz w:val="20"/>
                <w:szCs w:val="20"/>
                <w:lang w:val="en-GB"/>
              </w:rPr>
              <w:t>Age at time of injury</w:t>
            </w:r>
          </w:p>
        </w:tc>
        <w:tc>
          <w:tcPr>
            <w:tcW w:w="2309" w:type="dxa"/>
          </w:tcPr>
          <w:p w:rsidR="00D8141B" w:rsidRPr="00741EC9" w:rsidRDefault="00D8141B" w:rsidP="00980036">
            <w:pPr>
              <w:widowControl w:val="0"/>
              <w:spacing w:before="10" w:after="10" w:line="240" w:lineRule="auto"/>
              <w:rPr>
                <w:rFonts w:eastAsia="Times New Roman" w:cs="Arial"/>
                <w:snapToGrid w:val="0"/>
                <w:sz w:val="20"/>
                <w:szCs w:val="20"/>
                <w:lang w:val="en-GB"/>
              </w:rPr>
            </w:pPr>
          </w:p>
        </w:tc>
      </w:tr>
      <w:tr w:rsidR="00D8141B" w:rsidRPr="00741EC9" w:rsidTr="00741EC9">
        <w:trPr>
          <w:trHeight w:val="280"/>
        </w:trPr>
        <w:tc>
          <w:tcPr>
            <w:tcW w:w="1447" w:type="dxa"/>
          </w:tcPr>
          <w:p w:rsidR="00D8141B" w:rsidRPr="00741EC9" w:rsidRDefault="00D8141B" w:rsidP="00980036">
            <w:pPr>
              <w:widowControl w:val="0"/>
              <w:spacing w:before="10" w:after="10" w:line="240" w:lineRule="auto"/>
              <w:rPr>
                <w:rFonts w:eastAsia="Times New Roman" w:cs="Arial"/>
                <w:snapToGrid w:val="0"/>
                <w:sz w:val="20"/>
                <w:szCs w:val="20"/>
                <w:lang w:val="en-GB"/>
              </w:rPr>
            </w:pPr>
            <w:r w:rsidRPr="00741EC9">
              <w:rPr>
                <w:rFonts w:eastAsia="Times New Roman" w:cs="Arial"/>
                <w:snapToGrid w:val="0"/>
                <w:sz w:val="20"/>
                <w:szCs w:val="20"/>
                <w:lang w:val="en-GB"/>
              </w:rPr>
              <w:t>Date of injury</w:t>
            </w:r>
          </w:p>
        </w:tc>
        <w:tc>
          <w:tcPr>
            <w:tcW w:w="2551" w:type="dxa"/>
            <w:gridSpan w:val="2"/>
          </w:tcPr>
          <w:p w:rsidR="00D8141B" w:rsidRPr="00741EC9" w:rsidRDefault="00D8141B" w:rsidP="00980036">
            <w:pPr>
              <w:widowControl w:val="0"/>
              <w:spacing w:before="10" w:after="10" w:line="240" w:lineRule="auto"/>
              <w:rPr>
                <w:rFonts w:eastAsia="Times New Roman" w:cs="Arial"/>
                <w:snapToGrid w:val="0"/>
                <w:sz w:val="20"/>
                <w:szCs w:val="20"/>
                <w:lang w:val="en-GB"/>
              </w:rPr>
            </w:pPr>
          </w:p>
        </w:tc>
        <w:tc>
          <w:tcPr>
            <w:tcW w:w="2693" w:type="dxa"/>
          </w:tcPr>
          <w:p w:rsidR="00D8141B" w:rsidRPr="00741EC9" w:rsidRDefault="00D8141B" w:rsidP="00980036">
            <w:pPr>
              <w:widowControl w:val="0"/>
              <w:spacing w:before="10" w:after="10" w:line="240" w:lineRule="auto"/>
              <w:rPr>
                <w:rFonts w:eastAsia="Times New Roman" w:cs="Arial"/>
                <w:snapToGrid w:val="0"/>
                <w:sz w:val="20"/>
                <w:szCs w:val="20"/>
                <w:lang w:val="en-GB"/>
              </w:rPr>
            </w:pPr>
            <w:r w:rsidRPr="00741EC9">
              <w:rPr>
                <w:rFonts w:eastAsia="Times New Roman" w:cs="Arial"/>
                <w:snapToGrid w:val="0"/>
                <w:sz w:val="20"/>
                <w:szCs w:val="20"/>
                <w:lang w:val="en-GB"/>
              </w:rPr>
              <w:t xml:space="preserve">Occupation before injury </w:t>
            </w:r>
          </w:p>
        </w:tc>
        <w:tc>
          <w:tcPr>
            <w:tcW w:w="2309" w:type="dxa"/>
          </w:tcPr>
          <w:p w:rsidR="00D8141B" w:rsidRPr="00741EC9" w:rsidRDefault="00D8141B" w:rsidP="00980036">
            <w:pPr>
              <w:widowControl w:val="0"/>
              <w:spacing w:before="10" w:after="10" w:line="240" w:lineRule="auto"/>
              <w:rPr>
                <w:rFonts w:eastAsia="Times New Roman" w:cs="Arial"/>
                <w:snapToGrid w:val="0"/>
                <w:sz w:val="20"/>
                <w:szCs w:val="20"/>
                <w:lang w:val="en-GB"/>
              </w:rPr>
            </w:pPr>
          </w:p>
        </w:tc>
      </w:tr>
      <w:tr w:rsidR="00D8141B" w:rsidRPr="00741EC9" w:rsidTr="00741EC9">
        <w:trPr>
          <w:trHeight w:val="296"/>
        </w:trPr>
        <w:tc>
          <w:tcPr>
            <w:tcW w:w="2014" w:type="dxa"/>
            <w:gridSpan w:val="2"/>
          </w:tcPr>
          <w:p w:rsidR="00D8141B" w:rsidRPr="00741EC9" w:rsidRDefault="00D8141B" w:rsidP="00980036">
            <w:pPr>
              <w:widowControl w:val="0"/>
              <w:spacing w:before="10" w:after="10" w:line="240" w:lineRule="auto"/>
              <w:rPr>
                <w:rFonts w:eastAsia="Times New Roman" w:cs="Arial"/>
                <w:snapToGrid w:val="0"/>
                <w:sz w:val="20"/>
                <w:szCs w:val="20"/>
                <w:lang w:val="en-GB"/>
              </w:rPr>
            </w:pPr>
            <w:r w:rsidRPr="00741EC9">
              <w:rPr>
                <w:rFonts w:eastAsia="Times New Roman" w:cs="Arial"/>
                <w:snapToGrid w:val="0"/>
                <w:sz w:val="20"/>
                <w:szCs w:val="20"/>
                <w:lang w:val="en-GB"/>
              </w:rPr>
              <w:t>Date of assessment</w:t>
            </w:r>
          </w:p>
        </w:tc>
        <w:tc>
          <w:tcPr>
            <w:tcW w:w="1984" w:type="dxa"/>
          </w:tcPr>
          <w:p w:rsidR="00D8141B" w:rsidRPr="00741EC9" w:rsidRDefault="00D8141B" w:rsidP="00980036">
            <w:pPr>
              <w:widowControl w:val="0"/>
              <w:spacing w:before="10" w:after="10" w:line="240" w:lineRule="auto"/>
              <w:rPr>
                <w:rFonts w:eastAsia="Times New Roman" w:cs="Arial"/>
                <w:snapToGrid w:val="0"/>
                <w:sz w:val="20"/>
                <w:szCs w:val="20"/>
                <w:lang w:val="en-GB"/>
              </w:rPr>
            </w:pPr>
          </w:p>
        </w:tc>
        <w:tc>
          <w:tcPr>
            <w:tcW w:w="2693" w:type="dxa"/>
          </w:tcPr>
          <w:p w:rsidR="00D8141B" w:rsidRPr="00741EC9" w:rsidRDefault="00D8141B" w:rsidP="00980036">
            <w:pPr>
              <w:widowControl w:val="0"/>
              <w:spacing w:before="10" w:after="10" w:line="240" w:lineRule="auto"/>
              <w:rPr>
                <w:rFonts w:eastAsia="Times New Roman" w:cs="Arial"/>
                <w:snapToGrid w:val="0"/>
                <w:sz w:val="20"/>
                <w:szCs w:val="20"/>
                <w:lang w:val="en-GB"/>
              </w:rPr>
            </w:pPr>
            <w:r w:rsidRPr="00741EC9">
              <w:rPr>
                <w:rFonts w:eastAsia="Times New Roman" w:cs="Arial"/>
                <w:snapToGrid w:val="0"/>
                <w:sz w:val="20"/>
                <w:szCs w:val="20"/>
                <w:lang w:val="en-GB"/>
              </w:rPr>
              <w:t>Marital status before injury</w:t>
            </w:r>
          </w:p>
        </w:tc>
        <w:tc>
          <w:tcPr>
            <w:tcW w:w="2309" w:type="dxa"/>
          </w:tcPr>
          <w:p w:rsidR="00D8141B" w:rsidRPr="00741EC9" w:rsidRDefault="00D8141B" w:rsidP="00980036">
            <w:pPr>
              <w:widowControl w:val="0"/>
              <w:spacing w:before="10" w:after="10" w:line="240" w:lineRule="auto"/>
              <w:rPr>
                <w:rFonts w:eastAsia="Times New Roman" w:cs="Arial"/>
                <w:snapToGrid w:val="0"/>
                <w:sz w:val="20"/>
                <w:szCs w:val="20"/>
                <w:lang w:val="en-GB"/>
              </w:rPr>
            </w:pPr>
          </w:p>
        </w:tc>
      </w:tr>
    </w:tbl>
    <w:p w:rsidR="00D8141B" w:rsidRPr="00D8141B" w:rsidRDefault="00D8141B" w:rsidP="00980036">
      <w:pPr>
        <w:widowControl w:val="0"/>
        <w:spacing w:before="10" w:after="10" w:line="240" w:lineRule="auto"/>
        <w:rPr>
          <w:rFonts w:eastAsia="Times New Roman" w:cs="Arial"/>
          <w:snapToGrid w:val="0"/>
          <w:sz w:val="1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2858"/>
        <w:gridCol w:w="3420"/>
      </w:tblGrid>
      <w:tr w:rsidR="00D8141B" w:rsidRPr="00980036" w:rsidTr="00980036">
        <w:trPr>
          <w:cantSplit/>
          <w:trHeight w:val="352"/>
        </w:trPr>
        <w:tc>
          <w:tcPr>
            <w:tcW w:w="2722" w:type="dxa"/>
            <w:vMerge w:val="restart"/>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Psychiatric diagnoses</w:t>
            </w:r>
          </w:p>
        </w:tc>
        <w:tc>
          <w:tcPr>
            <w:tcW w:w="2858" w:type="dxa"/>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1.</w:t>
            </w:r>
          </w:p>
        </w:tc>
        <w:tc>
          <w:tcPr>
            <w:tcW w:w="3420" w:type="dxa"/>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2.</w:t>
            </w:r>
          </w:p>
        </w:tc>
      </w:tr>
      <w:tr w:rsidR="00D8141B" w:rsidRPr="00980036" w:rsidTr="00980036">
        <w:trPr>
          <w:cantSplit/>
          <w:trHeight w:val="352"/>
        </w:trPr>
        <w:tc>
          <w:tcPr>
            <w:tcW w:w="2722" w:type="dxa"/>
            <w:vMerge/>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2858" w:type="dxa"/>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3.</w:t>
            </w:r>
          </w:p>
        </w:tc>
        <w:tc>
          <w:tcPr>
            <w:tcW w:w="3420" w:type="dxa"/>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4.</w:t>
            </w:r>
          </w:p>
        </w:tc>
      </w:tr>
      <w:tr w:rsidR="00D8141B" w:rsidRPr="00980036" w:rsidTr="00980036">
        <w:trPr>
          <w:cantSplit/>
          <w:trHeight w:val="352"/>
        </w:trPr>
        <w:tc>
          <w:tcPr>
            <w:tcW w:w="2722" w:type="dxa"/>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Psychiatric treatment</w:t>
            </w:r>
          </w:p>
        </w:tc>
        <w:tc>
          <w:tcPr>
            <w:tcW w:w="6278" w:type="dxa"/>
            <w:gridSpan w:val="2"/>
          </w:tcPr>
          <w:p w:rsidR="00D8141B" w:rsidRPr="00980036" w:rsidRDefault="00D8141B" w:rsidP="00980036">
            <w:pPr>
              <w:widowControl w:val="0"/>
              <w:spacing w:before="10" w:after="10" w:line="240" w:lineRule="auto"/>
              <w:rPr>
                <w:rFonts w:eastAsia="Times New Roman" w:cs="Arial"/>
                <w:snapToGrid w:val="0"/>
                <w:sz w:val="20"/>
                <w:szCs w:val="20"/>
                <w:lang w:val="en-GB"/>
              </w:rPr>
            </w:pPr>
          </w:p>
        </w:tc>
      </w:tr>
      <w:tr w:rsidR="00D8141B" w:rsidRPr="00980036" w:rsidTr="00980036">
        <w:trPr>
          <w:cantSplit/>
          <w:trHeight w:val="352"/>
        </w:trPr>
        <w:tc>
          <w:tcPr>
            <w:tcW w:w="2722" w:type="dxa"/>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 xml:space="preserve">Is impairment permanent? </w:t>
            </w:r>
          </w:p>
        </w:tc>
        <w:tc>
          <w:tcPr>
            <w:tcW w:w="6278" w:type="dxa"/>
            <w:gridSpan w:val="2"/>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 xml:space="preserve">Yes </w:t>
            </w:r>
            <w:r w:rsidRPr="00980036">
              <w:rPr>
                <w:rFonts w:eastAsia="Times New Roman" w:cs="Arial"/>
                <w:snapToGrid w:val="0"/>
                <w:sz w:val="20"/>
                <w:szCs w:val="20"/>
                <w:lang w:val="en-GB"/>
              </w:rPr>
              <w:tab/>
              <w:t xml:space="preserve">No </w:t>
            </w:r>
            <w:r w:rsidRPr="00980036">
              <w:rPr>
                <w:rFonts w:eastAsia="Times New Roman" w:cs="Arial"/>
                <w:snapToGrid w:val="0"/>
                <w:sz w:val="20"/>
                <w:szCs w:val="20"/>
                <w:lang w:val="en-GB"/>
              </w:rPr>
              <w:tab/>
              <w:t>(Circle one)</w:t>
            </w:r>
          </w:p>
        </w:tc>
      </w:tr>
    </w:tbl>
    <w:p w:rsidR="00D8141B" w:rsidRPr="00D8141B" w:rsidRDefault="00D8141B" w:rsidP="00980036">
      <w:pPr>
        <w:widowControl w:val="0"/>
        <w:spacing w:before="10" w:after="10" w:line="240" w:lineRule="auto"/>
        <w:rPr>
          <w:rFonts w:eastAsia="Times New Roman" w:cs="Arial"/>
          <w:snapToGrid w:val="0"/>
          <w:sz w:val="1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0"/>
        <w:gridCol w:w="933"/>
        <w:gridCol w:w="5427"/>
      </w:tblGrid>
      <w:tr w:rsidR="00D8141B" w:rsidRPr="00980036" w:rsidTr="00980036">
        <w:trPr>
          <w:trHeight w:val="363"/>
        </w:trPr>
        <w:tc>
          <w:tcPr>
            <w:tcW w:w="2640" w:type="dxa"/>
          </w:tcPr>
          <w:p w:rsidR="00D8141B" w:rsidRPr="00980036" w:rsidRDefault="00D8141B" w:rsidP="00980036">
            <w:pPr>
              <w:widowControl w:val="0"/>
              <w:spacing w:before="10" w:after="10" w:line="240" w:lineRule="auto"/>
              <w:rPr>
                <w:rFonts w:eastAsia="Times New Roman" w:cs="Arial"/>
                <w:b/>
                <w:snapToGrid w:val="0"/>
                <w:sz w:val="20"/>
                <w:szCs w:val="20"/>
                <w:lang w:val="en-GB"/>
              </w:rPr>
            </w:pPr>
            <w:r w:rsidRPr="00980036">
              <w:rPr>
                <w:rFonts w:eastAsia="Times New Roman" w:cs="Arial"/>
                <w:b/>
                <w:snapToGrid w:val="0"/>
                <w:sz w:val="20"/>
                <w:szCs w:val="20"/>
                <w:lang w:val="en-GB"/>
              </w:rPr>
              <w:t>PIRS category</w:t>
            </w:r>
          </w:p>
        </w:tc>
        <w:tc>
          <w:tcPr>
            <w:tcW w:w="933" w:type="dxa"/>
          </w:tcPr>
          <w:p w:rsidR="00D8141B" w:rsidRPr="00980036" w:rsidRDefault="00D8141B" w:rsidP="00980036">
            <w:pPr>
              <w:widowControl w:val="0"/>
              <w:spacing w:before="10" w:after="10" w:line="240" w:lineRule="auto"/>
              <w:rPr>
                <w:rFonts w:eastAsia="Times New Roman" w:cs="Arial"/>
                <w:b/>
                <w:snapToGrid w:val="0"/>
                <w:sz w:val="20"/>
                <w:szCs w:val="20"/>
                <w:lang w:val="en-GB"/>
              </w:rPr>
            </w:pPr>
            <w:r w:rsidRPr="00980036">
              <w:rPr>
                <w:rFonts w:eastAsia="Times New Roman" w:cs="Arial"/>
                <w:b/>
                <w:snapToGrid w:val="0"/>
                <w:sz w:val="20"/>
                <w:szCs w:val="20"/>
                <w:lang w:val="en-GB"/>
              </w:rPr>
              <w:t>Class</w:t>
            </w:r>
          </w:p>
        </w:tc>
        <w:tc>
          <w:tcPr>
            <w:tcW w:w="5427" w:type="dxa"/>
          </w:tcPr>
          <w:p w:rsidR="00D8141B" w:rsidRPr="00980036" w:rsidRDefault="00D8141B" w:rsidP="00980036">
            <w:pPr>
              <w:widowControl w:val="0"/>
              <w:spacing w:before="10" w:after="10" w:line="240" w:lineRule="auto"/>
              <w:rPr>
                <w:rFonts w:eastAsia="Times New Roman" w:cs="Arial"/>
                <w:b/>
                <w:snapToGrid w:val="0"/>
                <w:sz w:val="20"/>
                <w:szCs w:val="20"/>
                <w:lang w:val="en-GB"/>
              </w:rPr>
            </w:pPr>
            <w:r w:rsidRPr="00980036">
              <w:rPr>
                <w:rFonts w:eastAsia="Times New Roman" w:cs="Arial"/>
                <w:b/>
                <w:snapToGrid w:val="0"/>
                <w:sz w:val="20"/>
                <w:szCs w:val="20"/>
                <w:lang w:val="en-GB"/>
              </w:rPr>
              <w:t>Reason for decision</w:t>
            </w:r>
          </w:p>
        </w:tc>
      </w:tr>
      <w:tr w:rsidR="00980036" w:rsidRPr="00D8141B" w:rsidTr="000E15A2">
        <w:trPr>
          <w:cantSplit/>
          <w:trHeight w:val="270"/>
        </w:trPr>
        <w:tc>
          <w:tcPr>
            <w:tcW w:w="2640"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r>
              <w:rPr>
                <w:rFonts w:eastAsia="Times New Roman" w:cs="Arial"/>
                <w:snapToGrid w:val="0"/>
                <w:sz w:val="20"/>
                <w:szCs w:val="20"/>
                <w:lang w:val="en-GB"/>
              </w:rPr>
              <w:t>Self care and personal hygiene</w:t>
            </w:r>
          </w:p>
        </w:tc>
        <w:tc>
          <w:tcPr>
            <w:tcW w:w="933"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0E15A2">
        <w:trPr>
          <w:cantSplit/>
          <w:trHeight w:val="270"/>
        </w:trPr>
        <w:tc>
          <w:tcPr>
            <w:tcW w:w="2640"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933"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980036">
        <w:trPr>
          <w:cantSplit/>
          <w:trHeight w:val="279"/>
        </w:trPr>
        <w:tc>
          <w:tcPr>
            <w:tcW w:w="2640"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Soc</w:t>
            </w:r>
            <w:r>
              <w:rPr>
                <w:rFonts w:eastAsia="Times New Roman" w:cs="Arial"/>
                <w:snapToGrid w:val="0"/>
                <w:sz w:val="20"/>
                <w:szCs w:val="20"/>
                <w:lang w:val="en-GB"/>
              </w:rPr>
              <w:t>ial and recreational activities</w:t>
            </w:r>
          </w:p>
        </w:tc>
        <w:tc>
          <w:tcPr>
            <w:tcW w:w="933"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980036">
        <w:trPr>
          <w:cantSplit/>
          <w:trHeight w:val="277"/>
        </w:trPr>
        <w:tc>
          <w:tcPr>
            <w:tcW w:w="2640"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933"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980036">
        <w:trPr>
          <w:cantSplit/>
          <w:trHeight w:val="279"/>
        </w:trPr>
        <w:tc>
          <w:tcPr>
            <w:tcW w:w="2640"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r>
              <w:rPr>
                <w:rFonts w:eastAsia="Times New Roman" w:cs="Arial"/>
                <w:snapToGrid w:val="0"/>
                <w:sz w:val="20"/>
                <w:szCs w:val="20"/>
                <w:lang w:val="en-GB"/>
              </w:rPr>
              <w:t>Travel</w:t>
            </w:r>
          </w:p>
        </w:tc>
        <w:tc>
          <w:tcPr>
            <w:tcW w:w="933"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980036">
        <w:trPr>
          <w:cantSplit/>
          <w:trHeight w:val="277"/>
        </w:trPr>
        <w:tc>
          <w:tcPr>
            <w:tcW w:w="2640"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933"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980036">
        <w:trPr>
          <w:cantSplit/>
          <w:trHeight w:val="270"/>
        </w:trPr>
        <w:tc>
          <w:tcPr>
            <w:tcW w:w="2640"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Social</w:t>
            </w:r>
            <w:r>
              <w:rPr>
                <w:rFonts w:eastAsia="Times New Roman" w:cs="Arial"/>
                <w:snapToGrid w:val="0"/>
                <w:sz w:val="20"/>
                <w:szCs w:val="20"/>
                <w:lang w:val="en-GB"/>
              </w:rPr>
              <w:t xml:space="preserve"> functioning</w:t>
            </w:r>
          </w:p>
        </w:tc>
        <w:tc>
          <w:tcPr>
            <w:tcW w:w="933"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980036">
        <w:trPr>
          <w:cantSplit/>
          <w:trHeight w:val="270"/>
        </w:trPr>
        <w:tc>
          <w:tcPr>
            <w:tcW w:w="2640"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933"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980036">
        <w:trPr>
          <w:cantSplit/>
          <w:trHeight w:val="279"/>
        </w:trPr>
        <w:tc>
          <w:tcPr>
            <w:tcW w:w="2640"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Conc</w:t>
            </w:r>
            <w:r>
              <w:rPr>
                <w:rFonts w:eastAsia="Times New Roman" w:cs="Arial"/>
                <w:snapToGrid w:val="0"/>
                <w:sz w:val="20"/>
                <w:szCs w:val="20"/>
                <w:lang w:val="en-GB"/>
              </w:rPr>
              <w:t>entration, persistence and pace</w:t>
            </w:r>
          </w:p>
        </w:tc>
        <w:tc>
          <w:tcPr>
            <w:tcW w:w="933"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980036">
        <w:trPr>
          <w:cantSplit/>
          <w:trHeight w:val="277"/>
        </w:trPr>
        <w:tc>
          <w:tcPr>
            <w:tcW w:w="2640"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933"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980036">
        <w:trPr>
          <w:cantSplit/>
          <w:trHeight w:val="279"/>
        </w:trPr>
        <w:tc>
          <w:tcPr>
            <w:tcW w:w="2640"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Employability</w:t>
            </w:r>
          </w:p>
        </w:tc>
        <w:tc>
          <w:tcPr>
            <w:tcW w:w="933" w:type="dxa"/>
            <w:vMerge w:val="restart"/>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r w:rsidR="00980036" w:rsidRPr="00D8141B" w:rsidTr="00980036">
        <w:trPr>
          <w:cantSplit/>
          <w:trHeight w:val="277"/>
        </w:trPr>
        <w:tc>
          <w:tcPr>
            <w:tcW w:w="2640"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933" w:type="dxa"/>
            <w:vMerge/>
          </w:tcPr>
          <w:p w:rsidR="00980036" w:rsidRPr="00980036" w:rsidRDefault="00980036" w:rsidP="00980036">
            <w:pPr>
              <w:widowControl w:val="0"/>
              <w:spacing w:before="10" w:after="10" w:line="240" w:lineRule="auto"/>
              <w:rPr>
                <w:rFonts w:eastAsia="Times New Roman" w:cs="Arial"/>
                <w:snapToGrid w:val="0"/>
                <w:sz w:val="20"/>
                <w:szCs w:val="20"/>
                <w:lang w:val="en-GB"/>
              </w:rPr>
            </w:pPr>
          </w:p>
        </w:tc>
        <w:tc>
          <w:tcPr>
            <w:tcW w:w="5427" w:type="dxa"/>
          </w:tcPr>
          <w:p w:rsidR="00980036" w:rsidRPr="00980036" w:rsidRDefault="00980036" w:rsidP="00980036">
            <w:pPr>
              <w:widowControl w:val="0"/>
              <w:spacing w:before="10" w:after="10" w:line="240" w:lineRule="auto"/>
              <w:rPr>
                <w:rFonts w:eastAsia="Times New Roman" w:cs="Arial"/>
                <w:snapToGrid w:val="0"/>
                <w:sz w:val="20"/>
                <w:szCs w:val="20"/>
                <w:lang w:val="en-GB"/>
              </w:rPr>
            </w:pPr>
          </w:p>
        </w:tc>
      </w:tr>
    </w:tbl>
    <w:p w:rsidR="00D8141B" w:rsidRPr="00980036" w:rsidRDefault="00D8141B" w:rsidP="00980036">
      <w:pPr>
        <w:widowControl w:val="0"/>
        <w:tabs>
          <w:tab w:val="left" w:pos="7920"/>
        </w:tabs>
        <w:spacing w:before="10" w:after="10" w:line="240" w:lineRule="auto"/>
        <w:ind w:left="142"/>
        <w:rPr>
          <w:rFonts w:eastAsia="Times New Roman" w:cs="Arial"/>
          <w:b/>
          <w:snapToGrid w:val="0"/>
          <w:sz w:val="20"/>
          <w:szCs w:val="20"/>
          <w:lang w:val="en-GB"/>
        </w:rPr>
      </w:pPr>
      <w:r w:rsidRPr="00980036">
        <w:rPr>
          <w:rFonts w:eastAsia="Times New Roman" w:cs="Arial"/>
          <w:b/>
          <w:snapToGrid w:val="0"/>
          <w:sz w:val="20"/>
          <w:szCs w:val="20"/>
          <w:lang w:val="en-GB"/>
        </w:rPr>
        <w:t>Score Class</w:t>
      </w:r>
      <w:r w:rsidRPr="00980036">
        <w:rPr>
          <w:rFonts w:eastAsia="Times New Roman" w:cs="Arial"/>
          <w:b/>
          <w:snapToGrid w:val="0"/>
          <w:sz w:val="20"/>
          <w:szCs w:val="20"/>
          <w:lang w:val="en-GB"/>
        </w:rPr>
        <w:tab/>
        <w:t xml:space="preserve"> Median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1125"/>
        <w:gridCol w:w="1125"/>
        <w:gridCol w:w="1125"/>
        <w:gridCol w:w="1125"/>
        <w:gridCol w:w="1125"/>
        <w:gridCol w:w="1125"/>
        <w:gridCol w:w="1125"/>
      </w:tblGrid>
      <w:tr w:rsidR="00D8141B" w:rsidRPr="00980036" w:rsidTr="003F702E">
        <w:trPr>
          <w:trHeight w:hRule="exact" w:val="320"/>
        </w:trPr>
        <w:tc>
          <w:tcPr>
            <w:tcW w:w="1125" w:type="dxa"/>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125" w:type="dxa"/>
            <w:tcBorders>
              <w:right w:val="single" w:sz="18" w:space="0" w:color="auto"/>
            </w:tcBorders>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125" w:type="dxa"/>
            <w:tcBorders>
              <w:top w:val="single" w:sz="18" w:space="0" w:color="auto"/>
              <w:left w:val="single" w:sz="18" w:space="0" w:color="auto"/>
              <w:bottom w:val="single" w:sz="18" w:space="0" w:color="auto"/>
              <w:right w:val="single" w:sz="18" w:space="0" w:color="auto"/>
            </w:tcBorders>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125" w:type="dxa"/>
            <w:tcBorders>
              <w:top w:val="single" w:sz="18" w:space="0" w:color="auto"/>
              <w:left w:val="single" w:sz="18" w:space="0" w:color="auto"/>
              <w:bottom w:val="single" w:sz="18" w:space="0" w:color="auto"/>
              <w:right w:val="single" w:sz="18" w:space="0" w:color="auto"/>
            </w:tcBorders>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125" w:type="dxa"/>
            <w:tcBorders>
              <w:left w:val="single" w:sz="18" w:space="0" w:color="auto"/>
            </w:tcBorders>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125" w:type="dxa"/>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125" w:type="dxa"/>
            <w:tcBorders>
              <w:top w:val="nil"/>
              <w:bottom w:val="nil"/>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125" w:type="dxa"/>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w:t>
            </w:r>
          </w:p>
        </w:tc>
      </w:tr>
    </w:tbl>
    <w:p w:rsidR="00D8141B" w:rsidRPr="00980036" w:rsidRDefault="00D8141B" w:rsidP="00980036">
      <w:pPr>
        <w:widowControl w:val="0"/>
        <w:tabs>
          <w:tab w:val="left" w:pos="6840"/>
          <w:tab w:val="left" w:pos="7920"/>
        </w:tabs>
        <w:spacing w:before="10" w:after="10" w:line="240" w:lineRule="auto"/>
        <w:ind w:left="142"/>
        <w:rPr>
          <w:rFonts w:eastAsia="Times New Roman" w:cs="Arial"/>
          <w:snapToGrid w:val="0"/>
          <w:sz w:val="20"/>
          <w:szCs w:val="20"/>
          <w:lang w:val="en-GB"/>
        </w:rPr>
      </w:pPr>
      <w:r w:rsidRPr="00980036">
        <w:rPr>
          <w:rFonts w:eastAsia="Times New Roman" w:cs="Arial"/>
          <w:b/>
          <w:snapToGrid w:val="0"/>
          <w:sz w:val="20"/>
          <w:szCs w:val="20"/>
          <w:lang w:val="en-GB"/>
        </w:rPr>
        <w:t>Aggregate Score</w:t>
      </w:r>
      <w:r w:rsidRPr="00980036">
        <w:rPr>
          <w:rFonts w:eastAsia="Times New Roman" w:cs="Arial"/>
          <w:b/>
          <w:snapToGrid w:val="0"/>
          <w:sz w:val="20"/>
          <w:szCs w:val="20"/>
          <w:lang w:val="en-GB"/>
        </w:rPr>
        <w:tab/>
        <w:t xml:space="preserve"> </w:t>
      </w:r>
      <w:r w:rsidRPr="00980036">
        <w:rPr>
          <w:rFonts w:eastAsia="Times New Roman" w:cs="Arial"/>
          <w:b/>
          <w:snapToGrid w:val="0"/>
          <w:sz w:val="20"/>
          <w:szCs w:val="20"/>
          <w:lang w:val="en-GB"/>
        </w:rPr>
        <w:tab/>
      </w:r>
      <w:r w:rsidRPr="00980036">
        <w:rPr>
          <w:rFonts w:eastAsia="Times New Roman" w:cs="Arial"/>
          <w:snapToGrid w:val="0"/>
          <w:sz w:val="20"/>
          <w:szCs w:val="20"/>
          <w:lang w:val="en-GB"/>
        </w:rPr>
        <w:br/>
      </w:r>
      <w:r w:rsidRPr="00980036">
        <w:rPr>
          <w:rFonts w:eastAsia="Times New Roman" w:cs="Arial"/>
          <w:snapToGrid w:val="0"/>
          <w:sz w:val="20"/>
          <w:szCs w:val="20"/>
          <w:lang w:val="en-GB"/>
        </w:rPr>
        <w:tab/>
        <w:t xml:space="preserve">Total </w:t>
      </w:r>
      <w:r w:rsidRPr="00980036">
        <w:rPr>
          <w:rFonts w:eastAsia="Times New Roman" w:cs="Arial"/>
          <w:snapToGrid w:val="0"/>
          <w:sz w:val="20"/>
          <w:szCs w:val="20"/>
          <w:lang w:val="en-GB"/>
        </w:rPr>
        <w:tab/>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015"/>
        <w:gridCol w:w="1015"/>
        <w:gridCol w:w="1015"/>
        <w:gridCol w:w="1015"/>
        <w:gridCol w:w="1015"/>
        <w:gridCol w:w="1015"/>
        <w:gridCol w:w="1015"/>
        <w:gridCol w:w="1015"/>
      </w:tblGrid>
      <w:tr w:rsidR="00D8141B" w:rsidRPr="00980036" w:rsidTr="00980036">
        <w:trPr>
          <w:trHeight w:val="283"/>
        </w:trPr>
        <w:tc>
          <w:tcPr>
            <w:tcW w:w="1014" w:type="dxa"/>
            <w:tcBorders>
              <w:top w:val="single" w:sz="4" w:space="0" w:color="auto"/>
              <w:bottom w:val="single" w:sz="4" w:space="0" w:color="auto"/>
              <w:right w:val="single" w:sz="4"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w:t>
            </w:r>
          </w:p>
        </w:tc>
        <w:tc>
          <w:tcPr>
            <w:tcW w:w="1015" w:type="dxa"/>
            <w:tcBorders>
              <w:top w:val="single" w:sz="4" w:space="0" w:color="auto"/>
              <w:left w:val="single" w:sz="4" w:space="0" w:color="auto"/>
              <w:bottom w:val="single" w:sz="4" w:space="0" w:color="auto"/>
              <w:right w:val="single" w:sz="4"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w:t>
            </w:r>
          </w:p>
        </w:tc>
        <w:tc>
          <w:tcPr>
            <w:tcW w:w="1015" w:type="dxa"/>
            <w:tcBorders>
              <w:top w:val="single" w:sz="4" w:space="0" w:color="auto"/>
              <w:left w:val="single" w:sz="4" w:space="0" w:color="auto"/>
              <w:bottom w:val="single" w:sz="4" w:space="0" w:color="auto"/>
              <w:right w:val="single" w:sz="4"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w:t>
            </w:r>
          </w:p>
        </w:tc>
        <w:tc>
          <w:tcPr>
            <w:tcW w:w="1015" w:type="dxa"/>
            <w:tcBorders>
              <w:top w:val="single" w:sz="4" w:space="0" w:color="auto"/>
              <w:left w:val="single" w:sz="4" w:space="0" w:color="auto"/>
              <w:bottom w:val="single" w:sz="4" w:space="0" w:color="auto"/>
              <w:right w:val="single" w:sz="4"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w:t>
            </w:r>
          </w:p>
        </w:tc>
        <w:tc>
          <w:tcPr>
            <w:tcW w:w="1015" w:type="dxa"/>
            <w:tcBorders>
              <w:top w:val="single" w:sz="4" w:space="0" w:color="auto"/>
              <w:left w:val="single" w:sz="4" w:space="0" w:color="auto"/>
              <w:bottom w:val="single" w:sz="4" w:space="0" w:color="auto"/>
              <w:right w:val="single" w:sz="4" w:space="0" w:color="auto"/>
            </w:tcBorders>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w:t>
            </w:r>
          </w:p>
        </w:tc>
        <w:tc>
          <w:tcPr>
            <w:tcW w:w="1015" w:type="dxa"/>
            <w:tcBorders>
              <w:top w:val="single" w:sz="4" w:space="0" w:color="auto"/>
              <w:left w:val="single" w:sz="4" w:space="0" w:color="auto"/>
              <w:bottom w:val="single" w:sz="4" w:space="0" w:color="auto"/>
              <w:right w:val="single" w:sz="4"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w:t>
            </w:r>
          </w:p>
        </w:tc>
        <w:tc>
          <w:tcPr>
            <w:tcW w:w="1015" w:type="dxa"/>
            <w:tcBorders>
              <w:top w:val="single" w:sz="4" w:space="0" w:color="auto"/>
              <w:left w:val="single" w:sz="4" w:space="0" w:color="auto"/>
              <w:bottom w:val="single" w:sz="4" w:space="0" w:color="auto"/>
              <w:right w:val="single" w:sz="12"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w:t>
            </w:r>
          </w:p>
        </w:tc>
        <w:tc>
          <w:tcPr>
            <w:tcW w:w="1015" w:type="dxa"/>
            <w:tcBorders>
              <w:top w:val="single" w:sz="12" w:space="0" w:color="auto"/>
              <w:left w:val="single" w:sz="12" w:space="0" w:color="auto"/>
              <w:bottom w:val="single" w:sz="12" w:space="0" w:color="auto"/>
              <w:right w:val="single" w:sz="12"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nil"/>
              <w:left w:val="single" w:sz="12" w:space="0" w:color="auto"/>
              <w:bottom w:val="nil"/>
              <w:right w:val="nil"/>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r>
      <w:tr w:rsidR="00D8141B" w:rsidRPr="00980036" w:rsidTr="00980036">
        <w:trPr>
          <w:trHeight w:val="283"/>
        </w:trPr>
        <w:tc>
          <w:tcPr>
            <w:tcW w:w="1014" w:type="dxa"/>
            <w:tcBorders>
              <w:top w:val="single" w:sz="4" w:space="0" w:color="auto"/>
              <w:bottom w:val="single" w:sz="4" w:space="0" w:color="auto"/>
              <w:right w:val="single" w:sz="4"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4" w:space="0" w:color="auto"/>
              <w:left w:val="single" w:sz="4" w:space="0" w:color="auto"/>
              <w:bottom w:val="single" w:sz="4" w:space="0" w:color="auto"/>
              <w:right w:val="single" w:sz="4"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4" w:space="0" w:color="auto"/>
              <w:left w:val="single" w:sz="4" w:space="0" w:color="auto"/>
              <w:bottom w:val="single" w:sz="4" w:space="0" w:color="auto"/>
              <w:right w:val="single" w:sz="4"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4" w:space="0" w:color="auto"/>
              <w:left w:val="single" w:sz="4" w:space="0" w:color="auto"/>
              <w:bottom w:val="single" w:sz="4" w:space="0" w:color="auto"/>
              <w:right w:val="single" w:sz="4"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4" w:space="0" w:color="auto"/>
              <w:left w:val="single" w:sz="4" w:space="0" w:color="auto"/>
              <w:bottom w:val="single" w:sz="4" w:space="0" w:color="auto"/>
              <w:right w:val="single" w:sz="4" w:space="0" w:color="auto"/>
            </w:tcBorders>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4" w:space="0" w:color="auto"/>
              <w:left w:val="single" w:sz="4" w:space="0" w:color="auto"/>
              <w:bottom w:val="single" w:sz="4" w:space="0" w:color="auto"/>
              <w:right w:val="single" w:sz="4"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4" w:space="0" w:color="auto"/>
              <w:left w:val="single" w:sz="4" w:space="0" w:color="auto"/>
              <w:bottom w:val="single" w:sz="4" w:space="0" w:color="auto"/>
              <w:right w:val="single" w:sz="12"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12" w:space="0" w:color="auto"/>
              <w:left w:val="single" w:sz="12" w:space="0" w:color="auto"/>
              <w:bottom w:val="single" w:sz="12" w:space="0" w:color="auto"/>
              <w:right w:val="single" w:sz="12"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nil"/>
              <w:left w:val="single" w:sz="12" w:space="0" w:color="auto"/>
              <w:bottom w:val="nil"/>
              <w:right w:val="nil"/>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r>
      <w:tr w:rsidR="00D8141B" w:rsidRPr="00980036" w:rsidTr="00980036">
        <w:trPr>
          <w:cantSplit/>
          <w:trHeight w:val="283"/>
        </w:trPr>
        <w:tc>
          <w:tcPr>
            <w:tcW w:w="5074" w:type="dxa"/>
            <w:gridSpan w:val="5"/>
            <w:tcBorders>
              <w:top w:val="single" w:sz="4" w:space="0" w:color="auto"/>
              <w:left w:val="nil"/>
              <w:bottom w:val="nil"/>
              <w:right w:val="nil"/>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Impairment (%WPI) from table 11.7</w:t>
            </w:r>
          </w:p>
        </w:tc>
        <w:tc>
          <w:tcPr>
            <w:tcW w:w="1015" w:type="dxa"/>
            <w:tcBorders>
              <w:top w:val="nil"/>
              <w:left w:val="nil"/>
              <w:bottom w:val="nil"/>
              <w:right w:val="nil"/>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4" w:space="0" w:color="auto"/>
              <w:left w:val="nil"/>
              <w:bottom w:val="nil"/>
              <w:right w:val="single" w:sz="12"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12" w:space="0" w:color="auto"/>
              <w:left w:val="single" w:sz="12" w:space="0" w:color="auto"/>
              <w:bottom w:val="single" w:sz="12" w:space="0" w:color="auto"/>
              <w:right w:val="single" w:sz="12"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nil"/>
              <w:left w:val="single" w:sz="12" w:space="0" w:color="auto"/>
              <w:bottom w:val="nil"/>
              <w:right w:val="nil"/>
            </w:tcBorders>
          </w:tcPr>
          <w:p w:rsidR="00D8141B" w:rsidRPr="00980036" w:rsidRDefault="00D8141B" w:rsidP="00980036">
            <w:pPr>
              <w:widowControl w:val="0"/>
              <w:spacing w:before="10" w:after="10" w:line="240" w:lineRule="auto"/>
              <w:rPr>
                <w:rFonts w:eastAsia="Times New Roman" w:cs="Arial"/>
                <w:snapToGrid w:val="0"/>
                <w:sz w:val="20"/>
                <w:szCs w:val="20"/>
                <w:lang w:val="en-GB"/>
              </w:rPr>
            </w:pPr>
          </w:p>
        </w:tc>
      </w:tr>
      <w:tr w:rsidR="00D8141B" w:rsidRPr="00980036" w:rsidTr="00980036">
        <w:trPr>
          <w:cantSplit/>
          <w:trHeight w:val="283"/>
        </w:trPr>
        <w:tc>
          <w:tcPr>
            <w:tcW w:w="5074" w:type="dxa"/>
            <w:gridSpan w:val="5"/>
            <w:tcBorders>
              <w:top w:val="nil"/>
              <w:left w:val="nil"/>
              <w:bottom w:val="nil"/>
              <w:right w:val="nil"/>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Less pre existing impairment (if any)</w:t>
            </w:r>
          </w:p>
        </w:tc>
        <w:tc>
          <w:tcPr>
            <w:tcW w:w="1015" w:type="dxa"/>
            <w:tcBorders>
              <w:top w:val="nil"/>
              <w:left w:val="nil"/>
              <w:bottom w:val="nil"/>
              <w:right w:val="nil"/>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nil"/>
              <w:left w:val="nil"/>
              <w:bottom w:val="nil"/>
              <w:right w:val="single" w:sz="12"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12" w:space="0" w:color="auto"/>
              <w:left w:val="single" w:sz="12" w:space="0" w:color="auto"/>
              <w:bottom w:val="single" w:sz="12" w:space="0" w:color="auto"/>
              <w:right w:val="single" w:sz="12"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nil"/>
              <w:left w:val="single" w:sz="12" w:space="0" w:color="auto"/>
              <w:bottom w:val="nil"/>
              <w:right w:val="nil"/>
            </w:tcBorders>
          </w:tcPr>
          <w:p w:rsidR="00D8141B" w:rsidRPr="00980036" w:rsidRDefault="00D8141B" w:rsidP="00980036">
            <w:pPr>
              <w:widowControl w:val="0"/>
              <w:spacing w:before="10" w:after="10" w:line="240" w:lineRule="auto"/>
              <w:rPr>
                <w:rFonts w:eastAsia="Times New Roman" w:cs="Arial"/>
                <w:snapToGrid w:val="0"/>
                <w:sz w:val="20"/>
                <w:szCs w:val="20"/>
                <w:lang w:val="en-GB"/>
              </w:rPr>
            </w:pPr>
          </w:p>
        </w:tc>
      </w:tr>
      <w:tr w:rsidR="00D8141B" w:rsidRPr="00980036" w:rsidTr="00980036">
        <w:trPr>
          <w:cantSplit/>
          <w:trHeight w:val="283"/>
        </w:trPr>
        <w:tc>
          <w:tcPr>
            <w:tcW w:w="5074" w:type="dxa"/>
            <w:gridSpan w:val="5"/>
            <w:tcBorders>
              <w:top w:val="nil"/>
              <w:left w:val="nil"/>
              <w:bottom w:val="nil"/>
              <w:right w:val="nil"/>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r w:rsidRPr="00980036">
              <w:rPr>
                <w:rFonts w:eastAsia="Times New Roman" w:cs="Arial"/>
                <w:snapToGrid w:val="0"/>
                <w:sz w:val="20"/>
                <w:szCs w:val="20"/>
                <w:lang w:val="en-GB"/>
              </w:rPr>
              <w:t>Final Impairment (%WPI)</w:t>
            </w:r>
          </w:p>
        </w:tc>
        <w:tc>
          <w:tcPr>
            <w:tcW w:w="1015" w:type="dxa"/>
            <w:tcBorders>
              <w:top w:val="nil"/>
              <w:left w:val="nil"/>
              <w:bottom w:val="nil"/>
              <w:right w:val="nil"/>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nil"/>
              <w:left w:val="nil"/>
              <w:bottom w:val="nil"/>
              <w:right w:val="single" w:sz="12"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single" w:sz="12" w:space="0" w:color="auto"/>
              <w:left w:val="single" w:sz="12" w:space="0" w:color="auto"/>
              <w:bottom w:val="single" w:sz="12" w:space="0" w:color="auto"/>
              <w:right w:val="single" w:sz="12" w:space="0" w:color="auto"/>
            </w:tcBorders>
            <w:vAlign w:val="center"/>
          </w:tcPr>
          <w:p w:rsidR="00D8141B" w:rsidRPr="00980036" w:rsidRDefault="00D8141B" w:rsidP="00980036">
            <w:pPr>
              <w:widowControl w:val="0"/>
              <w:spacing w:before="10" w:after="10" w:line="240" w:lineRule="auto"/>
              <w:rPr>
                <w:rFonts w:eastAsia="Times New Roman" w:cs="Arial"/>
                <w:snapToGrid w:val="0"/>
                <w:sz w:val="20"/>
                <w:szCs w:val="20"/>
                <w:lang w:val="en-GB"/>
              </w:rPr>
            </w:pPr>
          </w:p>
        </w:tc>
        <w:tc>
          <w:tcPr>
            <w:tcW w:w="1015" w:type="dxa"/>
            <w:tcBorders>
              <w:top w:val="nil"/>
              <w:left w:val="single" w:sz="12" w:space="0" w:color="auto"/>
              <w:bottom w:val="nil"/>
              <w:right w:val="nil"/>
            </w:tcBorders>
          </w:tcPr>
          <w:p w:rsidR="00D8141B" w:rsidRPr="00980036" w:rsidRDefault="00D8141B" w:rsidP="00980036">
            <w:pPr>
              <w:widowControl w:val="0"/>
              <w:spacing w:before="10" w:after="10" w:line="240" w:lineRule="auto"/>
              <w:rPr>
                <w:rFonts w:eastAsia="Times New Roman" w:cs="Arial"/>
                <w:snapToGrid w:val="0"/>
                <w:sz w:val="20"/>
                <w:szCs w:val="20"/>
                <w:lang w:val="en-GB"/>
              </w:rPr>
            </w:pPr>
          </w:p>
        </w:tc>
      </w:tr>
    </w:tbl>
    <w:p w:rsidR="00980036" w:rsidRDefault="00980036" w:rsidP="00980036">
      <w:pPr>
        <w:pStyle w:val="Heading1"/>
        <w:numPr>
          <w:ilvl w:val="0"/>
          <w:numId w:val="0"/>
        </w:numPr>
        <w:spacing w:before="10" w:after="10"/>
        <w:rPr>
          <w:b w:val="0"/>
        </w:rPr>
        <w:sectPr w:rsidR="00980036" w:rsidSect="002947BC">
          <w:pgSz w:w="11906" w:h="16838" w:code="9"/>
          <w:pgMar w:top="1134" w:right="1134" w:bottom="1134" w:left="1134" w:header="0" w:footer="720" w:gutter="0"/>
          <w:cols w:space="720"/>
          <w:titlePg/>
        </w:sectPr>
      </w:pPr>
      <w:bookmarkStart w:id="290" w:name="c12"/>
      <w:bookmarkStart w:id="291" w:name="_Toc529598386"/>
      <w:bookmarkStart w:id="292" w:name="_Toc144874744"/>
      <w:bookmarkStart w:id="293" w:name="_Toc422836868"/>
      <w:bookmarkStart w:id="294" w:name="_Hlt529258510"/>
      <w:bookmarkEnd w:id="290"/>
    </w:p>
    <w:p w:rsidR="00D8141B" w:rsidRPr="00D8141B" w:rsidRDefault="00D8141B" w:rsidP="00980036">
      <w:pPr>
        <w:pStyle w:val="Heading1"/>
        <w:tabs>
          <w:tab w:val="clear" w:pos="567"/>
          <w:tab w:val="left" w:pos="709"/>
        </w:tabs>
        <w:ind w:hanging="720"/>
        <w:rPr>
          <w:bCs/>
        </w:rPr>
      </w:pPr>
      <w:bookmarkStart w:id="295" w:name="_Toc487809955"/>
      <w:r w:rsidRPr="00551741">
        <w:lastRenderedPageBreak/>
        <w:t>Haematopoietic system</w:t>
      </w:r>
      <w:bookmarkEnd w:id="291"/>
      <w:bookmarkEnd w:id="292"/>
      <w:bookmarkEnd w:id="293"/>
      <w:bookmarkEnd w:id="295"/>
    </w:p>
    <w:bookmarkEnd w:id="294"/>
    <w:p w:rsidR="00D8141B" w:rsidRPr="00980036" w:rsidRDefault="00D8141B" w:rsidP="00980036">
      <w:pPr>
        <w:pStyle w:val="BodyText12"/>
        <w:numPr>
          <w:ilvl w:val="0"/>
          <w:numId w:val="0"/>
        </w:numPr>
        <w:tabs>
          <w:tab w:val="clear" w:pos="709"/>
        </w:tabs>
        <w:rPr>
          <w:rFonts w:cs="Times New Roman"/>
          <w:b/>
        </w:rPr>
      </w:pPr>
      <w:r w:rsidRPr="00980036">
        <w:rPr>
          <w:b/>
        </w:rPr>
        <w:t>Chapter 9, AMA5 (page 191) applies to the assessment of permanent impairment of the haematopoietic system, subject to the modifications set out below. Before undertaking an impai</w:t>
      </w:r>
      <w:r w:rsidR="004A5BE6" w:rsidRPr="00980036">
        <w:rPr>
          <w:b/>
        </w:rPr>
        <w:t>rment assessment, users of the</w:t>
      </w:r>
      <w:r w:rsidRPr="00980036">
        <w:rPr>
          <w:b/>
        </w:rPr>
        <w:t xml:space="preserve"> Guidelines must be familiar with the</w:t>
      </w:r>
      <w:r w:rsidRPr="00980036">
        <w:rPr>
          <w:rFonts w:cs="Times New Roman"/>
          <w:b/>
        </w:rPr>
        <w:t xml:space="preserve"> following:</w:t>
      </w:r>
    </w:p>
    <w:p w:rsidR="00D8141B" w:rsidRPr="00D1454D" w:rsidRDefault="004A5BE6" w:rsidP="00980036">
      <w:pPr>
        <w:pStyle w:val="Bulletpoint"/>
        <w:tabs>
          <w:tab w:val="left" w:pos="1134"/>
        </w:tabs>
        <w:ind w:left="1134"/>
        <w:rPr>
          <w:rFonts w:eastAsia="Calibri"/>
          <w:lang w:val="en-US"/>
        </w:rPr>
      </w:pPr>
      <w:r>
        <w:rPr>
          <w:rFonts w:eastAsia="Calibri"/>
          <w:lang w:val="en-US"/>
        </w:rPr>
        <w:t>The Introduction in the</w:t>
      </w:r>
      <w:r w:rsidR="00D8141B" w:rsidRPr="00D1454D">
        <w:rPr>
          <w:rFonts w:eastAsia="Calibri"/>
          <w:lang w:val="en-US"/>
        </w:rPr>
        <w:t xml:space="preserve"> Guidelines</w:t>
      </w:r>
    </w:p>
    <w:p w:rsidR="00D8141B" w:rsidRPr="00D1454D" w:rsidRDefault="00D8141B" w:rsidP="00980036">
      <w:pPr>
        <w:pStyle w:val="Bulletpoint"/>
        <w:tabs>
          <w:tab w:val="left" w:pos="1134"/>
        </w:tabs>
        <w:ind w:left="1134"/>
        <w:rPr>
          <w:rFonts w:eastAsia="Calibri"/>
          <w:lang w:val="en-US"/>
        </w:rPr>
      </w:pPr>
      <w:r w:rsidRPr="00D1454D">
        <w:rPr>
          <w:rFonts w:eastAsia="Calibri"/>
          <w:lang w:val="en-US"/>
        </w:rPr>
        <w:t>Chapters 1 and 2 of AMA5</w:t>
      </w:r>
    </w:p>
    <w:p w:rsidR="00D8141B" w:rsidRPr="00D1454D" w:rsidRDefault="00D8141B" w:rsidP="00980036">
      <w:pPr>
        <w:pStyle w:val="Bulletpoint"/>
        <w:tabs>
          <w:tab w:val="left" w:pos="1134"/>
        </w:tabs>
        <w:ind w:left="1134"/>
        <w:rPr>
          <w:rFonts w:eastAsia="Calibri"/>
          <w:lang w:val="en-US"/>
        </w:rPr>
      </w:pPr>
      <w:r w:rsidRPr="00D1454D">
        <w:rPr>
          <w:rFonts w:eastAsia="Calibri"/>
          <w:lang w:val="en-US"/>
        </w:rPr>
        <w:t>Th</w:t>
      </w:r>
      <w:r w:rsidR="004A5BE6">
        <w:rPr>
          <w:rFonts w:eastAsia="Calibri"/>
          <w:lang w:val="en-US"/>
        </w:rPr>
        <w:t>e appropriate chapter/s of the</w:t>
      </w:r>
      <w:r w:rsidRPr="00D1454D">
        <w:rPr>
          <w:rFonts w:eastAsia="Calibri"/>
          <w:lang w:val="en-US"/>
        </w:rPr>
        <w:t xml:space="preserve"> Guidelines for the body system they are assessing.</w:t>
      </w:r>
    </w:p>
    <w:p w:rsidR="00D8141B" w:rsidRPr="00D1454D" w:rsidRDefault="00D8141B" w:rsidP="00980036">
      <w:pPr>
        <w:pStyle w:val="Bulletpoint"/>
        <w:tabs>
          <w:tab w:val="left" w:pos="1134"/>
        </w:tabs>
        <w:ind w:left="1134"/>
        <w:rPr>
          <w:rFonts w:eastAsia="Calibri"/>
          <w:lang w:val="en-US"/>
        </w:rPr>
      </w:pPr>
      <w:r w:rsidRPr="00D1454D">
        <w:rPr>
          <w:rFonts w:eastAsia="Calibri"/>
          <w:lang w:val="en-US"/>
        </w:rPr>
        <w:t>The appropriate chapter/s of AMA5 for the body system they are assessing.</w:t>
      </w:r>
    </w:p>
    <w:p w:rsidR="00D8141B" w:rsidRPr="00D1454D" w:rsidRDefault="004A5BE6" w:rsidP="00980036">
      <w:pPr>
        <w:pStyle w:val="BodyText12"/>
        <w:numPr>
          <w:ilvl w:val="0"/>
          <w:numId w:val="0"/>
        </w:numPr>
        <w:spacing w:before="240"/>
        <w:ind w:left="709" w:hanging="709"/>
        <w:rPr>
          <w:bCs/>
        </w:rPr>
      </w:pPr>
      <w:r>
        <w:rPr>
          <w:rFonts w:eastAsia="Calibri"/>
        </w:rPr>
        <w:t>The</w:t>
      </w:r>
      <w:r w:rsidR="00D8141B" w:rsidRPr="00D1454D">
        <w:rPr>
          <w:rFonts w:eastAsia="Calibri"/>
        </w:rPr>
        <w:t xml:space="preserve"> Guidelines take precedence over AMA5</w:t>
      </w:r>
      <w:r w:rsidR="00D8141B" w:rsidRPr="00D1454D">
        <w:rPr>
          <w:rFonts w:ascii="Calibri" w:eastAsia="Calibri" w:hAnsi="Calibri" w:cs="Calibri"/>
          <w:sz w:val="20"/>
        </w:rPr>
        <w:t>.</w:t>
      </w:r>
    </w:p>
    <w:p w:rsidR="00D8141B" w:rsidRPr="00D8141B" w:rsidRDefault="00D8141B" w:rsidP="00980036">
      <w:pPr>
        <w:pStyle w:val="Heading3"/>
      </w:pPr>
      <w:bookmarkStart w:id="296" w:name="_Toc144874746"/>
      <w:bookmarkStart w:id="297" w:name="_Toc144875335"/>
      <w:r w:rsidRPr="00D8141B">
        <w:t>Introduction</w:t>
      </w:r>
      <w:bookmarkEnd w:id="296"/>
      <w:bookmarkEnd w:id="297"/>
    </w:p>
    <w:p w:rsidR="00D8141B" w:rsidRPr="00D8141B" w:rsidRDefault="00D8141B" w:rsidP="006C341F">
      <w:pPr>
        <w:pStyle w:val="BodyText12"/>
      </w:pPr>
      <w:r w:rsidRPr="00D8141B">
        <w:t xml:space="preserve">AMA5 chapter 9 (pp 191-210) provides guidelines on the method of assessing permanent impairment </w:t>
      </w:r>
      <w:r w:rsidRPr="006C341F">
        <w:t>of</w:t>
      </w:r>
      <w:r w:rsidRPr="00D8141B">
        <w:t xml:space="preserve"> the haematopoietic system. Overall, that chapter should be followed when conducting the assessment, with variations indicated below.</w:t>
      </w:r>
    </w:p>
    <w:p w:rsidR="00D8141B" w:rsidRPr="00D8141B" w:rsidRDefault="00D8141B" w:rsidP="006C341F">
      <w:pPr>
        <w:pStyle w:val="BodyText12"/>
      </w:pPr>
      <w:r w:rsidRPr="00D8141B">
        <w:t>Impairment of end organ function due to haematopoietic disorder should be assessed separately, using the relevant chapter of the Guidelines. The percentage WPI due to end organ impairment should be combined with any percentage WPI due to haematopoietic disorder, using the combined values table (pp 604-606 AMA5).</w:t>
      </w:r>
    </w:p>
    <w:p w:rsidR="00D8141B" w:rsidRPr="00D8141B" w:rsidRDefault="00D8141B" w:rsidP="00980036">
      <w:pPr>
        <w:pStyle w:val="Heading3"/>
      </w:pPr>
      <w:bookmarkStart w:id="298" w:name="_Toc144874747"/>
      <w:bookmarkStart w:id="299" w:name="_Toc144875336"/>
      <w:r w:rsidRPr="00D8141B">
        <w:t>Anaemia</w:t>
      </w:r>
      <w:bookmarkEnd w:id="298"/>
      <w:bookmarkEnd w:id="299"/>
    </w:p>
    <w:p w:rsidR="00D8141B" w:rsidRPr="00D8141B" w:rsidRDefault="00D8141B" w:rsidP="006C341F">
      <w:pPr>
        <w:pStyle w:val="BodyText12"/>
      </w:pPr>
      <w:r w:rsidRPr="00D8141B">
        <w:t>Table 12.1 (below) replaces AMA5 Table 9</w:t>
      </w:r>
      <w:r w:rsidRPr="00D8141B">
        <w:rPr>
          <w:snapToGrid w:val="0"/>
        </w:rPr>
        <w:t>–</w:t>
      </w:r>
      <w:r w:rsidRPr="00D8141B">
        <w:t>2 (p 193).</w:t>
      </w:r>
    </w:p>
    <w:p w:rsidR="00D8141B" w:rsidRPr="00980036" w:rsidRDefault="00D8141B" w:rsidP="00980036">
      <w:pPr>
        <w:keepNext/>
        <w:tabs>
          <w:tab w:val="left" w:pos="720"/>
        </w:tabs>
        <w:spacing w:before="240" w:after="120" w:line="240" w:lineRule="auto"/>
        <w:jc w:val="center"/>
        <w:outlineLvl w:val="3"/>
        <w:rPr>
          <w:rFonts w:eastAsia="Times New Roman" w:cs="Arial"/>
          <w:b/>
          <w:bCs/>
          <w:sz w:val="24"/>
          <w:szCs w:val="24"/>
          <w:lang w:val="en-GB"/>
        </w:rPr>
      </w:pPr>
      <w:bookmarkStart w:id="300" w:name="_Toc144874748"/>
      <w:bookmarkStart w:id="301" w:name="_Toc144875337"/>
      <w:r w:rsidRPr="00980036">
        <w:rPr>
          <w:rFonts w:eastAsia="Times New Roman" w:cs="Arial"/>
          <w:b/>
          <w:bCs/>
          <w:sz w:val="24"/>
          <w:szCs w:val="24"/>
          <w:lang w:val="en-GB"/>
        </w:rPr>
        <w:t>Table 12.1: Classes of anaemia and percentage whole person impairment</w:t>
      </w:r>
      <w:bookmarkEnd w:id="300"/>
      <w:bookmarkEnd w:id="301"/>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098"/>
        <w:gridCol w:w="2098"/>
        <w:gridCol w:w="2098"/>
      </w:tblGrid>
      <w:tr w:rsidR="00D8141B" w:rsidRPr="00D8141B" w:rsidTr="006C341F">
        <w:tc>
          <w:tcPr>
            <w:tcW w:w="2098" w:type="dxa"/>
            <w:shd w:val="pct10" w:color="auto" w:fill="auto"/>
            <w:vAlign w:val="center"/>
          </w:tcPr>
          <w:p w:rsidR="00D8141B" w:rsidRPr="00D8141B" w:rsidRDefault="00D8141B" w:rsidP="006C341F">
            <w:pPr>
              <w:keepNext/>
              <w:keepLines/>
              <w:widowControl w:val="0"/>
              <w:suppressAutoHyphens/>
              <w:spacing w:before="80" w:after="8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Cl</w:t>
            </w:r>
            <w:r w:rsidR="006C341F">
              <w:rPr>
                <w:rFonts w:eastAsia="Times New Roman" w:cs="Arial"/>
                <w:b/>
                <w:bCs/>
                <w:snapToGrid w:val="0"/>
                <w:sz w:val="20"/>
                <w:szCs w:val="20"/>
                <w:lang w:val="en-GB"/>
              </w:rPr>
              <w:t>ass 1: 0–10%</w:t>
            </w:r>
            <w:r w:rsidR="006C341F">
              <w:rPr>
                <w:rFonts w:eastAsia="Times New Roman" w:cs="Arial"/>
                <w:b/>
                <w:bCs/>
                <w:snapToGrid w:val="0"/>
                <w:sz w:val="20"/>
                <w:szCs w:val="20"/>
                <w:lang w:val="en-GB"/>
              </w:rPr>
              <w:br/>
            </w:r>
            <w:r w:rsidRPr="00D8141B">
              <w:rPr>
                <w:rFonts w:eastAsia="Times New Roman" w:cs="Arial"/>
                <w:b/>
                <w:bCs/>
                <w:snapToGrid w:val="0"/>
                <w:sz w:val="20"/>
                <w:szCs w:val="20"/>
                <w:lang w:val="en-GB"/>
              </w:rPr>
              <w:t>WPI</w:t>
            </w:r>
          </w:p>
        </w:tc>
        <w:tc>
          <w:tcPr>
            <w:tcW w:w="2098" w:type="dxa"/>
            <w:shd w:val="pct10" w:color="auto" w:fill="auto"/>
            <w:vAlign w:val="center"/>
          </w:tcPr>
          <w:p w:rsidR="00D8141B" w:rsidRPr="00D8141B" w:rsidRDefault="00D8141B" w:rsidP="006C341F">
            <w:pPr>
              <w:keepNext/>
              <w:keepLines/>
              <w:widowControl w:val="0"/>
              <w:suppressAutoHyphens/>
              <w:spacing w:before="80" w:after="8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Class 2: 11–30%</w:t>
            </w:r>
            <w:r w:rsidR="006C341F">
              <w:rPr>
                <w:rFonts w:eastAsia="Times New Roman" w:cs="Arial"/>
                <w:b/>
                <w:bCs/>
                <w:snapToGrid w:val="0"/>
                <w:sz w:val="20"/>
                <w:szCs w:val="20"/>
                <w:lang w:val="en-GB"/>
              </w:rPr>
              <w:br/>
            </w:r>
            <w:r w:rsidRPr="00D8141B">
              <w:rPr>
                <w:rFonts w:eastAsia="Times New Roman" w:cs="Arial"/>
                <w:b/>
                <w:bCs/>
                <w:snapToGrid w:val="0"/>
                <w:sz w:val="20"/>
                <w:szCs w:val="20"/>
                <w:lang w:val="en-GB"/>
              </w:rPr>
              <w:t>WPI</w:t>
            </w:r>
          </w:p>
        </w:tc>
        <w:tc>
          <w:tcPr>
            <w:tcW w:w="2098" w:type="dxa"/>
            <w:shd w:val="pct10" w:color="auto" w:fill="auto"/>
            <w:vAlign w:val="center"/>
          </w:tcPr>
          <w:p w:rsidR="00D8141B" w:rsidRPr="00D8141B" w:rsidRDefault="00D8141B" w:rsidP="006C341F">
            <w:pPr>
              <w:keepNext/>
              <w:keepLines/>
              <w:widowControl w:val="0"/>
              <w:suppressAutoHyphens/>
              <w:spacing w:before="80" w:after="8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Class 3: 31–70%</w:t>
            </w:r>
            <w:r w:rsidR="006C341F">
              <w:rPr>
                <w:rFonts w:eastAsia="Times New Roman" w:cs="Arial"/>
                <w:b/>
                <w:bCs/>
                <w:snapToGrid w:val="0"/>
                <w:sz w:val="20"/>
                <w:szCs w:val="20"/>
                <w:lang w:val="en-GB"/>
              </w:rPr>
              <w:br/>
            </w:r>
            <w:r w:rsidRPr="00D8141B">
              <w:rPr>
                <w:rFonts w:eastAsia="Times New Roman" w:cs="Arial"/>
                <w:b/>
                <w:bCs/>
                <w:snapToGrid w:val="0"/>
                <w:sz w:val="20"/>
                <w:szCs w:val="20"/>
                <w:lang w:val="en-GB"/>
              </w:rPr>
              <w:t>WPI</w:t>
            </w:r>
          </w:p>
        </w:tc>
        <w:tc>
          <w:tcPr>
            <w:tcW w:w="2098" w:type="dxa"/>
            <w:shd w:val="pct10" w:color="auto" w:fill="auto"/>
            <w:vAlign w:val="center"/>
          </w:tcPr>
          <w:p w:rsidR="00D8141B" w:rsidRPr="00D8141B" w:rsidRDefault="00D8141B" w:rsidP="006C341F">
            <w:pPr>
              <w:keepNext/>
              <w:keepLines/>
              <w:widowControl w:val="0"/>
              <w:suppressAutoHyphens/>
              <w:spacing w:before="80" w:after="8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Class 4: 71–100%</w:t>
            </w:r>
            <w:r w:rsidR="006C341F">
              <w:rPr>
                <w:rFonts w:eastAsia="Times New Roman" w:cs="Arial"/>
                <w:b/>
                <w:bCs/>
                <w:snapToGrid w:val="0"/>
                <w:sz w:val="20"/>
                <w:szCs w:val="20"/>
                <w:lang w:val="en-GB"/>
              </w:rPr>
              <w:br/>
            </w:r>
            <w:r w:rsidRPr="00D8141B">
              <w:rPr>
                <w:rFonts w:eastAsia="Times New Roman" w:cs="Arial"/>
                <w:b/>
                <w:bCs/>
                <w:snapToGrid w:val="0"/>
                <w:sz w:val="20"/>
                <w:szCs w:val="20"/>
                <w:lang w:val="en-GB"/>
              </w:rPr>
              <w:t>WPI</w:t>
            </w:r>
          </w:p>
        </w:tc>
      </w:tr>
      <w:tr w:rsidR="00D8141B" w:rsidRPr="00D8141B" w:rsidTr="006C341F">
        <w:tc>
          <w:tcPr>
            <w:tcW w:w="2098" w:type="dxa"/>
          </w:tcPr>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symptoms</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haemoglobin 100–120g/L</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transfusion required</w:t>
            </w:r>
          </w:p>
        </w:tc>
        <w:tc>
          <w:tcPr>
            <w:tcW w:w="2098" w:type="dxa"/>
          </w:tcPr>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Minimal symptoms</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haemoglobin 80–100g/L</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no transfusion required</w:t>
            </w:r>
          </w:p>
        </w:tc>
        <w:tc>
          <w:tcPr>
            <w:tcW w:w="2098" w:type="dxa"/>
          </w:tcPr>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Moderate to marked symptoms</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haemoglobin 50–80g/L before transfusion</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transfusion of 2 to 3 units required, every 4 to 6 weeks</w:t>
            </w:r>
          </w:p>
        </w:tc>
        <w:tc>
          <w:tcPr>
            <w:tcW w:w="2098" w:type="dxa"/>
          </w:tcPr>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Moderate to marked symptoms</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haemoglobin 50–80g/L before transfusion</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and</w:t>
            </w:r>
          </w:p>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transfusion of 2 to 3 units required, every 2 weeks</w:t>
            </w:r>
          </w:p>
        </w:tc>
      </w:tr>
    </w:tbl>
    <w:p w:rsidR="00D8141B" w:rsidRPr="00D8141B" w:rsidRDefault="00D8141B" w:rsidP="006C341F">
      <w:pPr>
        <w:pStyle w:val="BodyText12"/>
        <w:spacing w:before="240"/>
      </w:pPr>
      <w:r w:rsidRPr="00D8141B">
        <w:t>The assessor should exercise clinical judgement in determining WPI, using the criteria in table 12.1. For example, if comorbidities exist which preclude transfusion, the assessor may assign class 3 or class 4, on the understanding that transfusion would under other circumstances be indicated. Similarly, there may be some claimants with class 2 impairment who, because of comorbidity, may undergo transfusion.</w:t>
      </w:r>
    </w:p>
    <w:p w:rsidR="00D8141B" w:rsidRPr="00D8141B" w:rsidRDefault="00D8141B" w:rsidP="006C341F">
      <w:pPr>
        <w:pStyle w:val="BodyText12"/>
      </w:pPr>
      <w:r w:rsidRPr="00D8141B">
        <w:t xml:space="preserve">Pre-transfusion haemoglobin levels in </w:t>
      </w:r>
      <w:r w:rsidRPr="00D8141B">
        <w:rPr>
          <w:u w:val="single"/>
        </w:rPr>
        <w:t>table 12.1</w:t>
      </w:r>
      <w:r w:rsidRPr="00D8141B">
        <w:t xml:space="preserve"> are to be used as indications only. It is acknowledged that for some claimants, it would not be medically advisable to permit the claimant's haemoglobin levels to be as low as indicated in the criteria of table 12.1. </w:t>
      </w:r>
    </w:p>
    <w:p w:rsidR="00D8141B" w:rsidRPr="00D8141B" w:rsidRDefault="00D8141B" w:rsidP="006C341F">
      <w:pPr>
        <w:pStyle w:val="BodyText12"/>
      </w:pPr>
      <w:r w:rsidRPr="00D8141B">
        <w:t>The assessor should indicate a percentage WPI, as well as the class.</w:t>
      </w:r>
    </w:p>
    <w:p w:rsidR="00D8141B" w:rsidRPr="00D8141B" w:rsidRDefault="00D8141B" w:rsidP="006C341F">
      <w:pPr>
        <w:pStyle w:val="Heading3"/>
      </w:pPr>
      <w:r w:rsidRPr="00D8141B">
        <w:rPr>
          <w:rFonts w:cs="Arial"/>
        </w:rPr>
        <w:lastRenderedPageBreak/>
        <w:t xml:space="preserve"> </w:t>
      </w:r>
      <w:bookmarkStart w:id="302" w:name="_Toc144874749"/>
      <w:bookmarkStart w:id="303" w:name="_Toc144875338"/>
      <w:r w:rsidRPr="00D8141B">
        <w:t>Polycythaemia and myelofibrosis</w:t>
      </w:r>
      <w:bookmarkEnd w:id="302"/>
      <w:bookmarkEnd w:id="303"/>
    </w:p>
    <w:p w:rsidR="00D8141B" w:rsidRPr="00D8141B" w:rsidRDefault="00D8141B" w:rsidP="006C341F">
      <w:pPr>
        <w:pStyle w:val="BodyText12"/>
      </w:pPr>
      <w:r w:rsidRPr="00D8141B">
        <w:t xml:space="preserve">The level of symptoms (as in table 12.1) should be used a guide for the assessor in cases where non-anaemic tissue iron deficiency results from venesection. </w:t>
      </w:r>
    </w:p>
    <w:p w:rsidR="00D8141B" w:rsidRPr="00D8141B" w:rsidRDefault="00D8141B" w:rsidP="00980036">
      <w:pPr>
        <w:pStyle w:val="Heading3"/>
      </w:pPr>
      <w:bookmarkStart w:id="304" w:name="_Toc144874750"/>
      <w:bookmarkStart w:id="305" w:name="_Toc144875339"/>
      <w:r w:rsidRPr="00D8141B">
        <w:t>White blood cell diseases</w:t>
      </w:r>
      <w:bookmarkEnd w:id="304"/>
      <w:bookmarkEnd w:id="305"/>
    </w:p>
    <w:p w:rsidR="00D8141B" w:rsidRPr="00D8141B" w:rsidRDefault="00D8141B" w:rsidP="006C341F">
      <w:pPr>
        <w:pStyle w:val="BodyText12"/>
      </w:pPr>
      <w:r w:rsidRPr="00D8141B">
        <w:t xml:space="preserve">In cases of functional asplenia, the assessor should assign three per cent WPI. This should be combined with any other impairment rating, using the combined values table </w:t>
      </w:r>
      <w:r w:rsidR="006C341F">
        <w:br/>
      </w:r>
      <w:r w:rsidRPr="00D8141B">
        <w:t>(pp 604-606 AMA5).</w:t>
      </w:r>
    </w:p>
    <w:p w:rsidR="00D8141B" w:rsidRPr="00D8141B" w:rsidRDefault="00D8141B" w:rsidP="00980036">
      <w:pPr>
        <w:pStyle w:val="Heading3"/>
      </w:pPr>
      <w:bookmarkStart w:id="306" w:name="_Toc144874751"/>
      <w:bookmarkStart w:id="307" w:name="_Toc144875340"/>
      <w:r w:rsidRPr="00D8141B">
        <w:t>Haemorrhagic and platelet disorders</w:t>
      </w:r>
      <w:bookmarkEnd w:id="306"/>
      <w:bookmarkEnd w:id="307"/>
    </w:p>
    <w:p w:rsidR="00D8141B" w:rsidRPr="00D8141B" w:rsidRDefault="00D8141B" w:rsidP="006C341F">
      <w:pPr>
        <w:pStyle w:val="BodyText12"/>
      </w:pPr>
      <w:r w:rsidRPr="00D8141B">
        <w:t>AMA5 table 9-4 (p 203) is to be used as the basis for assessing haemorrhagic and platelet disorders</w:t>
      </w:r>
    </w:p>
    <w:p w:rsidR="00D8141B" w:rsidRPr="00D8141B" w:rsidRDefault="00D8141B" w:rsidP="006C341F">
      <w:pPr>
        <w:pStyle w:val="BodyText12"/>
      </w:pPr>
      <w:r w:rsidRPr="00D8141B">
        <w:t>For the purposes of the Guidelines, the criteria for inclusion in class 3 of AMA5 table 9-4 (p</w:t>
      </w:r>
      <w:r w:rsidR="006C341F">
        <w:t> </w:t>
      </w:r>
      <w:r w:rsidRPr="00D8141B">
        <w:t>203) is:</w:t>
      </w:r>
    </w:p>
    <w:p w:rsidR="00D8141B" w:rsidRPr="00D8141B" w:rsidRDefault="00D8141B" w:rsidP="006C341F">
      <w:pPr>
        <w:pStyle w:val="Bulletpoint"/>
        <w:tabs>
          <w:tab w:val="left" w:pos="1134"/>
        </w:tabs>
        <w:ind w:left="1134"/>
        <w:rPr>
          <w:lang w:val="en-GB"/>
        </w:rPr>
      </w:pPr>
      <w:r w:rsidRPr="00D8141B">
        <w:rPr>
          <w:lang w:val="en-GB"/>
        </w:rPr>
        <w:t>Symptoms and signs of haemorrhagic and platelet abnormality</w:t>
      </w:r>
    </w:p>
    <w:p w:rsidR="00D8141B" w:rsidRPr="00D8141B" w:rsidRDefault="00D8141B" w:rsidP="006C341F">
      <w:pPr>
        <w:pStyle w:val="Bulletpoint"/>
        <w:tabs>
          <w:tab w:val="left" w:pos="1134"/>
        </w:tabs>
        <w:ind w:left="1134"/>
        <w:rPr>
          <w:lang w:val="en-GB"/>
        </w:rPr>
      </w:pPr>
      <w:r w:rsidRPr="00D8141B">
        <w:rPr>
          <w:lang w:val="en-GB"/>
        </w:rPr>
        <w:t>Requires continuous treatment</w:t>
      </w:r>
    </w:p>
    <w:p w:rsidR="00D8141B" w:rsidRPr="00D8141B" w:rsidRDefault="00D8141B" w:rsidP="006C341F">
      <w:pPr>
        <w:pStyle w:val="Bulletpoint"/>
        <w:tabs>
          <w:tab w:val="left" w:pos="1134"/>
        </w:tabs>
        <w:ind w:left="1134"/>
        <w:rPr>
          <w:lang w:val="en-GB"/>
        </w:rPr>
      </w:pPr>
      <w:r w:rsidRPr="00D8141B">
        <w:rPr>
          <w:lang w:val="en-GB"/>
        </w:rPr>
        <w:t>Interference with daily activities; requires occasional assistance.</w:t>
      </w:r>
    </w:p>
    <w:p w:rsidR="00D8141B" w:rsidRPr="00D8141B" w:rsidRDefault="00D8141B" w:rsidP="006C341F">
      <w:pPr>
        <w:pStyle w:val="BodyText12"/>
        <w:spacing w:before="240"/>
      </w:pPr>
      <w:r w:rsidRPr="00D8141B">
        <w:t>For the purposes of the Guidelines, the criteria for inclusion in class 4 of AMA5 table 9-4 (p</w:t>
      </w:r>
      <w:r w:rsidR="006C341F">
        <w:t> </w:t>
      </w:r>
      <w:r w:rsidRPr="00D8141B">
        <w:t>203) is:</w:t>
      </w:r>
    </w:p>
    <w:p w:rsidR="00D8141B" w:rsidRPr="00D8141B" w:rsidRDefault="00D8141B" w:rsidP="006C341F">
      <w:pPr>
        <w:pStyle w:val="Bulletpoint"/>
        <w:tabs>
          <w:tab w:val="left" w:pos="1134"/>
        </w:tabs>
        <w:ind w:left="1134"/>
        <w:rPr>
          <w:lang w:val="en-GB"/>
        </w:rPr>
      </w:pPr>
      <w:r w:rsidRPr="00D8141B">
        <w:rPr>
          <w:lang w:val="en-GB"/>
        </w:rPr>
        <w:t>Symptoms and signs of haemorrhagic and platelet abnormality</w:t>
      </w:r>
    </w:p>
    <w:p w:rsidR="00D8141B" w:rsidRPr="00D8141B" w:rsidRDefault="00D8141B" w:rsidP="006C341F">
      <w:pPr>
        <w:pStyle w:val="Bulletpoint"/>
        <w:tabs>
          <w:tab w:val="left" w:pos="1134"/>
        </w:tabs>
        <w:ind w:left="1134"/>
        <w:rPr>
          <w:lang w:val="en-GB"/>
        </w:rPr>
      </w:pPr>
      <w:r w:rsidRPr="00D8141B">
        <w:rPr>
          <w:lang w:val="en-GB"/>
        </w:rPr>
        <w:t>Requires continuous treatment</w:t>
      </w:r>
    </w:p>
    <w:p w:rsidR="00D8141B" w:rsidRPr="00D8141B" w:rsidRDefault="00D8141B" w:rsidP="006C341F">
      <w:pPr>
        <w:pStyle w:val="Bulletpoint"/>
        <w:tabs>
          <w:tab w:val="left" w:pos="1134"/>
        </w:tabs>
        <w:ind w:left="1134"/>
        <w:rPr>
          <w:lang w:val="en-GB"/>
        </w:rPr>
      </w:pPr>
      <w:r w:rsidRPr="00D8141B">
        <w:rPr>
          <w:lang w:val="en-GB"/>
        </w:rPr>
        <w:t>Difficulty performing daily activities; requires continuous care.</w:t>
      </w:r>
    </w:p>
    <w:p w:rsidR="00D8141B" w:rsidRPr="00D8141B" w:rsidRDefault="00D8141B" w:rsidP="00980036">
      <w:pPr>
        <w:pStyle w:val="Heading3"/>
      </w:pPr>
      <w:bookmarkStart w:id="308" w:name="_Toc144874752"/>
      <w:bookmarkStart w:id="309" w:name="_Toc144875341"/>
      <w:r w:rsidRPr="00D8141B">
        <w:t>Thrombotic disorders</w:t>
      </w:r>
      <w:bookmarkEnd w:id="308"/>
      <w:bookmarkEnd w:id="309"/>
    </w:p>
    <w:p w:rsidR="00D8141B" w:rsidRPr="00D8141B" w:rsidRDefault="00D8141B" w:rsidP="006C341F">
      <w:pPr>
        <w:pStyle w:val="BodyText12"/>
      </w:pPr>
      <w:r w:rsidRPr="00D8141B">
        <w:t xml:space="preserve">AMA5 table 9-4 (p 203) is used as the basis for determining impairment due to thrombotic disorder. </w:t>
      </w:r>
    </w:p>
    <w:p w:rsidR="006C341F" w:rsidRDefault="006C341F" w:rsidP="006C341F">
      <w:pPr>
        <w:pStyle w:val="Heading1"/>
        <w:numPr>
          <w:ilvl w:val="0"/>
          <w:numId w:val="0"/>
        </w:numPr>
        <w:rPr>
          <w:b w:val="0"/>
        </w:rPr>
        <w:sectPr w:rsidR="006C341F" w:rsidSect="002947BC">
          <w:pgSz w:w="11906" w:h="16838" w:code="9"/>
          <w:pgMar w:top="1134" w:right="1134" w:bottom="1134" w:left="1134" w:header="0" w:footer="720" w:gutter="0"/>
          <w:cols w:space="720"/>
          <w:titlePg/>
        </w:sectPr>
      </w:pPr>
      <w:bookmarkStart w:id="310" w:name="c13"/>
      <w:bookmarkStart w:id="311" w:name="_Toc529598387"/>
      <w:bookmarkStart w:id="312" w:name="_Toc144874753"/>
      <w:bookmarkStart w:id="313" w:name="_Toc422836869"/>
      <w:bookmarkEnd w:id="310"/>
    </w:p>
    <w:p w:rsidR="00D8141B" w:rsidRPr="00D8141B" w:rsidRDefault="00D8141B" w:rsidP="006C341F">
      <w:pPr>
        <w:pStyle w:val="Heading1"/>
        <w:tabs>
          <w:tab w:val="clear" w:pos="567"/>
          <w:tab w:val="left" w:pos="709"/>
        </w:tabs>
        <w:ind w:hanging="720"/>
        <w:rPr>
          <w:bCs/>
        </w:rPr>
      </w:pPr>
      <w:bookmarkStart w:id="314" w:name="_Toc487809956"/>
      <w:r w:rsidRPr="00551741">
        <w:lastRenderedPageBreak/>
        <w:t>The endocrine system</w:t>
      </w:r>
      <w:bookmarkEnd w:id="311"/>
      <w:bookmarkEnd w:id="312"/>
      <w:bookmarkEnd w:id="313"/>
      <w:bookmarkEnd w:id="314"/>
    </w:p>
    <w:p w:rsidR="00D8141B" w:rsidRPr="00B13671" w:rsidRDefault="00D8141B" w:rsidP="008B26A4">
      <w:pPr>
        <w:pStyle w:val="BodyText13"/>
        <w:numPr>
          <w:ilvl w:val="0"/>
          <w:numId w:val="0"/>
        </w:numPr>
        <w:tabs>
          <w:tab w:val="clear" w:pos="709"/>
        </w:tabs>
        <w:spacing w:after="80"/>
        <w:rPr>
          <w:rFonts w:cs="Times New Roman"/>
          <w:b/>
        </w:rPr>
      </w:pPr>
      <w:bookmarkStart w:id="315" w:name="_Toc144874754"/>
      <w:bookmarkStart w:id="316" w:name="_Toc144875343"/>
      <w:r w:rsidRPr="00B13671">
        <w:rPr>
          <w:b/>
        </w:rPr>
        <w:t xml:space="preserve">Chapter 10, AMA5 </w:t>
      </w:r>
      <w:r w:rsidR="00D1454D" w:rsidRPr="00B13671">
        <w:rPr>
          <w:b/>
        </w:rPr>
        <w:t xml:space="preserve">(page 211) </w:t>
      </w:r>
      <w:r w:rsidRPr="00B13671">
        <w:rPr>
          <w:b/>
        </w:rPr>
        <w:t>applies to the assessment of permanent impairment of the endocrine system, subject to the modifications set out below.</w:t>
      </w:r>
      <w:bookmarkEnd w:id="315"/>
      <w:bookmarkEnd w:id="316"/>
      <w:r w:rsidRPr="00B13671">
        <w:rPr>
          <w:b/>
        </w:rPr>
        <w:t xml:space="preserve"> Before undertaking an impai</w:t>
      </w:r>
      <w:r w:rsidR="004A5BE6" w:rsidRPr="00B13671">
        <w:rPr>
          <w:b/>
        </w:rPr>
        <w:t>rment assessment, users of the</w:t>
      </w:r>
      <w:r w:rsidRPr="00B13671">
        <w:rPr>
          <w:b/>
        </w:rPr>
        <w:t xml:space="preserve"> Guidelines must be familiar with the</w:t>
      </w:r>
      <w:r w:rsidRPr="00B13671">
        <w:rPr>
          <w:rFonts w:cs="Times New Roman"/>
          <w:b/>
        </w:rPr>
        <w:t xml:space="preserve"> following:</w:t>
      </w:r>
    </w:p>
    <w:p w:rsidR="00D8141B" w:rsidRPr="00D1454D" w:rsidRDefault="004A5BE6" w:rsidP="008B26A4">
      <w:pPr>
        <w:pStyle w:val="Bulletpoint"/>
        <w:tabs>
          <w:tab w:val="left" w:pos="1134"/>
        </w:tabs>
        <w:spacing w:after="80"/>
        <w:ind w:left="1134"/>
        <w:rPr>
          <w:rFonts w:eastAsia="Calibri"/>
          <w:lang w:val="en-US"/>
        </w:rPr>
      </w:pPr>
      <w:r>
        <w:rPr>
          <w:rFonts w:eastAsia="Calibri"/>
          <w:lang w:val="en-US"/>
        </w:rPr>
        <w:t>The Introduction in the</w:t>
      </w:r>
      <w:r w:rsidR="00D8141B" w:rsidRPr="00D1454D">
        <w:rPr>
          <w:rFonts w:eastAsia="Calibri"/>
          <w:lang w:val="en-US"/>
        </w:rPr>
        <w:t xml:space="preserve"> Guidelines</w:t>
      </w:r>
    </w:p>
    <w:p w:rsidR="00D8141B" w:rsidRPr="00D1454D" w:rsidRDefault="00D8141B" w:rsidP="008B26A4">
      <w:pPr>
        <w:pStyle w:val="Bulletpoint"/>
        <w:tabs>
          <w:tab w:val="left" w:pos="1134"/>
        </w:tabs>
        <w:spacing w:after="80"/>
        <w:ind w:left="1134"/>
        <w:rPr>
          <w:rFonts w:eastAsia="Calibri"/>
          <w:lang w:val="en-US"/>
        </w:rPr>
      </w:pPr>
      <w:r w:rsidRPr="00D1454D">
        <w:rPr>
          <w:rFonts w:eastAsia="Calibri"/>
          <w:lang w:val="en-US"/>
        </w:rPr>
        <w:t>Chapters 1 and 2 of AMA5</w:t>
      </w:r>
    </w:p>
    <w:p w:rsidR="00D8141B" w:rsidRPr="00D1454D" w:rsidRDefault="00D8141B" w:rsidP="008B26A4">
      <w:pPr>
        <w:pStyle w:val="Bulletpoint"/>
        <w:tabs>
          <w:tab w:val="left" w:pos="1134"/>
        </w:tabs>
        <w:spacing w:after="80"/>
        <w:ind w:left="1134"/>
        <w:rPr>
          <w:rFonts w:eastAsia="Calibri"/>
          <w:lang w:val="en-US"/>
        </w:rPr>
      </w:pPr>
      <w:r w:rsidRPr="00D1454D">
        <w:rPr>
          <w:rFonts w:eastAsia="Calibri"/>
          <w:lang w:val="en-US"/>
        </w:rPr>
        <w:t>Th</w:t>
      </w:r>
      <w:r w:rsidR="004A5BE6">
        <w:rPr>
          <w:rFonts w:eastAsia="Calibri"/>
          <w:lang w:val="en-US"/>
        </w:rPr>
        <w:t>e appropriate chapter/s of the</w:t>
      </w:r>
      <w:r w:rsidRPr="00D1454D">
        <w:rPr>
          <w:rFonts w:eastAsia="Calibri"/>
          <w:lang w:val="en-US"/>
        </w:rPr>
        <w:t xml:space="preserve"> Guidelines for the body system they are assessing.</w:t>
      </w:r>
    </w:p>
    <w:p w:rsidR="00D8141B" w:rsidRPr="00D1454D" w:rsidRDefault="00D8141B" w:rsidP="00B13671">
      <w:pPr>
        <w:pStyle w:val="Bulletpoint"/>
        <w:tabs>
          <w:tab w:val="left" w:pos="1134"/>
        </w:tabs>
        <w:ind w:left="1134"/>
        <w:rPr>
          <w:rFonts w:eastAsia="Calibri"/>
          <w:lang w:val="en-US"/>
        </w:rPr>
      </w:pPr>
      <w:r w:rsidRPr="00D1454D">
        <w:rPr>
          <w:rFonts w:eastAsia="Calibri"/>
          <w:lang w:val="en-US"/>
        </w:rPr>
        <w:t>The appropriate chapter/s of AMA5 for the body system they are assessing.</w:t>
      </w:r>
    </w:p>
    <w:p w:rsidR="00D8141B" w:rsidRPr="00D1454D" w:rsidRDefault="004A5BE6" w:rsidP="00B13671">
      <w:pPr>
        <w:pStyle w:val="BodyText13"/>
        <w:numPr>
          <w:ilvl w:val="0"/>
          <w:numId w:val="0"/>
        </w:numPr>
        <w:spacing w:before="240"/>
        <w:ind w:left="709" w:hanging="709"/>
      </w:pPr>
      <w:r>
        <w:rPr>
          <w:rFonts w:eastAsia="Calibri"/>
        </w:rPr>
        <w:t>The</w:t>
      </w:r>
      <w:r w:rsidR="00D8141B" w:rsidRPr="00D1454D">
        <w:rPr>
          <w:rFonts w:eastAsia="Calibri"/>
        </w:rPr>
        <w:t xml:space="preserve"> Guidelines take precedence over AMA5</w:t>
      </w:r>
      <w:r w:rsidR="00D8141B" w:rsidRPr="00D1454D">
        <w:rPr>
          <w:rFonts w:ascii="Calibri" w:eastAsia="Calibri" w:hAnsi="Calibri" w:cs="Calibri"/>
          <w:sz w:val="20"/>
        </w:rPr>
        <w:t>.</w:t>
      </w:r>
    </w:p>
    <w:p w:rsidR="00D8141B" w:rsidRPr="00D8141B" w:rsidRDefault="00D8141B" w:rsidP="00B13671">
      <w:pPr>
        <w:pStyle w:val="Heading3"/>
      </w:pPr>
      <w:bookmarkStart w:id="317" w:name="_Toc144874755"/>
      <w:bookmarkStart w:id="318" w:name="_Toc144875344"/>
      <w:r w:rsidRPr="00D8141B">
        <w:t>Introduction</w:t>
      </w:r>
      <w:bookmarkEnd w:id="317"/>
      <w:bookmarkEnd w:id="318"/>
    </w:p>
    <w:p w:rsidR="00D8141B" w:rsidRPr="00D8141B" w:rsidRDefault="00D8141B" w:rsidP="00B13671">
      <w:pPr>
        <w:pStyle w:val="BodyText13"/>
      </w:pPr>
      <w:r w:rsidRPr="00D8141B">
        <w:t>AMA5 chapter 10 provides a useful summary of the methods for assessing permanent impairment arising from disorders of the endocrine system.</w:t>
      </w:r>
    </w:p>
    <w:p w:rsidR="00D8141B" w:rsidRPr="00D8141B" w:rsidRDefault="00D8141B" w:rsidP="00B13671">
      <w:pPr>
        <w:pStyle w:val="BodyText13"/>
      </w:pPr>
      <w:r w:rsidRPr="00D8141B">
        <w:t xml:space="preserve">Refer to other chapters in </w:t>
      </w:r>
      <w:r w:rsidR="00715BFE" w:rsidRPr="00D8141B">
        <w:t>AMA</w:t>
      </w:r>
      <w:r w:rsidR="00BA1EB2">
        <w:t>5</w:t>
      </w:r>
      <w:r w:rsidR="00715BFE" w:rsidRPr="00D8141B">
        <w:t xml:space="preserve"> </w:t>
      </w:r>
      <w:r w:rsidRPr="00D8141B">
        <w:t>for related structural changes</w:t>
      </w:r>
      <w:r w:rsidR="00BA1EB2">
        <w:t xml:space="preserve"> </w:t>
      </w:r>
      <w:r w:rsidRPr="00D8141B">
        <w:t>- the skin (eg</w:t>
      </w:r>
      <w:r w:rsidR="004262BC">
        <w:t> </w:t>
      </w:r>
      <w:r w:rsidRPr="00D8141B">
        <w:t xml:space="preserve">pigmentation </w:t>
      </w:r>
      <w:r w:rsidR="00BA1EB2">
        <w:t>in C</w:t>
      </w:r>
      <w:r w:rsidRPr="00D8141B">
        <w:t>hapter 8), the central and peripheral nervous system (</w:t>
      </w:r>
      <w:r w:rsidR="00BA1EB2">
        <w:t>eg</w:t>
      </w:r>
      <w:r w:rsidR="004262BC">
        <w:t> </w:t>
      </w:r>
      <w:r w:rsidRPr="00D8141B">
        <w:t xml:space="preserve">memory, </w:t>
      </w:r>
      <w:r w:rsidR="00BA1EB2">
        <w:t>in C</w:t>
      </w:r>
      <w:r w:rsidRPr="00D8141B">
        <w:t>hapter 13), the urinary and reproductive system (</w:t>
      </w:r>
      <w:r w:rsidR="00BA1EB2">
        <w:t xml:space="preserve">eg </w:t>
      </w:r>
      <w:r w:rsidRPr="00D8141B">
        <w:t xml:space="preserve">infertility, renal impairment, </w:t>
      </w:r>
      <w:r w:rsidR="00BA1EB2">
        <w:t>in C</w:t>
      </w:r>
      <w:r w:rsidRPr="00D8141B">
        <w:t>hapter 7), the digestive system (</w:t>
      </w:r>
      <w:r w:rsidR="00BA1EB2">
        <w:t xml:space="preserve">eg </w:t>
      </w:r>
      <w:r w:rsidRPr="00D8141B">
        <w:t xml:space="preserve">dyspepsia, </w:t>
      </w:r>
      <w:r w:rsidR="00BA1EB2">
        <w:t>in C</w:t>
      </w:r>
      <w:r w:rsidRPr="00D8141B">
        <w:t>hapter 6), the cardiovascular system (</w:t>
      </w:r>
      <w:r w:rsidR="00BA1EB2">
        <w:t>in C</w:t>
      </w:r>
      <w:r w:rsidRPr="00D8141B">
        <w:t>hapters 3 and 4)</w:t>
      </w:r>
      <w:r w:rsidR="00BA1EB2">
        <w:t xml:space="preserve"> and </w:t>
      </w:r>
      <w:r w:rsidR="00BA1EB2" w:rsidRPr="00D8141B">
        <w:t>the visual system (</w:t>
      </w:r>
      <w:r w:rsidR="00BA1EB2">
        <w:t>C</w:t>
      </w:r>
      <w:r w:rsidR="00BA1EB2" w:rsidRPr="00D8141B">
        <w:t xml:space="preserve">hapter </w:t>
      </w:r>
      <w:r w:rsidR="00BA1EB2">
        <w:t>8 AMA4</w:t>
      </w:r>
      <w:r w:rsidR="00BA1EB2" w:rsidRPr="00D8141B">
        <w:t>)</w:t>
      </w:r>
      <w:r w:rsidRPr="00D8141B">
        <w:t>.</w:t>
      </w:r>
    </w:p>
    <w:p w:rsidR="00D8141B" w:rsidRPr="00D8141B" w:rsidRDefault="00D8141B" w:rsidP="00B13671">
      <w:pPr>
        <w:pStyle w:val="BodyText13"/>
      </w:pPr>
      <w:r w:rsidRPr="00D8141B">
        <w:t xml:space="preserve">The clinical findings to support the impairment assessment are to be reported in the units recommended by the Royal College of Pathologists of Australia. (See </w:t>
      </w:r>
      <w:r w:rsidR="004262BC">
        <w:t>A</w:t>
      </w:r>
      <w:r w:rsidRPr="004262BC">
        <w:t>ppendix 13.1).</w:t>
      </w:r>
    </w:p>
    <w:p w:rsidR="00D8141B" w:rsidRPr="00D8141B" w:rsidRDefault="00D8141B" w:rsidP="00B13671">
      <w:pPr>
        <w:pStyle w:val="BodyText13"/>
      </w:pPr>
      <w:r w:rsidRPr="00D8141B">
        <w:t>Westergren erythrocyte sedimentation rate (WSR) is equivalent to ESR.</w:t>
      </w:r>
    </w:p>
    <w:p w:rsidR="00D8141B" w:rsidRPr="00D8141B" w:rsidRDefault="00D8141B" w:rsidP="00B13671">
      <w:pPr>
        <w:pStyle w:val="Heading3"/>
      </w:pPr>
      <w:bookmarkStart w:id="319" w:name="_Toc144874756"/>
      <w:bookmarkStart w:id="320" w:name="_Toc144875345"/>
      <w:r w:rsidRPr="00D8141B">
        <w:t>Adrenal cortex</w:t>
      </w:r>
      <w:bookmarkEnd w:id="319"/>
      <w:bookmarkEnd w:id="320"/>
    </w:p>
    <w:p w:rsidR="00D8141B" w:rsidRPr="00D8141B" w:rsidRDefault="00D8141B" w:rsidP="00B13671">
      <w:pPr>
        <w:pStyle w:val="BodyText13"/>
      </w:pPr>
      <w:r w:rsidRPr="00D8141B">
        <w:t>AMA5 (p 222) first paragraph: disregard the last sentence, 'they also affect inflammatory response, cell membrane permeability, and immunologic responses, and they play a role in the development and maintenance of secondary sexual characteristics'. Replace with:  'immunological and inflammatory responses are reduced by these hormones and they play a role in the development and maintenance of secondary sexual characteristics'.</w:t>
      </w:r>
    </w:p>
    <w:p w:rsidR="00D8141B" w:rsidRPr="00D8141B" w:rsidRDefault="00D8141B" w:rsidP="00B13671">
      <w:pPr>
        <w:pStyle w:val="BodyText13"/>
      </w:pPr>
      <w:r w:rsidRPr="00D8141B">
        <w:t>AMA5 example 10-18 (pp 224-225): see reference to ESR (13.4 above).</w:t>
      </w:r>
    </w:p>
    <w:p w:rsidR="00D8141B" w:rsidRPr="00D8141B" w:rsidRDefault="00D8141B" w:rsidP="00B13671">
      <w:pPr>
        <w:pStyle w:val="BodyText13"/>
      </w:pPr>
      <w:r w:rsidRPr="00D8141B">
        <w:t xml:space="preserve">AMA5 example 10-20 (p 225): History: for 'hypnotic bladder' read 'hypotonic bladder'. </w:t>
      </w:r>
    </w:p>
    <w:p w:rsidR="00D8141B" w:rsidRPr="00D8141B" w:rsidRDefault="00D8141B" w:rsidP="00B13671">
      <w:pPr>
        <w:pStyle w:val="Heading3"/>
      </w:pPr>
      <w:bookmarkStart w:id="321" w:name="_Toc144874757"/>
      <w:bookmarkStart w:id="322" w:name="_Toc144875346"/>
      <w:r w:rsidRPr="00D8141B">
        <w:t>Diabetes mellitus</w:t>
      </w:r>
      <w:bookmarkEnd w:id="321"/>
      <w:bookmarkEnd w:id="322"/>
      <w:r w:rsidRPr="00D8141B">
        <w:t xml:space="preserve"> </w:t>
      </w:r>
    </w:p>
    <w:p w:rsidR="00D8141B" w:rsidRPr="00D8141B" w:rsidRDefault="00D8141B" w:rsidP="00B13671">
      <w:pPr>
        <w:pStyle w:val="BodyText13"/>
      </w:pPr>
      <w:r w:rsidRPr="00D8141B">
        <w:t xml:space="preserve">AMA5 (p 231): refer to the </w:t>
      </w:r>
      <w:r w:rsidRPr="004A5BE6">
        <w:rPr>
          <w:i/>
        </w:rPr>
        <w:t>Australian Diabetes Association Guidelines</w:t>
      </w:r>
      <w:r w:rsidRPr="00D8141B">
        <w:t xml:space="preserve"> with regard to levels of fasting glucose. (Position statement from the Australian Diabetes Society, reprinted in </w:t>
      </w:r>
      <w:r w:rsidR="004262BC" w:rsidRPr="004262BC">
        <w:t>A</w:t>
      </w:r>
      <w:r w:rsidRPr="004262BC">
        <w:t>ppendix 13.2</w:t>
      </w:r>
      <w:r w:rsidRPr="00D8141B">
        <w:t>).</w:t>
      </w:r>
    </w:p>
    <w:p w:rsidR="00D8141B" w:rsidRPr="00D8141B" w:rsidRDefault="00D8141B" w:rsidP="00B13671">
      <w:pPr>
        <w:pStyle w:val="BodyText13"/>
      </w:pPr>
      <w:r w:rsidRPr="00D8141B">
        <w:t>AMA5 (p 231): insert at the end of the second paragraph: 'the goal of treatment is to maintain haemoglobin A lc within one per cent of the normal range (four to 6.3 per cent)'.</w:t>
      </w:r>
    </w:p>
    <w:p w:rsidR="00D8141B" w:rsidRPr="00D8141B" w:rsidRDefault="00D8141B" w:rsidP="00B13671">
      <w:pPr>
        <w:pStyle w:val="Heading3"/>
      </w:pPr>
      <w:bookmarkStart w:id="323" w:name="_Toc144874758"/>
      <w:bookmarkStart w:id="324" w:name="_Toc144875347"/>
      <w:r w:rsidRPr="00D8141B">
        <w:t>Mammary glands</w:t>
      </w:r>
      <w:bookmarkEnd w:id="323"/>
      <w:bookmarkEnd w:id="324"/>
    </w:p>
    <w:p w:rsidR="00D8141B" w:rsidRPr="00D8141B" w:rsidRDefault="00D8141B" w:rsidP="008B26A4">
      <w:pPr>
        <w:pStyle w:val="BodyText13"/>
      </w:pPr>
      <w:r w:rsidRPr="00D8141B">
        <w:t>AMA5 example 10-45 (p 239), current symptoms:  disregard the last sentence, 'both bromocriptine and cabergoline cause nausea, precluding use of either drug' and replace with:  'routine use of bromocriptine and cabergoline is normal in Australia. It is rare that nausea precludes their use'.</w:t>
      </w:r>
    </w:p>
    <w:p w:rsidR="00D8141B" w:rsidRPr="00D8141B" w:rsidRDefault="00D8141B" w:rsidP="008B26A4">
      <w:pPr>
        <w:pStyle w:val="Heading3"/>
        <w:spacing w:before="240" w:after="120"/>
      </w:pPr>
      <w:bookmarkStart w:id="325" w:name="_Toc144874759"/>
      <w:bookmarkStart w:id="326" w:name="_Toc144875348"/>
      <w:r w:rsidRPr="00D8141B">
        <w:lastRenderedPageBreak/>
        <w:t>Criteria for rating permanent impairment due to metabolic bone disease</w:t>
      </w:r>
      <w:bookmarkEnd w:id="325"/>
      <w:bookmarkEnd w:id="326"/>
      <w:r w:rsidRPr="00D8141B">
        <w:t xml:space="preserve"> </w:t>
      </w:r>
    </w:p>
    <w:p w:rsidR="00D8141B" w:rsidRPr="00D8141B" w:rsidRDefault="00D8141B" w:rsidP="00B13671">
      <w:pPr>
        <w:pStyle w:val="BodyText13"/>
      </w:pPr>
      <w:r w:rsidRPr="00D8141B">
        <w:t>AMA5 (p 240): impairment due to a metabolic bone disease itself is unlikely to be associated with a work injury and would usually represent a pre-existing condition.</w:t>
      </w:r>
    </w:p>
    <w:p w:rsidR="00D8141B" w:rsidRPr="00D8141B" w:rsidRDefault="00D8141B" w:rsidP="00B13671">
      <w:pPr>
        <w:pStyle w:val="BodyText13"/>
      </w:pPr>
      <w:r w:rsidRPr="00D8141B">
        <w:t>Impairment from fracture, spinal collapse or other complications may arise as a result of a work injury associated with these underlying conditions (as noted in AMA5, section 10.10c) and would be assessed using the other chapters indicated, with the exception of chapter 18 (pain) which is excluded from the Guidelines.</w:t>
      </w:r>
    </w:p>
    <w:p w:rsidR="00D8141B" w:rsidRPr="00B13671" w:rsidRDefault="00D8141B" w:rsidP="00B13671">
      <w:pPr>
        <w:pStyle w:val="BodyText13"/>
        <w:numPr>
          <w:ilvl w:val="0"/>
          <w:numId w:val="0"/>
        </w:numPr>
        <w:spacing w:before="240" w:after="120"/>
        <w:rPr>
          <w:b/>
          <w:sz w:val="24"/>
          <w:szCs w:val="24"/>
        </w:rPr>
      </w:pPr>
      <w:bookmarkStart w:id="327" w:name="_Hlt529601122"/>
      <w:bookmarkStart w:id="328" w:name="_Ref529503741"/>
      <w:bookmarkStart w:id="329" w:name="_Toc144874760"/>
      <w:bookmarkStart w:id="330" w:name="_Toc144875349"/>
      <w:bookmarkEnd w:id="327"/>
      <w:r w:rsidRPr="00B13671">
        <w:rPr>
          <w:b/>
          <w:sz w:val="24"/>
          <w:szCs w:val="24"/>
        </w:rPr>
        <w:t>Appendix 13 .1: Interpretation of pathology tests</w:t>
      </w:r>
      <w:bookmarkEnd w:id="328"/>
      <w:bookmarkEnd w:id="329"/>
      <w:bookmarkEnd w:id="330"/>
      <w:r w:rsidRPr="00B13671">
        <w:rPr>
          <w:b/>
          <w:sz w:val="24"/>
          <w:szCs w:val="24"/>
        </w:rPr>
        <w:t xml:space="preserve">  </w:t>
      </w:r>
    </w:p>
    <w:p w:rsidR="00D8141B" w:rsidRPr="00D8141B" w:rsidRDefault="00D8141B" w:rsidP="008B26A4">
      <w:pPr>
        <w:pStyle w:val="BodyText13"/>
        <w:numPr>
          <w:ilvl w:val="0"/>
          <w:numId w:val="0"/>
        </w:numPr>
        <w:tabs>
          <w:tab w:val="clear" w:pos="709"/>
        </w:tabs>
        <w:spacing w:after="120"/>
      </w:pPr>
      <w:r w:rsidRPr="00D8141B">
        <w:t xml:space="preserve">From </w:t>
      </w:r>
      <w:r w:rsidRPr="00D8141B">
        <w:rPr>
          <w:i/>
        </w:rPr>
        <w:t xml:space="preserve">Manual of use and interpretation of pathology tests, </w:t>
      </w:r>
      <w:r w:rsidRPr="00D8141B">
        <w:t>third edition. Reprinted with kind permission of the Royal College of Pathologists of Australasia.</w:t>
      </w:r>
    </w:p>
    <w:tbl>
      <w:tblPr>
        <w:tblW w:w="9634" w:type="dxa"/>
        <w:jc w:val="center"/>
        <w:tblLayout w:type="fixed"/>
        <w:tblCellMar>
          <w:left w:w="60" w:type="dxa"/>
          <w:right w:w="60" w:type="dxa"/>
        </w:tblCellMar>
        <w:tblLook w:val="0000" w:firstRow="0" w:lastRow="0" w:firstColumn="0" w:lastColumn="0" w:noHBand="0" w:noVBand="0"/>
      </w:tblPr>
      <w:tblGrid>
        <w:gridCol w:w="3964"/>
        <w:gridCol w:w="2694"/>
        <w:gridCol w:w="2976"/>
      </w:tblGrid>
      <w:tr w:rsidR="008B26A4" w:rsidRPr="00D8141B" w:rsidTr="008B26A4">
        <w:trPr>
          <w:jc w:val="center"/>
        </w:trPr>
        <w:tc>
          <w:tcPr>
            <w:tcW w:w="9634" w:type="dxa"/>
            <w:gridSpan w:val="3"/>
            <w:tcBorders>
              <w:top w:val="single" w:sz="4" w:space="0" w:color="auto"/>
              <w:left w:val="single" w:sz="4" w:space="0" w:color="auto"/>
              <w:bottom w:val="single" w:sz="4" w:space="0" w:color="auto"/>
              <w:right w:val="single" w:sz="4" w:space="0" w:color="auto"/>
            </w:tcBorders>
            <w:shd w:val="pct10" w:color="auto" w:fill="auto"/>
          </w:tcPr>
          <w:p w:rsidR="008B26A4" w:rsidRPr="00B13671" w:rsidRDefault="008B26A4" w:rsidP="00B13671">
            <w:pPr>
              <w:keepNext/>
              <w:spacing w:before="40" w:after="40" w:line="240" w:lineRule="auto"/>
              <w:jc w:val="center"/>
              <w:outlineLvl w:val="2"/>
              <w:rPr>
                <w:rFonts w:eastAsia="Times New Roman" w:cs="Arial"/>
                <w:lang w:val="en-US"/>
              </w:rPr>
            </w:pPr>
            <w:bookmarkStart w:id="331" w:name="_Toc144874761"/>
            <w:bookmarkStart w:id="332" w:name="_Toc144875350"/>
            <w:r w:rsidRPr="00B13671">
              <w:rPr>
                <w:rFonts w:eastAsia="Times New Roman" w:cs="Arial"/>
                <w:b/>
                <w:bCs/>
                <w:lang w:val="en-US"/>
              </w:rPr>
              <w:t>Reference ranges, plasma or serum, unless otherwise indicated</w:t>
            </w:r>
            <w:bookmarkEnd w:id="331"/>
            <w:bookmarkEnd w:id="332"/>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Alanine aminotransferase (ALT)</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&lt; 35 U/L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8B26A4" w:rsidRPr="00D8141B" w:rsidRDefault="008B26A4" w:rsidP="008B26A4">
            <w:pPr>
              <w:keepLines/>
              <w:widowControl w:val="0"/>
              <w:suppressAutoHyphens/>
              <w:spacing w:before="6" w:after="6" w:line="240" w:lineRule="auto"/>
              <w:rPr>
                <w:rFonts w:eastAsia="Times New Roman" w:cs="Arial"/>
                <w:snapToGrid w:val="0"/>
                <w:sz w:val="20"/>
                <w:szCs w:val="20"/>
                <w:lang w:val="en-GB"/>
              </w:rPr>
            </w:pPr>
          </w:p>
        </w:tc>
        <w:tc>
          <w:tcPr>
            <w:tcW w:w="2694" w:type="dxa"/>
            <w:tcBorders>
              <w:top w:val="single" w:sz="4" w:space="0" w:color="auto"/>
              <w:left w:val="single" w:sz="4" w:space="0" w:color="auto"/>
              <w:bottom w:val="single" w:sz="4" w:space="0" w:color="auto"/>
              <w:right w:val="single" w:sz="4" w:space="0" w:color="auto"/>
            </w:tcBorders>
          </w:tcPr>
          <w:p w:rsidR="008B26A4" w:rsidRPr="00D8141B" w:rsidRDefault="008B26A4" w:rsidP="008B26A4">
            <w:pPr>
              <w:keepLines/>
              <w:widowControl w:val="0"/>
              <w:suppressAutoHyphens/>
              <w:spacing w:before="6" w:after="6" w:line="240" w:lineRule="auto"/>
              <w:rPr>
                <w:rFonts w:eastAsia="Times New Roman" w:cs="Arial"/>
                <w:snapToGrid w:val="0"/>
                <w:sz w:val="20"/>
                <w:szCs w:val="20"/>
                <w:lang w:val="en-GB"/>
              </w:rPr>
            </w:pPr>
          </w:p>
        </w:tc>
        <w:tc>
          <w:tcPr>
            <w:tcW w:w="2976" w:type="dxa"/>
            <w:tcBorders>
              <w:top w:val="single" w:sz="4" w:space="0" w:color="auto"/>
              <w:left w:val="single" w:sz="4" w:space="0" w:color="auto"/>
              <w:bottom w:val="single" w:sz="4" w:space="0" w:color="auto"/>
              <w:right w:val="single" w:sz="4" w:space="0" w:color="auto"/>
            </w:tcBorders>
          </w:tcPr>
          <w:p w:rsidR="008B26A4" w:rsidRPr="00D8141B" w:rsidRDefault="008B26A4" w:rsidP="008B26A4">
            <w:pPr>
              <w:keepLines/>
              <w:widowControl w:val="0"/>
              <w:suppressAutoHyphens/>
              <w:spacing w:before="6" w:after="6" w:line="240" w:lineRule="auto"/>
              <w:rPr>
                <w:rFonts w:eastAsia="Times New Roman" w:cs="Arial"/>
                <w:snapToGrid w:val="0"/>
                <w:sz w:val="20"/>
                <w:szCs w:val="20"/>
                <w:lang w:val="en-GB"/>
              </w:rPr>
            </w:pP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Albumin</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32–45 g/L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Alkaline phosphatase (ALP)</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 non-pregnant)</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25–100 U/L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Alpha fetoprotein</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 non-pregnant)</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&lt; 10 g/L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Alpha-1-antitrypsin</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1.7–3.4 g/L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Anion gap</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8–16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Aspartate aminotransferase (AST)</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&lt; 40 U/L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Bicarbonate (total </w:t>
            </w:r>
            <w:r w:rsidRPr="00D8141B">
              <w:rPr>
                <w:rFonts w:eastAsia="Times New Roman" w:cs="Arial"/>
                <w:smallCaps/>
                <w:snapToGrid w:val="0"/>
                <w:sz w:val="20"/>
                <w:szCs w:val="20"/>
                <w:lang w:val="en-GB"/>
              </w:rPr>
              <w:t>co</w:t>
            </w:r>
            <w:r w:rsidRPr="00D8141B">
              <w:rPr>
                <w:rFonts w:eastAsia="Times New Roman" w:cs="Arial"/>
                <w:snapToGrid w:val="0"/>
                <w:sz w:val="20"/>
                <w:szCs w:val="20"/>
                <w:vertAlign w:val="subscript"/>
                <w:lang w:val="en-GB"/>
              </w:rPr>
              <w:t>2</w:t>
            </w:r>
            <w:r w:rsidRPr="00D8141B">
              <w:rPr>
                <w:rFonts w:eastAsia="Times New Roman" w:cs="Arial"/>
                <w:snapToGrid w:val="0"/>
                <w:sz w:val="20"/>
                <w:szCs w:val="20"/>
                <w:lang w:val="en-GB"/>
              </w:rPr>
              <w:t>)</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22–32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Bilirubin (total)</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&lt; 20  </w:t>
            </w:r>
            <w:r w:rsidRPr="00D8141B">
              <w:rPr>
                <w:rFonts w:ascii="Estrangelo Edessa" w:eastAsia="Times New Roman" w:hAnsi="Estrangelo Edessa" w:cs="Arial"/>
                <w:snapToGrid w:val="0"/>
                <w:sz w:val="20"/>
                <w:szCs w:val="20"/>
                <w:lang w:val="en-GB"/>
              </w:rPr>
              <w:t>µ</w:t>
            </w:r>
            <w:r w:rsidRPr="00D8141B">
              <w:rPr>
                <w:rFonts w:eastAsia="Times New Roman" w:cs="Arial"/>
                <w:snapToGrid w:val="0"/>
                <w:sz w:val="20"/>
                <w:szCs w:val="20"/>
                <w:lang w:val="en-GB"/>
              </w:rPr>
              <w:t>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Calcium</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(total)</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2.10–2.60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(ionised)</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1.17–1.30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Chloride</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95–110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Cholesterol (HDL)</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(male)</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0.9–2.0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(female)</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1.0–2.2 mmol/L</w:t>
            </w:r>
          </w:p>
        </w:tc>
      </w:tr>
      <w:tr w:rsidR="008B26A4" w:rsidRPr="00D8141B" w:rsidTr="008B26A4">
        <w:trPr>
          <w:cantSplit/>
          <w:jc w:val="center"/>
        </w:trPr>
        <w:tc>
          <w:tcPr>
            <w:tcW w:w="6658" w:type="dxa"/>
            <w:gridSpan w:val="2"/>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Cholesterol (total)</w:t>
            </w:r>
            <w:r w:rsidRPr="00D8141B">
              <w:rPr>
                <w:rFonts w:eastAsia="Times New Roman" w:cs="Arial"/>
                <w:snapToGrid w:val="0"/>
                <w:sz w:val="20"/>
                <w:szCs w:val="20"/>
                <w:lang w:val="en-GB"/>
              </w:rPr>
              <w:br/>
            </w:r>
            <w:r w:rsidRPr="00D8141B">
              <w:rPr>
                <w:rFonts w:eastAsia="Times New Roman" w:cs="Arial"/>
                <w:i/>
                <w:snapToGrid w:val="0"/>
                <w:sz w:val="20"/>
                <w:szCs w:val="20"/>
                <w:lang w:val="en-GB"/>
              </w:rPr>
              <w:t>(National Heart Foundation [Australia] recommendation)</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&lt; 5.5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Copper</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13–22 µmol/L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Creatine kinase (CK)</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(male)</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60–220 U/L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(female)</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30–180 U/L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Creatinine</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 male)</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0.06–0.12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 female)</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0.05–0.11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Gamma glutamyl transferase (GGT)</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(male)</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&lt; 50 U/L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(female)</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&lt; 30 U/L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Globulin</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25–35g/L</w:t>
            </w:r>
          </w:p>
        </w:tc>
      </w:tr>
      <w:tr w:rsidR="008B26A4" w:rsidRPr="00D8141B" w:rsidTr="008B26A4">
        <w:trPr>
          <w:trHeight w:val="737"/>
          <w:jc w:val="center"/>
        </w:trPr>
        <w:tc>
          <w:tcPr>
            <w:tcW w:w="3964" w:type="dxa"/>
            <w:tcBorders>
              <w:top w:val="single" w:sz="4" w:space="0" w:color="auto"/>
              <w:left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Glucose</w:t>
            </w:r>
          </w:p>
        </w:tc>
        <w:tc>
          <w:tcPr>
            <w:tcW w:w="2694" w:type="dxa"/>
            <w:tcBorders>
              <w:top w:val="single" w:sz="4" w:space="0" w:color="auto"/>
              <w:left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(venous plasma) - (fasting)</w:t>
            </w:r>
          </w:p>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(venous plasma) - (random)</w:t>
            </w:r>
          </w:p>
        </w:tc>
        <w:tc>
          <w:tcPr>
            <w:tcW w:w="2976" w:type="dxa"/>
            <w:tcBorders>
              <w:top w:val="single" w:sz="4" w:space="0" w:color="auto"/>
              <w:left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3.0–5.4 mmol/L</w:t>
            </w:r>
          </w:p>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3.0–7.7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Lactate dehydrogenase (LD)</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110–230 U/L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Magnesium</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0.8–1.0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Osmolality</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280–300 m.osmoll/kg water</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pCO2</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(arterial blood)</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4.6–6.0 kPa (35–45 mmHg)</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543DCA" w:rsidP="008B26A4">
            <w:pPr>
              <w:keepLines/>
              <w:widowControl w:val="0"/>
              <w:suppressAutoHyphens/>
              <w:spacing w:before="6" w:after="6" w:line="240" w:lineRule="auto"/>
              <w:rPr>
                <w:rFonts w:eastAsia="Times New Roman" w:cs="Arial"/>
                <w:snapToGrid w:val="0"/>
                <w:sz w:val="20"/>
                <w:szCs w:val="20"/>
                <w:lang w:val="en-GB"/>
              </w:rPr>
            </w:pPr>
            <w:r>
              <w:rPr>
                <w:rFonts w:eastAsia="Times New Roman" w:cs="Arial"/>
                <w:snapToGrid w:val="0"/>
                <w:sz w:val="20"/>
                <w:szCs w:val="20"/>
                <w:lang w:val="en-GB"/>
              </w:rPr>
              <w:t>p</w:t>
            </w:r>
            <w:r w:rsidRPr="00D8141B">
              <w:rPr>
                <w:rFonts w:eastAsia="Times New Roman" w:cs="Arial"/>
                <w:snapToGrid w:val="0"/>
                <w:sz w:val="20"/>
                <w:szCs w:val="20"/>
                <w:lang w:val="en-GB"/>
              </w:rPr>
              <w:t>H</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(arterial blood)</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7.36–7.44 (36–44 nmol/L)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Phosphate</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0.8–1.5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pO2</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(arterial blood)</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11.0–13.5 kPa (80–100 mmHg)</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Potassium</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(plasma)</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3.4–4.5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(serum)</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3.8–4.9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Prolactin</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(male)</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150–500 mU/L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(female)</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0–750 mU/L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Protein, total</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(adult)</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62–80 g/L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Sodium</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135–145 mmol/L</w:t>
            </w:r>
          </w:p>
        </w:tc>
      </w:tr>
      <w:tr w:rsidR="008B26A4" w:rsidRPr="00D8141B" w:rsidTr="008B26A4">
        <w:trPr>
          <w:jc w:val="center"/>
        </w:trPr>
        <w:tc>
          <w:tcPr>
            <w:tcW w:w="396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snapToGrid w:val="0"/>
                <w:sz w:val="20"/>
                <w:szCs w:val="20"/>
                <w:lang w:val="en-GB"/>
              </w:rPr>
              <w:t>Testosterone and related androgens</w:t>
            </w:r>
          </w:p>
        </w:tc>
        <w:tc>
          <w:tcPr>
            <w:tcW w:w="2694"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r w:rsidRPr="00D8141B">
              <w:rPr>
                <w:rFonts w:eastAsia="Times New Roman" w:cs="Arial"/>
                <w:i/>
                <w:snapToGrid w:val="0"/>
                <w:sz w:val="20"/>
                <w:szCs w:val="20"/>
                <w:lang w:val="en-GB"/>
              </w:rPr>
              <w:t>See</w:t>
            </w:r>
            <w:r w:rsidRPr="00D8141B">
              <w:rPr>
                <w:rFonts w:eastAsia="Times New Roman" w:cs="Arial"/>
                <w:snapToGrid w:val="0"/>
                <w:sz w:val="20"/>
                <w:szCs w:val="20"/>
                <w:lang w:val="en-GB"/>
              </w:rPr>
              <w:t xml:space="preserve"> Table A (below)</w:t>
            </w:r>
          </w:p>
        </w:tc>
        <w:tc>
          <w:tcPr>
            <w:tcW w:w="2976" w:type="dxa"/>
            <w:tcBorders>
              <w:top w:val="single" w:sz="4" w:space="0" w:color="auto"/>
              <w:left w:val="single" w:sz="4" w:space="0" w:color="auto"/>
              <w:bottom w:val="single" w:sz="4" w:space="0" w:color="auto"/>
              <w:right w:val="single" w:sz="4" w:space="0" w:color="auto"/>
            </w:tcBorders>
          </w:tcPr>
          <w:p w:rsidR="00D8141B" w:rsidRPr="00D8141B" w:rsidRDefault="00D8141B" w:rsidP="008B26A4">
            <w:pPr>
              <w:keepLines/>
              <w:widowControl w:val="0"/>
              <w:suppressAutoHyphens/>
              <w:spacing w:before="6" w:after="6" w:line="240" w:lineRule="auto"/>
              <w:rPr>
                <w:rFonts w:eastAsia="Times New Roman" w:cs="Arial"/>
                <w:snapToGrid w:val="0"/>
                <w:sz w:val="20"/>
                <w:szCs w:val="20"/>
                <w:lang w:val="en-GB"/>
              </w:rPr>
            </w:pPr>
          </w:p>
        </w:tc>
      </w:tr>
    </w:tbl>
    <w:p w:rsidR="00D8141B" w:rsidRPr="00586303" w:rsidRDefault="00D8141B" w:rsidP="00586303">
      <w:pPr>
        <w:keepNext/>
        <w:tabs>
          <w:tab w:val="left" w:pos="720"/>
        </w:tabs>
        <w:spacing w:after="0" w:line="240" w:lineRule="auto"/>
        <w:jc w:val="center"/>
        <w:outlineLvl w:val="3"/>
        <w:rPr>
          <w:rFonts w:eastAsia="Times New Roman" w:cs="Arial"/>
          <w:b/>
          <w:bCs/>
          <w:sz w:val="8"/>
          <w:szCs w:val="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3397"/>
        <w:gridCol w:w="2268"/>
        <w:gridCol w:w="2694"/>
      </w:tblGrid>
      <w:tr w:rsidR="00D8141B" w:rsidRPr="008B26A4" w:rsidTr="008B26A4">
        <w:trPr>
          <w:jc w:val="center"/>
        </w:trPr>
        <w:tc>
          <w:tcPr>
            <w:tcW w:w="8359" w:type="dxa"/>
            <w:gridSpan w:val="3"/>
            <w:shd w:val="pct10" w:color="auto" w:fill="auto"/>
          </w:tcPr>
          <w:p w:rsidR="00D8141B" w:rsidRPr="008B26A4" w:rsidRDefault="00D8141B" w:rsidP="00586303">
            <w:pPr>
              <w:keepLines/>
              <w:widowControl w:val="0"/>
              <w:suppressAutoHyphens/>
              <w:spacing w:before="60" w:after="60" w:line="240" w:lineRule="auto"/>
              <w:jc w:val="center"/>
              <w:rPr>
                <w:rFonts w:eastAsia="Times New Roman" w:cs="Arial"/>
                <w:snapToGrid w:val="0"/>
                <w:lang w:val="en-GB"/>
              </w:rPr>
            </w:pPr>
            <w:bookmarkStart w:id="333" w:name="_Toc144874762"/>
            <w:bookmarkStart w:id="334" w:name="_Toc144875351"/>
            <w:r w:rsidRPr="008B26A4">
              <w:rPr>
                <w:rFonts w:eastAsia="Times New Roman" w:cs="Arial"/>
                <w:b/>
                <w:bCs/>
                <w:snapToGrid w:val="0"/>
                <w:lang w:val="en-GB"/>
              </w:rPr>
              <w:t>Therapeutic intervals</w:t>
            </w:r>
            <w:bookmarkEnd w:id="333"/>
            <w:bookmarkEnd w:id="334"/>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Amitriptyline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150–900 nmol/L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60–250 µg/L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Carbamazepine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20–40 µmol/L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6–12 mg/L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Digoxin</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0.6–2.3 nmol/L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0.5–1.8 µg/L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Lithium</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0.6–1.2 mmol/L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Nortriptyline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200–650 nmol/L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50–170 µg/L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Phenobarbitone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65–170 µmol/L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15–40 mg/L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Phenytoin</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40–80 µmol/L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10–20 mg/L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Primidone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22–50 µmol/L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4.8–11.0 mg/L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Procainamide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17–42 µmol/L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4–10 mg/L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Quinidine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7–15 µmol/L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2.3–4.8 mg/L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Salicylate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1.0–2.5 mmol/L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140–350 mg/L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Theophylline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55–110 µmol/L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10–20 mg/L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Valproate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350–700 µmol/L</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50–100 mg/L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Thyroid stimulating hormone (TSH)</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0.4–5.0 mIU/L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Thyroxine (free)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10–25 pmol/L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Triglycerides (fasting)</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&lt; 2.0 mmol/L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Triiodothyronine (free)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4.0–8.0 pmol/L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Urate</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(male)</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0.20–0.45 mmol/L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(female)</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0.15–0.40 mmol/L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Urea</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(adult)</w:t>
            </w: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3.0–8.0 mmol/L</w:t>
            </w:r>
          </w:p>
        </w:tc>
      </w:tr>
      <w:tr w:rsidR="00D8141B" w:rsidRPr="008B26A4" w:rsidTr="008B26A4">
        <w:trPr>
          <w:jc w:val="center"/>
        </w:trPr>
        <w:tc>
          <w:tcPr>
            <w:tcW w:w="3397"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Zinc</w:t>
            </w:r>
          </w:p>
        </w:tc>
        <w:tc>
          <w:tcPr>
            <w:tcW w:w="2268"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p>
        </w:tc>
        <w:tc>
          <w:tcPr>
            <w:tcW w:w="2694" w:type="dxa"/>
          </w:tcPr>
          <w:p w:rsidR="00D8141B" w:rsidRPr="008B26A4" w:rsidRDefault="00D8141B" w:rsidP="00586303">
            <w:pPr>
              <w:keepLines/>
              <w:widowControl w:val="0"/>
              <w:suppressAutoHyphens/>
              <w:spacing w:before="10" w:after="10" w:line="240" w:lineRule="auto"/>
              <w:rPr>
                <w:rFonts w:eastAsia="Times New Roman" w:cs="Arial"/>
                <w:snapToGrid w:val="0"/>
                <w:sz w:val="20"/>
                <w:szCs w:val="20"/>
                <w:lang w:val="en-GB"/>
              </w:rPr>
            </w:pPr>
            <w:r w:rsidRPr="008B26A4">
              <w:rPr>
                <w:rFonts w:eastAsia="Times New Roman" w:cs="Arial"/>
                <w:snapToGrid w:val="0"/>
                <w:sz w:val="20"/>
                <w:szCs w:val="20"/>
                <w:lang w:val="en-GB"/>
              </w:rPr>
              <w:t>12–20 µmol/L</w:t>
            </w:r>
          </w:p>
        </w:tc>
      </w:tr>
    </w:tbl>
    <w:p w:rsidR="00D8141B" w:rsidRPr="008B26A4" w:rsidRDefault="00D8141B" w:rsidP="008B26A4">
      <w:pPr>
        <w:keepNext/>
        <w:tabs>
          <w:tab w:val="left" w:pos="720"/>
        </w:tabs>
        <w:spacing w:before="360" w:after="120" w:line="240" w:lineRule="auto"/>
        <w:jc w:val="center"/>
        <w:outlineLvl w:val="3"/>
        <w:rPr>
          <w:rFonts w:eastAsia="Times New Roman" w:cs="Arial"/>
          <w:b/>
          <w:bCs/>
          <w:sz w:val="24"/>
          <w:szCs w:val="24"/>
          <w:lang w:val="en-GB"/>
        </w:rPr>
      </w:pPr>
      <w:bookmarkStart w:id="335" w:name="_Toc144874763"/>
      <w:bookmarkStart w:id="336" w:name="_Toc144875352"/>
      <w:r w:rsidRPr="008B26A4">
        <w:rPr>
          <w:rFonts w:eastAsia="Times New Roman" w:cs="Arial"/>
          <w:b/>
          <w:bCs/>
          <w:sz w:val="24"/>
          <w:szCs w:val="24"/>
          <w:lang w:val="en-GB"/>
        </w:rPr>
        <w:t>Table A: Reference intervals for testosterone and related androgens (serum)</w:t>
      </w:r>
      <w:bookmarkEnd w:id="335"/>
      <w:bookmarkEnd w:id="3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2830"/>
        <w:gridCol w:w="1418"/>
        <w:gridCol w:w="1417"/>
        <w:gridCol w:w="1418"/>
        <w:gridCol w:w="1559"/>
      </w:tblGrid>
      <w:tr w:rsidR="00D8141B" w:rsidRPr="00D8141B" w:rsidTr="00586303">
        <w:trPr>
          <w:jc w:val="center"/>
        </w:trPr>
        <w:tc>
          <w:tcPr>
            <w:tcW w:w="2830" w:type="dxa"/>
            <w:vMerge w:val="restart"/>
            <w:shd w:val="pct10" w:color="auto" w:fill="auto"/>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p>
        </w:tc>
        <w:tc>
          <w:tcPr>
            <w:tcW w:w="2835" w:type="dxa"/>
            <w:gridSpan w:val="2"/>
            <w:shd w:val="pct10" w:color="auto" w:fill="auto"/>
          </w:tcPr>
          <w:p w:rsidR="00D8141B" w:rsidRPr="00586303" w:rsidRDefault="00D8141B" w:rsidP="00586303">
            <w:pPr>
              <w:keepNext/>
              <w:keepLines/>
              <w:widowControl w:val="0"/>
              <w:suppressAutoHyphens/>
              <w:spacing w:before="10" w:after="10" w:line="240" w:lineRule="auto"/>
              <w:jc w:val="center"/>
              <w:rPr>
                <w:rFonts w:eastAsia="Times New Roman" w:cs="Arial"/>
                <w:b/>
                <w:snapToGrid w:val="0"/>
                <w:sz w:val="20"/>
                <w:szCs w:val="20"/>
                <w:lang w:val="en-GB"/>
              </w:rPr>
            </w:pPr>
            <w:r w:rsidRPr="00586303">
              <w:rPr>
                <w:rFonts w:eastAsia="Times New Roman" w:cs="Arial"/>
                <w:b/>
                <w:snapToGrid w:val="0"/>
                <w:sz w:val="20"/>
                <w:szCs w:val="20"/>
                <w:lang w:val="en-GB"/>
              </w:rPr>
              <w:t>Male</w:t>
            </w:r>
          </w:p>
        </w:tc>
        <w:tc>
          <w:tcPr>
            <w:tcW w:w="2977" w:type="dxa"/>
            <w:gridSpan w:val="2"/>
            <w:shd w:val="pct10" w:color="auto" w:fill="auto"/>
          </w:tcPr>
          <w:p w:rsidR="00D8141B" w:rsidRPr="00586303" w:rsidRDefault="00D8141B" w:rsidP="00586303">
            <w:pPr>
              <w:keepNext/>
              <w:keepLines/>
              <w:widowControl w:val="0"/>
              <w:suppressAutoHyphens/>
              <w:spacing w:before="10" w:after="10" w:line="240" w:lineRule="auto"/>
              <w:jc w:val="center"/>
              <w:rPr>
                <w:rFonts w:eastAsia="Times New Roman" w:cs="Arial"/>
                <w:b/>
                <w:snapToGrid w:val="0"/>
                <w:sz w:val="20"/>
                <w:szCs w:val="20"/>
                <w:lang w:val="en-GB"/>
              </w:rPr>
            </w:pPr>
            <w:r w:rsidRPr="00586303">
              <w:rPr>
                <w:rFonts w:eastAsia="Times New Roman" w:cs="Arial"/>
                <w:b/>
                <w:snapToGrid w:val="0"/>
                <w:sz w:val="20"/>
                <w:szCs w:val="20"/>
                <w:lang w:val="en-GB"/>
              </w:rPr>
              <w:t>Female</w:t>
            </w:r>
          </w:p>
        </w:tc>
      </w:tr>
      <w:tr w:rsidR="00D8141B" w:rsidRPr="00D8141B" w:rsidTr="00586303">
        <w:trPr>
          <w:jc w:val="center"/>
        </w:trPr>
        <w:tc>
          <w:tcPr>
            <w:tcW w:w="2830" w:type="dxa"/>
            <w:vMerge/>
            <w:shd w:val="pct10" w:color="auto" w:fill="auto"/>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p>
        </w:tc>
        <w:tc>
          <w:tcPr>
            <w:tcW w:w="1418" w:type="dxa"/>
            <w:shd w:val="pct10" w:color="auto" w:fill="auto"/>
          </w:tcPr>
          <w:p w:rsidR="00D8141B" w:rsidRPr="00586303" w:rsidRDefault="00D8141B" w:rsidP="00586303">
            <w:pPr>
              <w:keepNext/>
              <w:keepLines/>
              <w:widowControl w:val="0"/>
              <w:suppressAutoHyphens/>
              <w:spacing w:before="10" w:after="10" w:line="240" w:lineRule="auto"/>
              <w:jc w:val="center"/>
              <w:rPr>
                <w:rFonts w:eastAsia="Times New Roman" w:cs="Arial"/>
                <w:b/>
                <w:snapToGrid w:val="0"/>
                <w:sz w:val="20"/>
                <w:szCs w:val="20"/>
                <w:lang w:val="en-GB"/>
              </w:rPr>
            </w:pPr>
            <w:r w:rsidRPr="00586303">
              <w:rPr>
                <w:rFonts w:eastAsia="Times New Roman" w:cs="Arial"/>
                <w:b/>
                <w:snapToGrid w:val="0"/>
                <w:sz w:val="20"/>
                <w:szCs w:val="20"/>
                <w:lang w:val="en-GB"/>
              </w:rPr>
              <w:t>Pre-pubertal</w:t>
            </w:r>
          </w:p>
        </w:tc>
        <w:tc>
          <w:tcPr>
            <w:tcW w:w="1417" w:type="dxa"/>
            <w:shd w:val="pct10" w:color="auto" w:fill="auto"/>
          </w:tcPr>
          <w:p w:rsidR="00D8141B" w:rsidRPr="00586303" w:rsidRDefault="00586303" w:rsidP="00586303">
            <w:pPr>
              <w:keepNext/>
              <w:keepLines/>
              <w:widowControl w:val="0"/>
              <w:suppressAutoHyphens/>
              <w:spacing w:before="10" w:after="10" w:line="240" w:lineRule="auto"/>
              <w:jc w:val="center"/>
              <w:rPr>
                <w:rFonts w:eastAsia="Times New Roman" w:cs="Arial"/>
                <w:b/>
                <w:snapToGrid w:val="0"/>
                <w:sz w:val="20"/>
                <w:szCs w:val="20"/>
                <w:lang w:val="en-GB"/>
              </w:rPr>
            </w:pPr>
            <w:r>
              <w:rPr>
                <w:rFonts w:eastAsia="Times New Roman" w:cs="Arial"/>
                <w:b/>
                <w:snapToGrid w:val="0"/>
                <w:sz w:val="20"/>
                <w:szCs w:val="20"/>
                <w:lang w:val="en-GB"/>
              </w:rPr>
              <w:t>Adult</w:t>
            </w:r>
            <w:r>
              <w:rPr>
                <w:rFonts w:eastAsia="Times New Roman" w:cs="Arial"/>
                <w:b/>
                <w:snapToGrid w:val="0"/>
                <w:sz w:val="20"/>
                <w:szCs w:val="20"/>
                <w:lang w:val="en-GB"/>
              </w:rPr>
              <w:br/>
            </w:r>
            <w:r w:rsidR="00D8141B" w:rsidRPr="00586303">
              <w:rPr>
                <w:rFonts w:eastAsia="Times New Roman" w:cs="Arial"/>
                <w:b/>
                <w:snapToGrid w:val="0"/>
                <w:sz w:val="20"/>
                <w:szCs w:val="20"/>
                <w:lang w:val="en-GB"/>
              </w:rPr>
              <w:t>(age related)</w:t>
            </w:r>
          </w:p>
        </w:tc>
        <w:tc>
          <w:tcPr>
            <w:tcW w:w="1418" w:type="dxa"/>
            <w:shd w:val="pct10" w:color="auto" w:fill="auto"/>
          </w:tcPr>
          <w:p w:rsidR="00D8141B" w:rsidRPr="00586303" w:rsidRDefault="00D8141B" w:rsidP="00586303">
            <w:pPr>
              <w:keepNext/>
              <w:keepLines/>
              <w:widowControl w:val="0"/>
              <w:suppressAutoHyphens/>
              <w:spacing w:before="10" w:after="10" w:line="240" w:lineRule="auto"/>
              <w:jc w:val="center"/>
              <w:rPr>
                <w:rFonts w:eastAsia="Times New Roman" w:cs="Arial"/>
                <w:b/>
                <w:snapToGrid w:val="0"/>
                <w:sz w:val="20"/>
                <w:szCs w:val="20"/>
                <w:lang w:val="en-GB"/>
              </w:rPr>
            </w:pPr>
            <w:r w:rsidRPr="00586303">
              <w:rPr>
                <w:rFonts w:eastAsia="Times New Roman" w:cs="Arial"/>
                <w:b/>
                <w:snapToGrid w:val="0"/>
                <w:sz w:val="20"/>
                <w:szCs w:val="20"/>
                <w:lang w:val="en-GB"/>
              </w:rPr>
              <w:t>Pre-pubertal</w:t>
            </w:r>
          </w:p>
        </w:tc>
        <w:tc>
          <w:tcPr>
            <w:tcW w:w="1559" w:type="dxa"/>
            <w:shd w:val="pct10" w:color="auto" w:fill="auto"/>
          </w:tcPr>
          <w:p w:rsidR="00D8141B" w:rsidRPr="00586303" w:rsidRDefault="00586303" w:rsidP="00586303">
            <w:pPr>
              <w:keepNext/>
              <w:keepLines/>
              <w:widowControl w:val="0"/>
              <w:suppressAutoHyphens/>
              <w:spacing w:before="10" w:after="10" w:line="240" w:lineRule="auto"/>
              <w:jc w:val="center"/>
              <w:rPr>
                <w:rFonts w:eastAsia="Times New Roman" w:cs="Arial"/>
                <w:b/>
                <w:snapToGrid w:val="0"/>
                <w:sz w:val="20"/>
                <w:szCs w:val="20"/>
                <w:lang w:val="en-GB"/>
              </w:rPr>
            </w:pPr>
            <w:r>
              <w:rPr>
                <w:rFonts w:eastAsia="Times New Roman" w:cs="Arial"/>
                <w:b/>
                <w:snapToGrid w:val="0"/>
                <w:sz w:val="20"/>
                <w:szCs w:val="20"/>
                <w:lang w:val="en-GB"/>
              </w:rPr>
              <w:t>Adult</w:t>
            </w:r>
            <w:r>
              <w:rPr>
                <w:rFonts w:eastAsia="Times New Roman" w:cs="Arial"/>
                <w:b/>
                <w:snapToGrid w:val="0"/>
                <w:sz w:val="20"/>
                <w:szCs w:val="20"/>
                <w:lang w:val="en-GB"/>
              </w:rPr>
              <w:br/>
            </w:r>
            <w:r w:rsidR="00D8141B" w:rsidRPr="00586303">
              <w:rPr>
                <w:rFonts w:eastAsia="Times New Roman" w:cs="Arial"/>
                <w:b/>
                <w:snapToGrid w:val="0"/>
                <w:sz w:val="20"/>
                <w:szCs w:val="20"/>
                <w:lang w:val="en-GB"/>
              </w:rPr>
              <w:t>(age related)</w:t>
            </w:r>
          </w:p>
        </w:tc>
      </w:tr>
      <w:tr w:rsidR="00D8141B" w:rsidRPr="00D8141B" w:rsidTr="00586303">
        <w:trPr>
          <w:jc w:val="center"/>
        </w:trPr>
        <w:tc>
          <w:tcPr>
            <w:tcW w:w="2830" w:type="dxa"/>
          </w:tcPr>
          <w:p w:rsidR="00D8141B" w:rsidRPr="00D8141B" w:rsidRDefault="00D8141B" w:rsidP="0058630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Free testosterone (pmol/L)</w:t>
            </w:r>
          </w:p>
        </w:tc>
        <w:tc>
          <w:tcPr>
            <w:tcW w:w="1418"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p>
        </w:tc>
        <w:tc>
          <w:tcPr>
            <w:tcW w:w="1417"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170–510</w:t>
            </w:r>
          </w:p>
        </w:tc>
        <w:tc>
          <w:tcPr>
            <w:tcW w:w="1418"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p>
        </w:tc>
        <w:tc>
          <w:tcPr>
            <w:tcW w:w="1559"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&lt; 4.0</w:t>
            </w:r>
          </w:p>
        </w:tc>
      </w:tr>
      <w:tr w:rsidR="00D8141B" w:rsidRPr="00D8141B" w:rsidTr="00586303">
        <w:trPr>
          <w:jc w:val="center"/>
        </w:trPr>
        <w:tc>
          <w:tcPr>
            <w:tcW w:w="2830" w:type="dxa"/>
          </w:tcPr>
          <w:p w:rsidR="00D8141B" w:rsidRPr="00D8141B" w:rsidRDefault="00D8141B" w:rsidP="0058630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Total testosterone (nmol/L)</w:t>
            </w:r>
          </w:p>
        </w:tc>
        <w:tc>
          <w:tcPr>
            <w:tcW w:w="1418"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&lt; 0.5</w:t>
            </w:r>
          </w:p>
        </w:tc>
        <w:tc>
          <w:tcPr>
            <w:tcW w:w="1417"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8–35</w:t>
            </w:r>
          </w:p>
        </w:tc>
        <w:tc>
          <w:tcPr>
            <w:tcW w:w="1418"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&lt; 0.5</w:t>
            </w:r>
          </w:p>
        </w:tc>
        <w:tc>
          <w:tcPr>
            <w:tcW w:w="1559"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&lt; 4.0</w:t>
            </w:r>
          </w:p>
        </w:tc>
      </w:tr>
      <w:tr w:rsidR="00D8141B" w:rsidRPr="00D8141B" w:rsidTr="00586303">
        <w:trPr>
          <w:jc w:val="center"/>
        </w:trPr>
        <w:tc>
          <w:tcPr>
            <w:tcW w:w="2830" w:type="dxa"/>
          </w:tcPr>
          <w:p w:rsidR="00D8141B" w:rsidRPr="00D8141B" w:rsidRDefault="00D8141B" w:rsidP="0058630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SHBG (nmol/L)</w:t>
            </w:r>
          </w:p>
        </w:tc>
        <w:tc>
          <w:tcPr>
            <w:tcW w:w="1418"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55–100</w:t>
            </w:r>
          </w:p>
        </w:tc>
        <w:tc>
          <w:tcPr>
            <w:tcW w:w="1417"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10–50</w:t>
            </w:r>
          </w:p>
        </w:tc>
        <w:tc>
          <w:tcPr>
            <w:tcW w:w="1418"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55–100</w:t>
            </w:r>
          </w:p>
        </w:tc>
        <w:tc>
          <w:tcPr>
            <w:tcW w:w="1559" w:type="dxa"/>
          </w:tcPr>
          <w:p w:rsidR="00D8141B" w:rsidRPr="00D8141B" w:rsidRDefault="00D8141B" w:rsidP="00586303">
            <w:pPr>
              <w:keepNext/>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30–90 (250–500 in the 3rd trimester)</w:t>
            </w:r>
          </w:p>
        </w:tc>
      </w:tr>
      <w:tr w:rsidR="00D8141B" w:rsidRPr="00D8141B" w:rsidTr="00586303">
        <w:trPr>
          <w:jc w:val="center"/>
        </w:trPr>
        <w:tc>
          <w:tcPr>
            <w:tcW w:w="2830" w:type="dxa"/>
          </w:tcPr>
          <w:p w:rsidR="00D8141B" w:rsidRPr="00D8141B" w:rsidRDefault="00D8141B" w:rsidP="0058630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Dihydrotestosterone (nmol/L)</w:t>
            </w:r>
          </w:p>
        </w:tc>
        <w:tc>
          <w:tcPr>
            <w:tcW w:w="1418" w:type="dxa"/>
          </w:tcPr>
          <w:p w:rsidR="00D8141B" w:rsidRPr="00D8141B" w:rsidRDefault="00D8141B" w:rsidP="00586303">
            <w:pPr>
              <w:keepLines/>
              <w:widowControl w:val="0"/>
              <w:suppressAutoHyphens/>
              <w:spacing w:before="10" w:after="10" w:line="240" w:lineRule="auto"/>
              <w:jc w:val="center"/>
              <w:rPr>
                <w:rFonts w:eastAsia="Times New Roman" w:cs="Arial"/>
                <w:snapToGrid w:val="0"/>
                <w:sz w:val="20"/>
                <w:szCs w:val="20"/>
                <w:lang w:val="en-GB"/>
              </w:rPr>
            </w:pPr>
          </w:p>
        </w:tc>
        <w:tc>
          <w:tcPr>
            <w:tcW w:w="1417" w:type="dxa"/>
          </w:tcPr>
          <w:p w:rsidR="00D8141B" w:rsidRPr="00D8141B" w:rsidRDefault="00D8141B" w:rsidP="00586303">
            <w:pPr>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1–2.5</w:t>
            </w:r>
          </w:p>
        </w:tc>
        <w:tc>
          <w:tcPr>
            <w:tcW w:w="1418" w:type="dxa"/>
          </w:tcPr>
          <w:p w:rsidR="00D8141B" w:rsidRPr="00D8141B" w:rsidRDefault="00D8141B" w:rsidP="00586303">
            <w:pPr>
              <w:keepLines/>
              <w:widowControl w:val="0"/>
              <w:suppressAutoHyphens/>
              <w:spacing w:before="10" w:after="10" w:line="240" w:lineRule="auto"/>
              <w:jc w:val="center"/>
              <w:rPr>
                <w:rFonts w:eastAsia="Times New Roman" w:cs="Arial"/>
                <w:snapToGrid w:val="0"/>
                <w:sz w:val="20"/>
                <w:szCs w:val="20"/>
                <w:lang w:val="en-GB"/>
              </w:rPr>
            </w:pPr>
          </w:p>
        </w:tc>
        <w:tc>
          <w:tcPr>
            <w:tcW w:w="1559" w:type="dxa"/>
          </w:tcPr>
          <w:p w:rsidR="00D8141B" w:rsidRPr="00D8141B" w:rsidRDefault="00D8141B" w:rsidP="00586303">
            <w:pPr>
              <w:keepLines/>
              <w:widowControl w:val="0"/>
              <w:suppressAutoHyphens/>
              <w:spacing w:before="10" w:after="10" w:line="240" w:lineRule="auto"/>
              <w:jc w:val="center"/>
              <w:rPr>
                <w:rFonts w:eastAsia="Times New Roman" w:cs="Arial"/>
                <w:snapToGrid w:val="0"/>
                <w:sz w:val="20"/>
                <w:szCs w:val="20"/>
                <w:lang w:val="en-GB"/>
              </w:rPr>
            </w:pPr>
          </w:p>
        </w:tc>
      </w:tr>
    </w:tbl>
    <w:p w:rsidR="00D8141B" w:rsidRPr="00D8141B" w:rsidRDefault="00D8141B" w:rsidP="00D8141B">
      <w:pPr>
        <w:spacing w:after="0" w:line="240" w:lineRule="auto"/>
        <w:jc w:val="center"/>
        <w:rPr>
          <w:rFonts w:eastAsia="Times New Roman" w:cs="Arial"/>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4531"/>
        <w:gridCol w:w="1439"/>
        <w:gridCol w:w="2814"/>
      </w:tblGrid>
      <w:tr w:rsidR="00D8141B" w:rsidRPr="00D8141B" w:rsidTr="00586303">
        <w:trPr>
          <w:trHeight w:val="454"/>
          <w:jc w:val="center"/>
        </w:trPr>
        <w:tc>
          <w:tcPr>
            <w:tcW w:w="8784" w:type="dxa"/>
            <w:gridSpan w:val="3"/>
            <w:shd w:val="pct10" w:color="auto" w:fill="auto"/>
          </w:tcPr>
          <w:p w:rsidR="00D8141B" w:rsidRPr="00586303" w:rsidRDefault="00D8141B" w:rsidP="00586303">
            <w:pPr>
              <w:keepNext/>
              <w:spacing w:before="60" w:after="60" w:line="240" w:lineRule="auto"/>
              <w:ind w:left="79"/>
              <w:jc w:val="center"/>
              <w:outlineLvl w:val="2"/>
              <w:rPr>
                <w:rFonts w:eastAsia="Times New Roman" w:cs="Arial"/>
                <w:lang w:val="en-US"/>
              </w:rPr>
            </w:pPr>
            <w:bookmarkStart w:id="337" w:name="_Toc144874764"/>
            <w:bookmarkStart w:id="338" w:name="_Toc144875353"/>
            <w:r w:rsidRPr="00586303">
              <w:rPr>
                <w:rFonts w:eastAsia="Times New Roman" w:cs="Arial"/>
                <w:b/>
                <w:bCs/>
                <w:lang w:val="en-US"/>
              </w:rPr>
              <w:t>Reference ranges, urine</w:t>
            </w:r>
            <w:bookmarkEnd w:id="337"/>
            <w:bookmarkEnd w:id="338"/>
          </w:p>
        </w:tc>
      </w:tr>
      <w:tr w:rsidR="00D8141B" w:rsidRPr="00D8141B" w:rsidTr="00586303">
        <w:trPr>
          <w:jc w:val="center"/>
        </w:trPr>
        <w:tc>
          <w:tcPr>
            <w:tcW w:w="4531"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Calcium</w:t>
            </w:r>
          </w:p>
        </w:tc>
        <w:tc>
          <w:tcPr>
            <w:tcW w:w="1439"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2814"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2.5–7.5 mmol/24 hours</w:t>
            </w:r>
          </w:p>
        </w:tc>
      </w:tr>
      <w:tr w:rsidR="00D8141B" w:rsidRPr="00D8141B" w:rsidTr="00586303">
        <w:trPr>
          <w:jc w:val="center"/>
        </w:trPr>
        <w:tc>
          <w:tcPr>
            <w:tcW w:w="4531"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Chloride (depends on intake, plasma levels)</w:t>
            </w:r>
          </w:p>
        </w:tc>
        <w:tc>
          <w:tcPr>
            <w:tcW w:w="1439" w:type="dxa"/>
            <w:tcBorders>
              <w:bottom w:val="single" w:sz="4" w:space="0" w:color="auto"/>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2814" w:type="dxa"/>
            <w:tcBorders>
              <w:bottom w:val="single" w:sz="4" w:space="0" w:color="auto"/>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100–250 mmol/24 hours</w:t>
            </w:r>
          </w:p>
        </w:tc>
      </w:tr>
      <w:tr w:rsidR="00D8141B" w:rsidRPr="00D8141B" w:rsidTr="00586303">
        <w:trPr>
          <w:jc w:val="center"/>
        </w:trPr>
        <w:tc>
          <w:tcPr>
            <w:tcW w:w="4531"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Cortisol (free)</w:t>
            </w:r>
          </w:p>
        </w:tc>
        <w:tc>
          <w:tcPr>
            <w:tcW w:w="1439" w:type="dxa"/>
            <w:tcBorders>
              <w:bottom w:val="single" w:sz="4" w:space="0" w:color="auto"/>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2814" w:type="dxa"/>
            <w:tcBorders>
              <w:bottom w:val="single" w:sz="4" w:space="0" w:color="auto"/>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100–300 nmol/24 hours</w:t>
            </w:r>
          </w:p>
        </w:tc>
      </w:tr>
      <w:tr w:rsidR="00D8141B" w:rsidRPr="00D8141B" w:rsidTr="00586303">
        <w:trPr>
          <w:jc w:val="center"/>
        </w:trPr>
        <w:tc>
          <w:tcPr>
            <w:tcW w:w="4531" w:type="dxa"/>
            <w:vMerge w:val="restart"/>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Creatinine</w:t>
            </w:r>
          </w:p>
        </w:tc>
        <w:tc>
          <w:tcPr>
            <w:tcW w:w="1439" w:type="dxa"/>
            <w:tcBorders>
              <w:top w:val="single" w:sz="4" w:space="0" w:color="auto"/>
              <w:bottom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(child)</w:t>
            </w:r>
          </w:p>
        </w:tc>
        <w:tc>
          <w:tcPr>
            <w:tcW w:w="2814" w:type="dxa"/>
            <w:tcBorders>
              <w:top w:val="single" w:sz="4" w:space="0" w:color="auto"/>
              <w:bottom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0.07–0.19 mmol/24 hours/kg</w:t>
            </w:r>
          </w:p>
        </w:tc>
      </w:tr>
      <w:tr w:rsidR="00D8141B" w:rsidRPr="00D8141B" w:rsidTr="00586303">
        <w:trPr>
          <w:jc w:val="center"/>
        </w:trPr>
        <w:tc>
          <w:tcPr>
            <w:tcW w:w="4531" w:type="dxa"/>
            <w:vMerge/>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1439" w:type="dxa"/>
            <w:tcBorders>
              <w:top w:val="nil"/>
              <w:bottom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(male)</w:t>
            </w:r>
          </w:p>
        </w:tc>
        <w:tc>
          <w:tcPr>
            <w:tcW w:w="2814" w:type="dxa"/>
            <w:tcBorders>
              <w:top w:val="nil"/>
              <w:bottom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9–18 mmol/24 hours</w:t>
            </w:r>
          </w:p>
        </w:tc>
      </w:tr>
      <w:tr w:rsidR="00D8141B" w:rsidRPr="00D8141B" w:rsidTr="00586303">
        <w:trPr>
          <w:jc w:val="center"/>
        </w:trPr>
        <w:tc>
          <w:tcPr>
            <w:tcW w:w="4531" w:type="dxa"/>
            <w:vMerge/>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1439" w:type="dxa"/>
            <w:tcBorders>
              <w:top w:val="nil"/>
              <w:bottom w:val="single" w:sz="4" w:space="0" w:color="auto"/>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(female)</w:t>
            </w:r>
          </w:p>
        </w:tc>
        <w:tc>
          <w:tcPr>
            <w:tcW w:w="2814" w:type="dxa"/>
            <w:tcBorders>
              <w:top w:val="nil"/>
              <w:bottom w:val="single" w:sz="4" w:space="0" w:color="auto"/>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5–16 mmol/24 hours</w:t>
            </w:r>
          </w:p>
        </w:tc>
      </w:tr>
      <w:tr w:rsidR="00D8141B" w:rsidRPr="00D8141B" w:rsidTr="00586303">
        <w:trPr>
          <w:jc w:val="center"/>
        </w:trPr>
        <w:tc>
          <w:tcPr>
            <w:tcW w:w="4531" w:type="dxa"/>
            <w:vMerge w:val="restart"/>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HMMA</w:t>
            </w:r>
          </w:p>
        </w:tc>
        <w:tc>
          <w:tcPr>
            <w:tcW w:w="1439" w:type="dxa"/>
            <w:tcBorders>
              <w:top w:val="single" w:sz="4" w:space="0" w:color="auto"/>
              <w:bottom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(infant)</w:t>
            </w:r>
          </w:p>
        </w:tc>
        <w:tc>
          <w:tcPr>
            <w:tcW w:w="2814" w:type="dxa"/>
            <w:tcBorders>
              <w:top w:val="single" w:sz="4" w:space="0" w:color="auto"/>
              <w:bottom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&lt; 10 mmol/mol creatinine</w:t>
            </w:r>
          </w:p>
        </w:tc>
      </w:tr>
      <w:tr w:rsidR="00D8141B" w:rsidRPr="00D8141B" w:rsidTr="00586303">
        <w:trPr>
          <w:jc w:val="center"/>
        </w:trPr>
        <w:tc>
          <w:tcPr>
            <w:tcW w:w="4531" w:type="dxa"/>
            <w:vMerge/>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1439" w:type="dxa"/>
            <w:tcBorders>
              <w:top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(adult)</w:t>
            </w:r>
          </w:p>
        </w:tc>
        <w:tc>
          <w:tcPr>
            <w:tcW w:w="2814" w:type="dxa"/>
            <w:tcBorders>
              <w:top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&lt; 35 µmol/24 hours</w:t>
            </w:r>
          </w:p>
        </w:tc>
      </w:tr>
      <w:tr w:rsidR="00D8141B" w:rsidRPr="00D8141B" w:rsidTr="00586303">
        <w:trPr>
          <w:jc w:val="center"/>
        </w:trPr>
        <w:tc>
          <w:tcPr>
            <w:tcW w:w="4531"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Magnesium</w:t>
            </w:r>
          </w:p>
        </w:tc>
        <w:tc>
          <w:tcPr>
            <w:tcW w:w="1439"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2814"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2.5–8.0 mmol/24 hours</w:t>
            </w:r>
          </w:p>
        </w:tc>
      </w:tr>
      <w:tr w:rsidR="00D8141B" w:rsidRPr="00D8141B" w:rsidTr="00586303">
        <w:trPr>
          <w:jc w:val="center"/>
        </w:trPr>
        <w:tc>
          <w:tcPr>
            <w:tcW w:w="4531"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Osmolality (depends on hydration)</w:t>
            </w:r>
          </w:p>
        </w:tc>
        <w:tc>
          <w:tcPr>
            <w:tcW w:w="1439"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2814"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50–1200 m.osmol/kg water</w:t>
            </w:r>
          </w:p>
        </w:tc>
      </w:tr>
      <w:tr w:rsidR="00D8141B" w:rsidRPr="00D8141B" w:rsidTr="00586303">
        <w:trPr>
          <w:jc w:val="center"/>
        </w:trPr>
        <w:tc>
          <w:tcPr>
            <w:tcW w:w="4531"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Phosphate (depends on intake, plasma levels)</w:t>
            </w:r>
          </w:p>
        </w:tc>
        <w:tc>
          <w:tcPr>
            <w:tcW w:w="1439"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2814"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10–40 mmol/24 hours</w:t>
            </w:r>
          </w:p>
        </w:tc>
      </w:tr>
      <w:tr w:rsidR="00D8141B" w:rsidRPr="00D8141B" w:rsidTr="00586303">
        <w:trPr>
          <w:jc w:val="center"/>
        </w:trPr>
        <w:tc>
          <w:tcPr>
            <w:tcW w:w="4531"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Potassium (depends on intake, plasma levels)</w:t>
            </w:r>
          </w:p>
        </w:tc>
        <w:tc>
          <w:tcPr>
            <w:tcW w:w="1439" w:type="dxa"/>
            <w:tcBorders>
              <w:bottom w:val="single" w:sz="4" w:space="0" w:color="auto"/>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2814" w:type="dxa"/>
            <w:tcBorders>
              <w:bottom w:val="single" w:sz="4" w:space="0" w:color="auto"/>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40–100 mmol/24 hours</w:t>
            </w:r>
          </w:p>
        </w:tc>
      </w:tr>
      <w:tr w:rsidR="00D8141B" w:rsidRPr="00D8141B" w:rsidTr="00586303">
        <w:trPr>
          <w:jc w:val="center"/>
        </w:trPr>
        <w:tc>
          <w:tcPr>
            <w:tcW w:w="4531" w:type="dxa"/>
            <w:vMerge w:val="restart"/>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Protein, total</w:t>
            </w:r>
          </w:p>
        </w:tc>
        <w:tc>
          <w:tcPr>
            <w:tcW w:w="1439" w:type="dxa"/>
            <w:tcBorders>
              <w:bottom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2814" w:type="dxa"/>
            <w:tcBorders>
              <w:bottom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&lt; 150 mg/24 hours</w:t>
            </w:r>
          </w:p>
        </w:tc>
      </w:tr>
      <w:tr w:rsidR="00D8141B" w:rsidRPr="00D8141B" w:rsidTr="00586303">
        <w:trPr>
          <w:jc w:val="center"/>
        </w:trPr>
        <w:tc>
          <w:tcPr>
            <w:tcW w:w="4531" w:type="dxa"/>
            <w:vMerge/>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1439" w:type="dxa"/>
            <w:tcBorders>
              <w:top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(pregnancy)</w:t>
            </w:r>
          </w:p>
        </w:tc>
        <w:tc>
          <w:tcPr>
            <w:tcW w:w="2814" w:type="dxa"/>
            <w:tcBorders>
              <w:top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&lt; 250 mg/24 hours</w:t>
            </w:r>
          </w:p>
        </w:tc>
      </w:tr>
      <w:tr w:rsidR="00D8141B" w:rsidRPr="00D8141B" w:rsidTr="00586303">
        <w:trPr>
          <w:jc w:val="center"/>
        </w:trPr>
        <w:tc>
          <w:tcPr>
            <w:tcW w:w="4531"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Sodium (depends on intake, plasma levels)</w:t>
            </w:r>
          </w:p>
        </w:tc>
        <w:tc>
          <w:tcPr>
            <w:tcW w:w="1439" w:type="dxa"/>
            <w:tcBorders>
              <w:bottom w:val="single" w:sz="4" w:space="0" w:color="auto"/>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2814" w:type="dxa"/>
            <w:tcBorders>
              <w:bottom w:val="single" w:sz="4" w:space="0" w:color="auto"/>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75–300 mmol/24 hours</w:t>
            </w:r>
          </w:p>
        </w:tc>
      </w:tr>
      <w:tr w:rsidR="00D8141B" w:rsidRPr="00D8141B" w:rsidTr="00586303">
        <w:trPr>
          <w:jc w:val="center"/>
        </w:trPr>
        <w:tc>
          <w:tcPr>
            <w:tcW w:w="4531" w:type="dxa"/>
            <w:vMerge w:val="restart"/>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Urate</w:t>
            </w:r>
          </w:p>
        </w:tc>
        <w:tc>
          <w:tcPr>
            <w:tcW w:w="1439" w:type="dxa"/>
            <w:tcBorders>
              <w:bottom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(male)</w:t>
            </w:r>
          </w:p>
        </w:tc>
        <w:tc>
          <w:tcPr>
            <w:tcW w:w="2814" w:type="dxa"/>
            <w:tcBorders>
              <w:bottom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2.2–6.6 mmol/24 hours</w:t>
            </w:r>
          </w:p>
        </w:tc>
      </w:tr>
      <w:tr w:rsidR="00D8141B" w:rsidRPr="00D8141B" w:rsidTr="00586303">
        <w:trPr>
          <w:jc w:val="center"/>
        </w:trPr>
        <w:tc>
          <w:tcPr>
            <w:tcW w:w="4531" w:type="dxa"/>
            <w:vMerge/>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1439" w:type="dxa"/>
            <w:tcBorders>
              <w:top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(female)</w:t>
            </w:r>
          </w:p>
        </w:tc>
        <w:tc>
          <w:tcPr>
            <w:tcW w:w="2814" w:type="dxa"/>
            <w:tcBorders>
              <w:top w:val="nil"/>
            </w:tcBorders>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1.6–5.6 mmol/24 hours</w:t>
            </w:r>
          </w:p>
        </w:tc>
      </w:tr>
      <w:tr w:rsidR="00D8141B" w:rsidRPr="00D8141B" w:rsidTr="00586303">
        <w:trPr>
          <w:jc w:val="center"/>
        </w:trPr>
        <w:tc>
          <w:tcPr>
            <w:tcW w:w="4531"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Urea (depends on protein intake)</w:t>
            </w:r>
          </w:p>
        </w:tc>
        <w:tc>
          <w:tcPr>
            <w:tcW w:w="1439"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p>
        </w:tc>
        <w:tc>
          <w:tcPr>
            <w:tcW w:w="2814" w:type="dxa"/>
          </w:tcPr>
          <w:p w:rsidR="00D8141B" w:rsidRPr="00D8141B" w:rsidRDefault="00D8141B" w:rsidP="00586303">
            <w:pPr>
              <w:keepLines/>
              <w:widowControl w:val="0"/>
              <w:suppressAutoHyphens/>
              <w:spacing w:before="10" w:after="10" w:line="240" w:lineRule="auto"/>
              <w:ind w:left="79"/>
              <w:rPr>
                <w:rFonts w:eastAsia="Times New Roman" w:cs="Arial"/>
                <w:snapToGrid w:val="0"/>
                <w:sz w:val="20"/>
                <w:szCs w:val="20"/>
                <w:lang w:val="en-GB"/>
              </w:rPr>
            </w:pPr>
            <w:r w:rsidRPr="00D8141B">
              <w:rPr>
                <w:rFonts w:eastAsia="Times New Roman" w:cs="Arial"/>
                <w:snapToGrid w:val="0"/>
                <w:sz w:val="20"/>
                <w:szCs w:val="20"/>
                <w:lang w:val="en-GB"/>
              </w:rPr>
              <w:t>420–720 mmol/24 hours</w:t>
            </w:r>
          </w:p>
        </w:tc>
      </w:tr>
    </w:tbl>
    <w:p w:rsidR="00D8141B" w:rsidRPr="00586303" w:rsidRDefault="00D8141B" w:rsidP="00D8141B">
      <w:pPr>
        <w:spacing w:after="0" w:line="240" w:lineRule="auto"/>
        <w:jc w:val="center"/>
        <w:rPr>
          <w:rFonts w:eastAsia="Times New Roman" w:cs="Arial"/>
          <w:sz w:val="8"/>
          <w:szCs w:val="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CellMar>
          <w:left w:w="60" w:type="dxa"/>
          <w:right w:w="60" w:type="dxa"/>
        </w:tblCellMar>
        <w:tblLook w:val="0000" w:firstRow="0" w:lastRow="0" w:firstColumn="0" w:lastColumn="0" w:noHBand="0" w:noVBand="0"/>
      </w:tblPr>
      <w:tblGrid>
        <w:gridCol w:w="4390"/>
        <w:gridCol w:w="1701"/>
        <w:gridCol w:w="2556"/>
      </w:tblGrid>
      <w:tr w:rsidR="00D8141B" w:rsidRPr="00586303" w:rsidTr="005F4263">
        <w:trPr>
          <w:cantSplit/>
          <w:jc w:val="center"/>
        </w:trPr>
        <w:tc>
          <w:tcPr>
            <w:tcW w:w="8647" w:type="dxa"/>
            <w:gridSpan w:val="3"/>
            <w:shd w:val="pct10" w:color="auto" w:fill="auto"/>
          </w:tcPr>
          <w:p w:rsidR="00D8141B" w:rsidRPr="00586303" w:rsidRDefault="00D8141B" w:rsidP="00586303">
            <w:pPr>
              <w:keepNext/>
              <w:spacing w:before="60" w:after="60" w:line="240" w:lineRule="auto"/>
              <w:jc w:val="center"/>
              <w:outlineLvl w:val="2"/>
              <w:rPr>
                <w:rFonts w:eastAsia="Times New Roman" w:cs="Arial"/>
                <w:lang w:val="en-US"/>
              </w:rPr>
            </w:pPr>
            <w:bookmarkStart w:id="339" w:name="_Toc144874765"/>
            <w:bookmarkStart w:id="340" w:name="_Toc144875354"/>
            <w:r w:rsidRPr="00586303">
              <w:rPr>
                <w:rFonts w:eastAsia="Times New Roman" w:cs="Arial"/>
                <w:b/>
                <w:bCs/>
                <w:lang w:val="en-US"/>
              </w:rPr>
              <w:lastRenderedPageBreak/>
              <w:t>Reference ranges, whole blood</w:t>
            </w:r>
            <w:bookmarkEnd w:id="339"/>
            <w:bookmarkEnd w:id="340"/>
          </w:p>
        </w:tc>
      </w:tr>
      <w:tr w:rsidR="00D8141B" w:rsidRPr="00D8141B" w:rsidTr="005F4263">
        <w:trPr>
          <w:cantSplit/>
          <w:jc w:val="center"/>
        </w:trPr>
        <w:tc>
          <w:tcPr>
            <w:tcW w:w="4390" w:type="dxa"/>
            <w:vMerge w:val="restart"/>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Haemoglobin (Hb)</w:t>
            </w:r>
          </w:p>
        </w:tc>
        <w:tc>
          <w:tcPr>
            <w:tcW w:w="1701" w:type="dxa"/>
            <w:tcBorders>
              <w:bottom w:val="nil"/>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(adult male)</w:t>
            </w:r>
          </w:p>
        </w:tc>
        <w:tc>
          <w:tcPr>
            <w:tcW w:w="2556" w:type="dxa"/>
            <w:tcBorders>
              <w:bottom w:val="nil"/>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130–180 g/L</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single" w:sz="4" w:space="0" w:color="auto"/>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(adult female)</w:t>
            </w:r>
          </w:p>
        </w:tc>
        <w:tc>
          <w:tcPr>
            <w:tcW w:w="2556" w:type="dxa"/>
            <w:tcBorders>
              <w:top w:val="nil"/>
              <w:bottom w:val="single" w:sz="4" w:space="0" w:color="auto"/>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115–165 g/L</w:t>
            </w:r>
          </w:p>
        </w:tc>
      </w:tr>
      <w:tr w:rsidR="00D8141B" w:rsidRPr="00D8141B" w:rsidTr="005F4263">
        <w:trPr>
          <w:cantSplit/>
          <w:jc w:val="center"/>
        </w:trPr>
        <w:tc>
          <w:tcPr>
            <w:tcW w:w="4390" w:type="dxa"/>
            <w:vMerge w:val="restart"/>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Red cell count (RCC)</w:t>
            </w:r>
          </w:p>
        </w:tc>
        <w:tc>
          <w:tcPr>
            <w:tcW w:w="1701" w:type="dxa"/>
            <w:tcBorders>
              <w:bottom w:val="nil"/>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(adult male)</w:t>
            </w:r>
          </w:p>
        </w:tc>
        <w:tc>
          <w:tcPr>
            <w:tcW w:w="2556" w:type="dxa"/>
            <w:tcBorders>
              <w:bottom w:val="nil"/>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4.5–6.5 x 10</w:t>
            </w:r>
            <w:r w:rsidRPr="00D8141B">
              <w:rPr>
                <w:rFonts w:eastAsia="Times New Roman" w:cs="Arial"/>
                <w:snapToGrid w:val="0"/>
                <w:sz w:val="20"/>
                <w:szCs w:val="20"/>
                <w:vertAlign w:val="superscript"/>
                <w:lang w:val="en-GB"/>
              </w:rPr>
              <w:t>12</w:t>
            </w:r>
            <w:r w:rsidRPr="00D8141B">
              <w:rPr>
                <w:rFonts w:eastAsia="Times New Roman" w:cs="Arial"/>
                <w:snapToGrid w:val="0"/>
                <w:sz w:val="20"/>
                <w:szCs w:val="20"/>
                <w:lang w:val="en-GB"/>
              </w:rPr>
              <w:t>/L</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single" w:sz="4" w:space="0" w:color="auto"/>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(adult female)</w:t>
            </w:r>
          </w:p>
        </w:tc>
        <w:tc>
          <w:tcPr>
            <w:tcW w:w="2556" w:type="dxa"/>
            <w:tcBorders>
              <w:top w:val="nil"/>
              <w:bottom w:val="single" w:sz="4" w:space="0" w:color="auto"/>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3.8–5.8 x 10</w:t>
            </w:r>
            <w:r w:rsidRPr="00D8141B">
              <w:rPr>
                <w:rFonts w:eastAsia="Times New Roman" w:cs="Arial"/>
                <w:snapToGrid w:val="0"/>
                <w:sz w:val="20"/>
                <w:szCs w:val="20"/>
                <w:vertAlign w:val="superscript"/>
                <w:lang w:val="en-GB"/>
              </w:rPr>
              <w:t>12</w:t>
            </w:r>
            <w:r w:rsidRPr="00D8141B">
              <w:rPr>
                <w:rFonts w:eastAsia="Times New Roman" w:cs="Arial"/>
                <w:snapToGrid w:val="0"/>
                <w:sz w:val="20"/>
                <w:szCs w:val="20"/>
                <w:lang w:val="en-GB"/>
              </w:rPr>
              <w:t>/L</w:t>
            </w:r>
          </w:p>
        </w:tc>
      </w:tr>
      <w:tr w:rsidR="00D8141B" w:rsidRPr="00D8141B" w:rsidTr="005F4263">
        <w:trPr>
          <w:cantSplit/>
          <w:jc w:val="center"/>
        </w:trPr>
        <w:tc>
          <w:tcPr>
            <w:tcW w:w="4390" w:type="dxa"/>
            <w:vMerge w:val="restart"/>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Packed cell volume (PCV)</w:t>
            </w:r>
          </w:p>
        </w:tc>
        <w:tc>
          <w:tcPr>
            <w:tcW w:w="1701" w:type="dxa"/>
            <w:tcBorders>
              <w:bottom w:val="nil"/>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(adult male)</w:t>
            </w:r>
          </w:p>
        </w:tc>
        <w:tc>
          <w:tcPr>
            <w:tcW w:w="2556" w:type="dxa"/>
            <w:tcBorders>
              <w:bottom w:val="nil"/>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0.40–0.54</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(adult female)</w:t>
            </w:r>
          </w:p>
        </w:tc>
        <w:tc>
          <w:tcPr>
            <w:tcW w:w="2556" w:type="dxa"/>
            <w:tcBorders>
              <w:top w:val="nil"/>
            </w:tcBorders>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0.37–0.47</w:t>
            </w:r>
          </w:p>
        </w:tc>
      </w:tr>
      <w:tr w:rsidR="00D8141B" w:rsidRPr="00D8141B" w:rsidTr="005F4263">
        <w:trPr>
          <w:cantSplit/>
          <w:jc w:val="center"/>
        </w:trPr>
        <w:tc>
          <w:tcPr>
            <w:tcW w:w="4390" w:type="dxa"/>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Mean cell volume (MCV)</w:t>
            </w:r>
          </w:p>
        </w:tc>
        <w:tc>
          <w:tcPr>
            <w:tcW w:w="1701" w:type="dxa"/>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p>
        </w:tc>
        <w:tc>
          <w:tcPr>
            <w:tcW w:w="2556" w:type="dxa"/>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80–100 fL</w:t>
            </w:r>
          </w:p>
        </w:tc>
      </w:tr>
      <w:tr w:rsidR="00D8141B" w:rsidRPr="00D8141B" w:rsidTr="005F4263">
        <w:trPr>
          <w:cantSplit/>
          <w:jc w:val="center"/>
        </w:trPr>
        <w:tc>
          <w:tcPr>
            <w:tcW w:w="4390" w:type="dxa"/>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Mean cell haemoglobin (MCH)</w:t>
            </w:r>
          </w:p>
        </w:tc>
        <w:tc>
          <w:tcPr>
            <w:tcW w:w="1701" w:type="dxa"/>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p>
        </w:tc>
        <w:tc>
          <w:tcPr>
            <w:tcW w:w="2556" w:type="dxa"/>
            <w:shd w:val="clear" w:color="auto" w:fill="FFFFFF" w:themeFill="background1"/>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27–32 pg</w:t>
            </w:r>
          </w:p>
        </w:tc>
      </w:tr>
      <w:tr w:rsidR="00D8141B" w:rsidRPr="00D8141B" w:rsidTr="005F4263">
        <w:trPr>
          <w:cantSplit/>
          <w:jc w:val="center"/>
        </w:trPr>
        <w:tc>
          <w:tcPr>
            <w:tcW w:w="4390" w:type="dxa"/>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Mean cell haemoglobin concentration (MCHC)</w:t>
            </w:r>
          </w:p>
        </w:tc>
        <w:tc>
          <w:tcPr>
            <w:tcW w:w="1701" w:type="dxa"/>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6" w:type="dxa"/>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300–350 g/L</w:t>
            </w:r>
          </w:p>
        </w:tc>
      </w:tr>
      <w:tr w:rsidR="00D8141B" w:rsidRPr="00D8141B" w:rsidTr="005F4263">
        <w:trPr>
          <w:cantSplit/>
          <w:jc w:val="center"/>
        </w:trPr>
        <w:tc>
          <w:tcPr>
            <w:tcW w:w="4390" w:type="dxa"/>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Leucocyte (White Cell) Count (WCC)</w:t>
            </w:r>
          </w:p>
        </w:tc>
        <w:tc>
          <w:tcPr>
            <w:tcW w:w="1701" w:type="dxa"/>
            <w:tcBorders>
              <w:bottom w:val="single" w:sz="4" w:space="0" w:color="auto"/>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6" w:type="dxa"/>
            <w:tcBorders>
              <w:bottom w:val="single" w:sz="4" w:space="0" w:color="auto"/>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4.0–11.0 x 10</w:t>
            </w:r>
            <w:r w:rsidRPr="00D8141B">
              <w:rPr>
                <w:rFonts w:eastAsia="Times New Roman" w:cs="Arial"/>
                <w:snapToGrid w:val="0"/>
                <w:sz w:val="20"/>
                <w:szCs w:val="20"/>
                <w:vertAlign w:val="superscript"/>
                <w:lang w:val="en-GB"/>
              </w:rPr>
              <w:t>9</w:t>
            </w:r>
            <w:r w:rsidRPr="00D8141B">
              <w:rPr>
                <w:rFonts w:eastAsia="Times New Roman" w:cs="Arial"/>
                <w:snapToGrid w:val="0"/>
                <w:sz w:val="20"/>
                <w:szCs w:val="20"/>
                <w:lang w:val="en-GB"/>
              </w:rPr>
              <w:t>/L</w:t>
            </w:r>
          </w:p>
        </w:tc>
      </w:tr>
      <w:tr w:rsidR="00D8141B" w:rsidRPr="00D8141B" w:rsidTr="005F4263">
        <w:trPr>
          <w:cantSplit/>
          <w:jc w:val="center"/>
        </w:trPr>
        <w:tc>
          <w:tcPr>
            <w:tcW w:w="4390" w:type="dxa"/>
            <w:vMerge w:val="restart"/>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Leucocyte differential count</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 Neutrophils</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 Eosinophils</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 Basophils</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 Monocytes</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 Lymphocytes</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Platelet count</w:t>
            </w:r>
          </w:p>
        </w:tc>
        <w:tc>
          <w:tcPr>
            <w:tcW w:w="1701" w:type="dxa"/>
            <w:tcBorders>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6" w:type="dxa"/>
            <w:tcBorders>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6"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2.0–7.5 x 10</w:t>
            </w:r>
            <w:r w:rsidRPr="00D8141B">
              <w:rPr>
                <w:rFonts w:eastAsia="Times New Roman" w:cs="Arial"/>
                <w:snapToGrid w:val="0"/>
                <w:sz w:val="20"/>
                <w:szCs w:val="20"/>
                <w:vertAlign w:val="superscript"/>
                <w:lang w:val="en-GB"/>
              </w:rPr>
              <w:t>9</w:t>
            </w:r>
            <w:r w:rsidRPr="00D8141B">
              <w:rPr>
                <w:rFonts w:eastAsia="Times New Roman" w:cs="Arial"/>
                <w:snapToGrid w:val="0"/>
                <w:sz w:val="20"/>
                <w:szCs w:val="20"/>
                <w:lang w:val="en-GB"/>
              </w:rPr>
              <w:t>/L</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6"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0.04–0.4 x 10</w:t>
            </w:r>
            <w:r w:rsidRPr="00D8141B">
              <w:rPr>
                <w:rFonts w:eastAsia="Times New Roman" w:cs="Arial"/>
                <w:snapToGrid w:val="0"/>
                <w:sz w:val="20"/>
                <w:szCs w:val="20"/>
                <w:vertAlign w:val="superscript"/>
                <w:lang w:val="en-GB"/>
              </w:rPr>
              <w:t>9</w:t>
            </w:r>
            <w:r w:rsidRPr="00D8141B">
              <w:rPr>
                <w:rFonts w:eastAsia="Times New Roman" w:cs="Arial"/>
                <w:snapToGrid w:val="0"/>
                <w:sz w:val="20"/>
                <w:szCs w:val="20"/>
                <w:lang w:val="en-GB"/>
              </w:rPr>
              <w:t>/L</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6"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&lt; 0.1 x 10</w:t>
            </w:r>
            <w:r w:rsidRPr="00D8141B">
              <w:rPr>
                <w:rFonts w:eastAsia="Times New Roman" w:cs="Arial"/>
                <w:snapToGrid w:val="0"/>
                <w:sz w:val="20"/>
                <w:szCs w:val="20"/>
                <w:vertAlign w:val="superscript"/>
                <w:lang w:val="en-GB"/>
              </w:rPr>
              <w:t>9</w:t>
            </w:r>
            <w:r w:rsidRPr="00D8141B">
              <w:rPr>
                <w:rFonts w:eastAsia="Times New Roman" w:cs="Arial"/>
                <w:snapToGrid w:val="0"/>
                <w:sz w:val="20"/>
                <w:szCs w:val="20"/>
                <w:lang w:val="en-GB"/>
              </w:rPr>
              <w:t>/L</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6"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0.2–0.8 x 10</w:t>
            </w:r>
            <w:r w:rsidRPr="00D8141B">
              <w:rPr>
                <w:rFonts w:eastAsia="Times New Roman" w:cs="Arial"/>
                <w:snapToGrid w:val="0"/>
                <w:sz w:val="20"/>
                <w:szCs w:val="20"/>
                <w:vertAlign w:val="superscript"/>
                <w:lang w:val="en-GB"/>
              </w:rPr>
              <w:t>9</w:t>
            </w:r>
            <w:r w:rsidRPr="00D8141B">
              <w:rPr>
                <w:rFonts w:eastAsia="Times New Roman" w:cs="Arial"/>
                <w:snapToGrid w:val="0"/>
                <w:sz w:val="20"/>
                <w:szCs w:val="20"/>
                <w:lang w:val="en-GB"/>
              </w:rPr>
              <w:t>/L</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6"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1.5–4.0 x 10</w:t>
            </w:r>
            <w:r w:rsidRPr="00D8141B">
              <w:rPr>
                <w:rFonts w:eastAsia="Times New Roman" w:cs="Arial"/>
                <w:snapToGrid w:val="0"/>
                <w:sz w:val="20"/>
                <w:szCs w:val="20"/>
                <w:vertAlign w:val="superscript"/>
                <w:lang w:val="en-GB"/>
              </w:rPr>
              <w:t>9</w:t>
            </w:r>
            <w:r w:rsidRPr="00D8141B">
              <w:rPr>
                <w:rFonts w:eastAsia="Times New Roman" w:cs="Arial"/>
                <w:snapToGrid w:val="0"/>
                <w:sz w:val="20"/>
                <w:szCs w:val="20"/>
                <w:lang w:val="en-GB"/>
              </w:rPr>
              <w:t>/L</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single" w:sz="4" w:space="0" w:color="auto"/>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6" w:type="dxa"/>
            <w:tcBorders>
              <w:top w:val="nil"/>
              <w:bottom w:val="single" w:sz="4" w:space="0" w:color="auto"/>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150–400 x 10</w:t>
            </w:r>
            <w:r w:rsidRPr="00D8141B">
              <w:rPr>
                <w:rFonts w:eastAsia="Times New Roman" w:cs="Arial"/>
                <w:snapToGrid w:val="0"/>
                <w:sz w:val="20"/>
                <w:szCs w:val="20"/>
                <w:vertAlign w:val="superscript"/>
                <w:lang w:val="en-GB"/>
              </w:rPr>
              <w:t>9</w:t>
            </w:r>
            <w:r w:rsidRPr="00D8141B">
              <w:rPr>
                <w:rFonts w:eastAsia="Times New Roman" w:cs="Arial"/>
                <w:snapToGrid w:val="0"/>
                <w:sz w:val="20"/>
                <w:szCs w:val="20"/>
                <w:lang w:val="en-GB"/>
              </w:rPr>
              <w:t>/L</w:t>
            </w:r>
          </w:p>
        </w:tc>
      </w:tr>
      <w:tr w:rsidR="00D8141B" w:rsidRPr="00D8141B" w:rsidTr="005F4263">
        <w:trPr>
          <w:cantSplit/>
          <w:jc w:val="center"/>
        </w:trPr>
        <w:tc>
          <w:tcPr>
            <w:tcW w:w="4390" w:type="dxa"/>
            <w:vMerge w:val="restart"/>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Erythrocyte sedimentation rate (ESR)</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701" w:type="dxa"/>
            <w:tcBorders>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male 17–50 yrs</w:t>
            </w:r>
          </w:p>
        </w:tc>
        <w:tc>
          <w:tcPr>
            <w:tcW w:w="2556" w:type="dxa"/>
            <w:tcBorders>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1–10 mm/hour</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male &gt;50 yrs</w:t>
            </w:r>
          </w:p>
        </w:tc>
        <w:tc>
          <w:tcPr>
            <w:tcW w:w="2556"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2–14 mm/hour</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female 17–50 yrs</w:t>
            </w:r>
          </w:p>
        </w:tc>
        <w:tc>
          <w:tcPr>
            <w:tcW w:w="2556" w:type="dxa"/>
            <w:tcBorders>
              <w:top w:val="nil"/>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3–12 mm/hour</w:t>
            </w:r>
          </w:p>
        </w:tc>
      </w:tr>
      <w:tr w:rsidR="00D8141B" w:rsidRPr="00D8141B" w:rsidTr="005F4263">
        <w:trPr>
          <w:cantSplit/>
          <w:jc w:val="center"/>
        </w:trPr>
        <w:tc>
          <w:tcPr>
            <w:tcW w:w="4390" w:type="dxa"/>
            <w:vMerge/>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701" w:type="dxa"/>
            <w:tcBorders>
              <w:top w:val="nil"/>
              <w:bottom w:val="single" w:sz="4" w:space="0" w:color="auto"/>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female &gt;50 yrs</w:t>
            </w:r>
          </w:p>
        </w:tc>
        <w:tc>
          <w:tcPr>
            <w:tcW w:w="2556" w:type="dxa"/>
            <w:tcBorders>
              <w:top w:val="nil"/>
              <w:bottom w:val="single" w:sz="4" w:space="0" w:color="auto"/>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5–20 mm/hour</w:t>
            </w:r>
          </w:p>
        </w:tc>
      </w:tr>
      <w:tr w:rsidR="00D8141B" w:rsidRPr="00D8141B" w:rsidTr="005F4263">
        <w:trPr>
          <w:cantSplit/>
          <w:jc w:val="center"/>
        </w:trPr>
        <w:tc>
          <w:tcPr>
            <w:tcW w:w="4390" w:type="dxa"/>
            <w:vMerge w:val="restart"/>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Reticulocyte count</w:t>
            </w:r>
          </w:p>
        </w:tc>
        <w:tc>
          <w:tcPr>
            <w:tcW w:w="1701" w:type="dxa"/>
            <w:tcBorders>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6" w:type="dxa"/>
            <w:tcBorders>
              <w:bottom w:val="nil"/>
            </w:tcBorders>
            <w:shd w:val="clear" w:color="auto" w:fill="FFFFFF" w:themeFill="background1"/>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10–100 x 10</w:t>
            </w:r>
            <w:r w:rsidRPr="00D8141B">
              <w:rPr>
                <w:rFonts w:eastAsia="Times New Roman" w:cs="Arial"/>
                <w:snapToGrid w:val="0"/>
                <w:sz w:val="20"/>
                <w:szCs w:val="20"/>
                <w:vertAlign w:val="superscript"/>
                <w:lang w:val="en-GB"/>
              </w:rPr>
              <w:t>9</w:t>
            </w:r>
            <w:r w:rsidRPr="00D8141B">
              <w:rPr>
                <w:rFonts w:eastAsia="Times New Roman" w:cs="Arial"/>
                <w:snapToGrid w:val="0"/>
                <w:sz w:val="20"/>
                <w:szCs w:val="20"/>
                <w:lang w:val="en-GB"/>
              </w:rPr>
              <w:t>/L</w:t>
            </w:r>
          </w:p>
        </w:tc>
      </w:tr>
      <w:tr w:rsidR="00D8141B" w:rsidRPr="00D8141B" w:rsidTr="005F4263">
        <w:trPr>
          <w:cantSplit/>
          <w:jc w:val="center"/>
        </w:trPr>
        <w:tc>
          <w:tcPr>
            <w:tcW w:w="4390" w:type="dxa"/>
            <w:vMerge/>
            <w:shd w:val="clear" w:color="auto" w:fill="FFFFFF" w:themeFill="background1"/>
          </w:tcPr>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p>
        </w:tc>
        <w:tc>
          <w:tcPr>
            <w:tcW w:w="1701" w:type="dxa"/>
            <w:tcBorders>
              <w:top w:val="nil"/>
            </w:tcBorders>
            <w:shd w:val="clear" w:color="auto" w:fill="FFFFFF" w:themeFill="background1"/>
          </w:tcPr>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p>
        </w:tc>
        <w:tc>
          <w:tcPr>
            <w:tcW w:w="2556" w:type="dxa"/>
            <w:tcBorders>
              <w:top w:val="nil"/>
            </w:tcBorders>
            <w:shd w:val="clear" w:color="auto" w:fill="FFFFFF" w:themeFill="background1"/>
          </w:tcPr>
          <w:p w:rsidR="00D8141B" w:rsidRPr="00D8141B" w:rsidRDefault="00D8141B" w:rsidP="00D8141B">
            <w:pPr>
              <w:keepLines/>
              <w:widowControl w:val="0"/>
              <w:suppressAutoHyphens/>
              <w:spacing w:before="40" w:after="40" w:line="240" w:lineRule="auto"/>
              <w:rPr>
                <w:rFonts w:eastAsia="Times New Roman" w:cs="Arial"/>
                <w:snapToGrid w:val="0"/>
                <w:sz w:val="20"/>
                <w:szCs w:val="20"/>
                <w:lang w:val="en-GB"/>
              </w:rPr>
            </w:pPr>
            <w:r w:rsidRPr="00D8141B">
              <w:rPr>
                <w:rFonts w:eastAsia="Times New Roman" w:cs="Arial"/>
                <w:snapToGrid w:val="0"/>
                <w:sz w:val="20"/>
                <w:szCs w:val="20"/>
                <w:lang w:val="en-GB"/>
              </w:rPr>
              <w:t>(0.2–2.0%)</w:t>
            </w:r>
          </w:p>
        </w:tc>
      </w:tr>
    </w:tbl>
    <w:p w:rsidR="00D8141B" w:rsidRPr="00D8141B" w:rsidRDefault="00D8141B" w:rsidP="00D8141B">
      <w:pPr>
        <w:spacing w:after="0" w:line="240" w:lineRule="auto"/>
        <w:jc w:val="center"/>
        <w:rPr>
          <w:rFonts w:eastAsia="Times New Roman" w:cs="Arial"/>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4248"/>
        <w:gridCol w:w="1843"/>
        <w:gridCol w:w="2556"/>
      </w:tblGrid>
      <w:tr w:rsidR="00D8141B" w:rsidRPr="005F4263" w:rsidTr="005F4263">
        <w:trPr>
          <w:jc w:val="center"/>
        </w:trPr>
        <w:tc>
          <w:tcPr>
            <w:tcW w:w="8647" w:type="dxa"/>
            <w:gridSpan w:val="3"/>
            <w:shd w:val="pct10" w:color="auto" w:fill="auto"/>
          </w:tcPr>
          <w:p w:rsidR="00D8141B" w:rsidRPr="005F4263" w:rsidRDefault="00D8141B" w:rsidP="005F4263">
            <w:pPr>
              <w:keepNext/>
              <w:spacing w:before="60" w:after="60" w:line="240" w:lineRule="auto"/>
              <w:jc w:val="center"/>
              <w:outlineLvl w:val="2"/>
              <w:rPr>
                <w:rFonts w:eastAsia="Times New Roman" w:cs="Arial"/>
                <w:lang w:val="en-US"/>
              </w:rPr>
            </w:pPr>
            <w:bookmarkStart w:id="341" w:name="_Toc144874766"/>
            <w:bookmarkStart w:id="342" w:name="_Toc144875355"/>
            <w:r w:rsidRPr="005F4263">
              <w:rPr>
                <w:rFonts w:eastAsia="Times New Roman" w:cs="Arial"/>
                <w:b/>
                <w:bCs/>
                <w:lang w:val="en-US"/>
              </w:rPr>
              <w:t>Reference ranges, plasma or serum, unless otherwise indicated</w:t>
            </w:r>
            <w:bookmarkEnd w:id="341"/>
            <w:bookmarkEnd w:id="342"/>
          </w:p>
        </w:tc>
      </w:tr>
      <w:tr w:rsidR="00D8141B" w:rsidRPr="00D8141B" w:rsidTr="005F4263">
        <w:trPr>
          <w:jc w:val="center"/>
        </w:trPr>
        <w:tc>
          <w:tcPr>
            <w:tcW w:w="4248"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Iron</w:t>
            </w:r>
          </w:p>
        </w:tc>
        <w:tc>
          <w:tcPr>
            <w:tcW w:w="1843"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(adult)</w:t>
            </w:r>
          </w:p>
        </w:tc>
        <w:tc>
          <w:tcPr>
            <w:tcW w:w="2551"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10–30 µmol/L</w:t>
            </w:r>
          </w:p>
        </w:tc>
      </w:tr>
      <w:tr w:rsidR="00D8141B" w:rsidRPr="00D8141B" w:rsidTr="005F4263">
        <w:trPr>
          <w:jc w:val="center"/>
        </w:trPr>
        <w:tc>
          <w:tcPr>
            <w:tcW w:w="4248"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Iron (total) binding capacity (TIBC)</w:t>
            </w:r>
          </w:p>
        </w:tc>
        <w:tc>
          <w:tcPr>
            <w:tcW w:w="1843"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1"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45–80 µmol/L</w:t>
            </w:r>
          </w:p>
        </w:tc>
      </w:tr>
      <w:tr w:rsidR="00D8141B" w:rsidRPr="00D8141B" w:rsidTr="005F4263">
        <w:trPr>
          <w:jc w:val="center"/>
        </w:trPr>
        <w:tc>
          <w:tcPr>
            <w:tcW w:w="4248"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Transferrin</w:t>
            </w:r>
          </w:p>
        </w:tc>
        <w:tc>
          <w:tcPr>
            <w:tcW w:w="1843"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1"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1.7–3.0 g/L</w:t>
            </w:r>
          </w:p>
        </w:tc>
      </w:tr>
      <w:tr w:rsidR="00D8141B" w:rsidRPr="00D8141B" w:rsidTr="005F4263">
        <w:trPr>
          <w:jc w:val="center"/>
        </w:trPr>
        <w:tc>
          <w:tcPr>
            <w:tcW w:w="4248"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Transferrin saturation</w:t>
            </w:r>
          </w:p>
        </w:tc>
        <w:tc>
          <w:tcPr>
            <w:tcW w:w="1843" w:type="dxa"/>
            <w:tcBorders>
              <w:bottom w:val="single" w:sz="4" w:space="0" w:color="auto"/>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1" w:type="dxa"/>
            <w:tcBorders>
              <w:bottom w:val="single" w:sz="4" w:space="0" w:color="auto"/>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0.15–0.45 (15–45%)</w:t>
            </w:r>
          </w:p>
        </w:tc>
      </w:tr>
      <w:tr w:rsidR="00D8141B" w:rsidRPr="00D8141B" w:rsidTr="005F4263">
        <w:trPr>
          <w:jc w:val="center"/>
        </w:trPr>
        <w:tc>
          <w:tcPr>
            <w:tcW w:w="4248" w:type="dxa"/>
            <w:vMerge w:val="restart"/>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Ferritin</w:t>
            </w:r>
          </w:p>
        </w:tc>
        <w:tc>
          <w:tcPr>
            <w:tcW w:w="1843" w:type="dxa"/>
            <w:tcBorders>
              <w:bottom w:val="nil"/>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(male)</w:t>
            </w:r>
          </w:p>
        </w:tc>
        <w:tc>
          <w:tcPr>
            <w:tcW w:w="2551" w:type="dxa"/>
            <w:tcBorders>
              <w:bottom w:val="nil"/>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30–300 µg/L</w:t>
            </w:r>
          </w:p>
        </w:tc>
      </w:tr>
      <w:tr w:rsidR="00D8141B" w:rsidRPr="00D8141B" w:rsidTr="005F4263">
        <w:trPr>
          <w:jc w:val="center"/>
        </w:trPr>
        <w:tc>
          <w:tcPr>
            <w:tcW w:w="4248" w:type="dxa"/>
            <w:vMerge/>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843" w:type="dxa"/>
            <w:tcBorders>
              <w:top w:val="nil"/>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(female)</w:t>
            </w:r>
          </w:p>
        </w:tc>
        <w:tc>
          <w:tcPr>
            <w:tcW w:w="2551" w:type="dxa"/>
            <w:tcBorders>
              <w:top w:val="nil"/>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15–200 µg/L</w:t>
            </w:r>
          </w:p>
        </w:tc>
      </w:tr>
      <w:tr w:rsidR="00D8141B" w:rsidRPr="00D8141B" w:rsidTr="005F4263">
        <w:trPr>
          <w:jc w:val="center"/>
        </w:trPr>
        <w:tc>
          <w:tcPr>
            <w:tcW w:w="4248"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Vitamin B12</w:t>
            </w:r>
          </w:p>
        </w:tc>
        <w:tc>
          <w:tcPr>
            <w:tcW w:w="1843" w:type="dxa"/>
            <w:tcBorders>
              <w:bottom w:val="single" w:sz="4" w:space="0" w:color="auto"/>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551" w:type="dxa"/>
            <w:tcBorders>
              <w:bottom w:val="single" w:sz="4" w:space="0" w:color="auto"/>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120–680 pmol/L</w:t>
            </w:r>
          </w:p>
        </w:tc>
      </w:tr>
      <w:tr w:rsidR="00D8141B" w:rsidRPr="00D8141B" w:rsidTr="005F4263">
        <w:trPr>
          <w:jc w:val="center"/>
        </w:trPr>
        <w:tc>
          <w:tcPr>
            <w:tcW w:w="4248" w:type="dxa"/>
            <w:vMerge w:val="restart"/>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Folate</w:t>
            </w:r>
          </w:p>
        </w:tc>
        <w:tc>
          <w:tcPr>
            <w:tcW w:w="1843" w:type="dxa"/>
            <w:tcBorders>
              <w:bottom w:val="nil"/>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(red cell)</w:t>
            </w:r>
          </w:p>
        </w:tc>
        <w:tc>
          <w:tcPr>
            <w:tcW w:w="2551" w:type="dxa"/>
            <w:tcBorders>
              <w:bottom w:val="nil"/>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360–1400 nmol/L</w:t>
            </w:r>
          </w:p>
        </w:tc>
      </w:tr>
      <w:tr w:rsidR="00D8141B" w:rsidRPr="00D8141B" w:rsidTr="005F4263">
        <w:trPr>
          <w:jc w:val="center"/>
        </w:trPr>
        <w:tc>
          <w:tcPr>
            <w:tcW w:w="4248" w:type="dxa"/>
            <w:vMerge/>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1843" w:type="dxa"/>
            <w:tcBorders>
              <w:top w:val="nil"/>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(serum)</w:t>
            </w:r>
          </w:p>
        </w:tc>
        <w:tc>
          <w:tcPr>
            <w:tcW w:w="2551" w:type="dxa"/>
            <w:tcBorders>
              <w:top w:val="nil"/>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7–45 nmol/L</w:t>
            </w:r>
          </w:p>
        </w:tc>
      </w:tr>
    </w:tbl>
    <w:p w:rsidR="00D8141B" w:rsidRPr="00D8141B" w:rsidRDefault="00D8141B" w:rsidP="00D8141B">
      <w:pPr>
        <w:spacing w:after="0" w:line="240" w:lineRule="auto"/>
        <w:jc w:val="center"/>
        <w:rPr>
          <w:rFonts w:eastAsia="Times New Roman" w:cs="Arial"/>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6134"/>
        <w:gridCol w:w="2513"/>
      </w:tblGrid>
      <w:tr w:rsidR="00D8141B" w:rsidRPr="00D8141B" w:rsidTr="005F4263">
        <w:trPr>
          <w:jc w:val="center"/>
        </w:trPr>
        <w:tc>
          <w:tcPr>
            <w:tcW w:w="8647" w:type="dxa"/>
            <w:gridSpan w:val="2"/>
            <w:shd w:val="pct10" w:color="auto" w:fill="auto"/>
          </w:tcPr>
          <w:p w:rsidR="00D8141B" w:rsidRPr="00D8141B" w:rsidRDefault="00D8141B" w:rsidP="005F4263">
            <w:pPr>
              <w:keepNext/>
              <w:spacing w:before="60" w:after="60" w:line="240" w:lineRule="auto"/>
              <w:jc w:val="center"/>
              <w:outlineLvl w:val="2"/>
              <w:rPr>
                <w:rFonts w:eastAsia="Times New Roman" w:cs="Arial"/>
                <w:sz w:val="20"/>
                <w:szCs w:val="20"/>
                <w:lang w:val="en-US"/>
              </w:rPr>
            </w:pPr>
            <w:bookmarkStart w:id="343" w:name="_Toc144874767"/>
            <w:bookmarkStart w:id="344" w:name="_Toc144875356"/>
            <w:r w:rsidRPr="00D8141B">
              <w:rPr>
                <w:rFonts w:eastAsia="Times New Roman" w:cs="Arial"/>
                <w:b/>
                <w:bCs/>
                <w:sz w:val="20"/>
                <w:szCs w:val="20"/>
                <w:lang w:val="en-US"/>
              </w:rPr>
              <w:t>Reference ranges, citrated plasma</w:t>
            </w:r>
            <w:bookmarkEnd w:id="343"/>
            <w:bookmarkEnd w:id="344"/>
          </w:p>
        </w:tc>
      </w:tr>
      <w:tr w:rsidR="00D8141B" w:rsidRPr="00D8141B" w:rsidTr="005F4263">
        <w:trPr>
          <w:trHeight w:val="510"/>
          <w:jc w:val="center"/>
        </w:trPr>
        <w:tc>
          <w:tcPr>
            <w:tcW w:w="6134" w:type="dxa"/>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Activated partial thromboplastin time (APTT)</w:t>
            </w:r>
          </w:p>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 Therapeutic range for continuous infusion heparin</w:t>
            </w:r>
          </w:p>
        </w:tc>
        <w:tc>
          <w:tcPr>
            <w:tcW w:w="2508" w:type="dxa"/>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25–35 seconds</w:t>
            </w:r>
          </w:p>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1.5–2.5 x baseline</w:t>
            </w:r>
          </w:p>
        </w:tc>
      </w:tr>
      <w:tr w:rsidR="00D8141B" w:rsidRPr="00D8141B" w:rsidTr="005F4263">
        <w:trPr>
          <w:jc w:val="center"/>
        </w:trPr>
        <w:tc>
          <w:tcPr>
            <w:tcW w:w="6134" w:type="dxa"/>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Prothrombin time (PT)</w:t>
            </w:r>
          </w:p>
        </w:tc>
        <w:tc>
          <w:tcPr>
            <w:tcW w:w="2508" w:type="dxa"/>
            <w:tcBorders>
              <w:bottom w:val="single" w:sz="4" w:space="0" w:color="auto"/>
            </w:tcBorders>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11–15 seconds</w:t>
            </w:r>
          </w:p>
        </w:tc>
      </w:tr>
      <w:tr w:rsidR="00D8141B" w:rsidRPr="00D8141B" w:rsidTr="005F4263">
        <w:trPr>
          <w:jc w:val="center"/>
        </w:trPr>
        <w:tc>
          <w:tcPr>
            <w:tcW w:w="6134" w:type="dxa"/>
            <w:vMerge w:val="restart"/>
            <w:tcBorders>
              <w:right w:val="single" w:sz="4" w:space="0" w:color="auto"/>
            </w:tcBorders>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International normalised ratio (INR)</w:t>
            </w:r>
          </w:p>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 Therapeutic range for oral anticoagulant therapy</w:t>
            </w:r>
          </w:p>
        </w:tc>
        <w:tc>
          <w:tcPr>
            <w:tcW w:w="2508" w:type="dxa"/>
            <w:tcBorders>
              <w:top w:val="single" w:sz="4" w:space="0" w:color="auto"/>
              <w:left w:val="single" w:sz="4" w:space="0" w:color="auto"/>
              <w:bottom w:val="nil"/>
              <w:right w:val="single" w:sz="4" w:space="0" w:color="auto"/>
            </w:tcBorders>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p>
        </w:tc>
      </w:tr>
      <w:tr w:rsidR="00D8141B" w:rsidRPr="00D8141B" w:rsidTr="005F4263">
        <w:trPr>
          <w:jc w:val="center"/>
        </w:trPr>
        <w:tc>
          <w:tcPr>
            <w:tcW w:w="6134" w:type="dxa"/>
            <w:vMerge/>
            <w:tcBorders>
              <w:right w:val="single" w:sz="4" w:space="0" w:color="auto"/>
            </w:tcBorders>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p>
        </w:tc>
        <w:tc>
          <w:tcPr>
            <w:tcW w:w="2508" w:type="dxa"/>
            <w:tcBorders>
              <w:top w:val="nil"/>
              <w:left w:val="single" w:sz="4" w:space="0" w:color="auto"/>
              <w:bottom w:val="single" w:sz="4" w:space="0" w:color="auto"/>
              <w:right w:val="single" w:sz="4" w:space="0" w:color="auto"/>
            </w:tcBorders>
          </w:tcPr>
          <w:p w:rsidR="00D8141B" w:rsidRPr="00D8141B" w:rsidRDefault="00D8141B" w:rsidP="005F4263">
            <w:pPr>
              <w:keepNext/>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2.0–4.5</w:t>
            </w:r>
          </w:p>
        </w:tc>
      </w:tr>
      <w:tr w:rsidR="00D8141B" w:rsidRPr="00D8141B" w:rsidTr="005F4263">
        <w:trPr>
          <w:jc w:val="center"/>
        </w:trPr>
        <w:tc>
          <w:tcPr>
            <w:tcW w:w="6134"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Fibrinogen</w:t>
            </w:r>
          </w:p>
        </w:tc>
        <w:tc>
          <w:tcPr>
            <w:tcW w:w="2508" w:type="dxa"/>
            <w:tcBorders>
              <w:top w:val="single" w:sz="4" w:space="0" w:color="auto"/>
            </w:tcBorders>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1.5–4.0 g/L</w:t>
            </w:r>
          </w:p>
        </w:tc>
      </w:tr>
    </w:tbl>
    <w:p w:rsidR="00D8141B" w:rsidRPr="00D8141B" w:rsidRDefault="00D8141B" w:rsidP="00D8141B">
      <w:pPr>
        <w:spacing w:after="0" w:line="240" w:lineRule="auto"/>
        <w:jc w:val="center"/>
        <w:rPr>
          <w:rFonts w:eastAsia="Times New Roman" w:cs="Arial"/>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6134"/>
        <w:gridCol w:w="2513"/>
      </w:tblGrid>
      <w:tr w:rsidR="00D8141B" w:rsidRPr="00D8141B" w:rsidTr="005F4263">
        <w:trPr>
          <w:jc w:val="center"/>
        </w:trPr>
        <w:tc>
          <w:tcPr>
            <w:tcW w:w="8647" w:type="dxa"/>
            <w:gridSpan w:val="2"/>
            <w:shd w:val="pct10" w:color="auto" w:fill="auto"/>
          </w:tcPr>
          <w:p w:rsidR="00D8141B" w:rsidRPr="00D8141B" w:rsidRDefault="00D8141B" w:rsidP="005F4263">
            <w:pPr>
              <w:keepNext/>
              <w:spacing w:before="60" w:after="60" w:line="240" w:lineRule="auto"/>
              <w:jc w:val="center"/>
              <w:outlineLvl w:val="2"/>
              <w:rPr>
                <w:rFonts w:eastAsia="Times New Roman" w:cs="Arial"/>
                <w:sz w:val="20"/>
                <w:szCs w:val="20"/>
                <w:lang w:val="en-US"/>
              </w:rPr>
            </w:pPr>
            <w:bookmarkStart w:id="345" w:name="_Toc144874768"/>
            <w:bookmarkStart w:id="346" w:name="_Toc144875357"/>
            <w:r w:rsidRPr="00D8141B">
              <w:rPr>
                <w:rFonts w:eastAsia="Times New Roman" w:cs="Arial"/>
                <w:b/>
                <w:bCs/>
                <w:sz w:val="20"/>
                <w:szCs w:val="20"/>
                <w:lang w:val="en-US"/>
              </w:rPr>
              <w:t>Reference ranges, serum</w:t>
            </w:r>
            <w:bookmarkEnd w:id="345"/>
            <w:bookmarkEnd w:id="346"/>
          </w:p>
        </w:tc>
      </w:tr>
      <w:tr w:rsidR="00D8141B" w:rsidRPr="00D8141B" w:rsidTr="005F4263">
        <w:trPr>
          <w:jc w:val="center"/>
        </w:trPr>
        <w:tc>
          <w:tcPr>
            <w:tcW w:w="6134"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Rheumatoid factor (nephelometry)</w:t>
            </w:r>
          </w:p>
        </w:tc>
        <w:tc>
          <w:tcPr>
            <w:tcW w:w="2508"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&lt; 30 IU/L</w:t>
            </w:r>
          </w:p>
        </w:tc>
      </w:tr>
      <w:tr w:rsidR="00D8141B" w:rsidRPr="00D8141B" w:rsidTr="005F4263">
        <w:trPr>
          <w:jc w:val="center"/>
        </w:trPr>
        <w:tc>
          <w:tcPr>
            <w:tcW w:w="6134"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C3</w:t>
            </w:r>
          </w:p>
        </w:tc>
        <w:tc>
          <w:tcPr>
            <w:tcW w:w="2508"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0.9–1.8 g/L</w:t>
            </w:r>
          </w:p>
        </w:tc>
      </w:tr>
      <w:tr w:rsidR="00D8141B" w:rsidRPr="00D8141B" w:rsidTr="005F4263">
        <w:trPr>
          <w:jc w:val="center"/>
        </w:trPr>
        <w:tc>
          <w:tcPr>
            <w:tcW w:w="6134"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C4</w:t>
            </w:r>
          </w:p>
        </w:tc>
        <w:tc>
          <w:tcPr>
            <w:tcW w:w="2508"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0.16–0.50 g/L</w:t>
            </w:r>
          </w:p>
        </w:tc>
      </w:tr>
      <w:tr w:rsidR="00D8141B" w:rsidRPr="00D8141B" w:rsidTr="005F4263">
        <w:trPr>
          <w:jc w:val="center"/>
        </w:trPr>
        <w:tc>
          <w:tcPr>
            <w:tcW w:w="6134"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C-reactive protein</w:t>
            </w:r>
          </w:p>
        </w:tc>
        <w:tc>
          <w:tcPr>
            <w:tcW w:w="2508"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&lt; 5.0 mg/L</w:t>
            </w:r>
          </w:p>
        </w:tc>
      </w:tr>
      <w:tr w:rsidR="00D8141B" w:rsidRPr="00D8141B" w:rsidTr="005F4263">
        <w:trPr>
          <w:jc w:val="center"/>
        </w:trPr>
        <w:tc>
          <w:tcPr>
            <w:tcW w:w="6134"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Immunoglobulins:</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 IgG</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 IgA</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 xml:space="preserve"> IgM</w:t>
            </w:r>
          </w:p>
        </w:tc>
        <w:tc>
          <w:tcPr>
            <w:tcW w:w="2508"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6.5–16.0g/L</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0.6–4.0g/L</w:t>
            </w:r>
          </w:p>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0.5–3.0g/L</w:t>
            </w:r>
          </w:p>
        </w:tc>
      </w:tr>
    </w:tbl>
    <w:p w:rsidR="00D8141B" w:rsidRPr="00D8141B" w:rsidRDefault="00D8141B" w:rsidP="00D8141B">
      <w:pPr>
        <w:spacing w:after="0" w:line="240" w:lineRule="auto"/>
        <w:jc w:val="center"/>
        <w:rPr>
          <w:rFonts w:eastAsia="Times New Roman" w:cs="Arial"/>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6339"/>
        <w:gridCol w:w="2020"/>
        <w:gridCol w:w="10"/>
      </w:tblGrid>
      <w:tr w:rsidR="00D8141B" w:rsidRPr="00D8141B" w:rsidTr="005F4263">
        <w:trPr>
          <w:jc w:val="center"/>
        </w:trPr>
        <w:tc>
          <w:tcPr>
            <w:tcW w:w="8369" w:type="dxa"/>
            <w:gridSpan w:val="3"/>
            <w:shd w:val="pct10" w:color="auto" w:fill="auto"/>
          </w:tcPr>
          <w:p w:rsidR="00D8141B" w:rsidRPr="00D8141B" w:rsidRDefault="00D8141B" w:rsidP="005F4263">
            <w:pPr>
              <w:keepNext/>
              <w:spacing w:before="60" w:after="60" w:line="240" w:lineRule="auto"/>
              <w:jc w:val="center"/>
              <w:outlineLvl w:val="2"/>
              <w:rPr>
                <w:rFonts w:eastAsia="Times New Roman" w:cs="Arial"/>
                <w:b/>
                <w:bCs/>
                <w:sz w:val="20"/>
                <w:szCs w:val="20"/>
                <w:lang w:val="en-US"/>
              </w:rPr>
            </w:pPr>
            <w:bookmarkStart w:id="347" w:name="_Toc144874769"/>
            <w:bookmarkStart w:id="348" w:name="_Toc144875358"/>
            <w:r w:rsidRPr="00D8141B">
              <w:rPr>
                <w:rFonts w:eastAsia="Times New Roman" w:cs="Arial"/>
                <w:b/>
                <w:bCs/>
                <w:sz w:val="20"/>
                <w:szCs w:val="20"/>
                <w:lang w:val="en-US"/>
              </w:rPr>
              <w:lastRenderedPageBreak/>
              <w:t>Reference intervals for lymphocyte subsets</w:t>
            </w:r>
            <w:bookmarkEnd w:id="347"/>
            <w:bookmarkEnd w:id="348"/>
            <w:r w:rsidRPr="00D8141B">
              <w:rPr>
                <w:rFonts w:eastAsia="Times New Roman" w:cs="Arial"/>
                <w:b/>
                <w:bCs/>
                <w:sz w:val="20"/>
                <w:szCs w:val="20"/>
                <w:lang w:val="en-US"/>
              </w:rPr>
              <w:t xml:space="preserve"> </w:t>
            </w:r>
          </w:p>
        </w:tc>
      </w:tr>
      <w:tr w:rsidR="00D8141B" w:rsidRPr="00D8141B" w:rsidTr="005F4263">
        <w:trPr>
          <w:gridAfter w:val="1"/>
          <w:wAfter w:w="10" w:type="dxa"/>
          <w:jc w:val="center"/>
        </w:trPr>
        <w:tc>
          <w:tcPr>
            <w:tcW w:w="6339"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p>
        </w:tc>
        <w:tc>
          <w:tcPr>
            <w:tcW w:w="2020" w:type="dxa"/>
          </w:tcPr>
          <w:p w:rsidR="00D8141B" w:rsidRPr="00D8141B" w:rsidRDefault="00D8141B" w:rsidP="005F4263">
            <w:pPr>
              <w:keepNext/>
              <w:keepLines/>
              <w:widowControl w:val="0"/>
              <w:suppressAutoHyphens/>
              <w:spacing w:before="10" w:after="10" w:line="240" w:lineRule="auto"/>
              <w:jc w:val="center"/>
              <w:rPr>
                <w:rFonts w:eastAsia="Times New Roman" w:cs="Arial"/>
                <w:b/>
                <w:bCs/>
                <w:snapToGrid w:val="0"/>
                <w:sz w:val="20"/>
                <w:szCs w:val="20"/>
                <w:lang w:val="en-GB"/>
              </w:rPr>
            </w:pPr>
            <w:r w:rsidRPr="00D8141B">
              <w:rPr>
                <w:rFonts w:eastAsia="Times New Roman" w:cs="Arial"/>
                <w:b/>
                <w:bCs/>
                <w:snapToGrid w:val="0"/>
                <w:sz w:val="20"/>
                <w:szCs w:val="20"/>
                <w:lang w:val="en-GB"/>
              </w:rPr>
              <w:t>Adult</w:t>
            </w:r>
          </w:p>
        </w:tc>
      </w:tr>
      <w:tr w:rsidR="00D8141B" w:rsidRPr="00D8141B" w:rsidTr="005F4263">
        <w:trPr>
          <w:gridAfter w:val="1"/>
          <w:wAfter w:w="10" w:type="dxa"/>
          <w:jc w:val="center"/>
        </w:trPr>
        <w:tc>
          <w:tcPr>
            <w:tcW w:w="6339"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Total lymphocytes</w:t>
            </w:r>
          </w:p>
        </w:tc>
        <w:tc>
          <w:tcPr>
            <w:tcW w:w="2020" w:type="dxa"/>
          </w:tcPr>
          <w:p w:rsidR="00D8141B" w:rsidRPr="00D8141B" w:rsidRDefault="00D8141B" w:rsidP="005F4263">
            <w:pPr>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1.5–4.0</w:t>
            </w:r>
          </w:p>
        </w:tc>
      </w:tr>
      <w:tr w:rsidR="00D8141B" w:rsidRPr="00D8141B" w:rsidTr="005F4263">
        <w:trPr>
          <w:gridAfter w:val="1"/>
          <w:wAfter w:w="10" w:type="dxa"/>
          <w:jc w:val="center"/>
        </w:trPr>
        <w:tc>
          <w:tcPr>
            <w:tcW w:w="6339"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CD3</w:t>
            </w:r>
          </w:p>
        </w:tc>
        <w:tc>
          <w:tcPr>
            <w:tcW w:w="2020" w:type="dxa"/>
          </w:tcPr>
          <w:p w:rsidR="00D8141B" w:rsidRPr="00D8141B" w:rsidRDefault="00D8141B" w:rsidP="005F4263">
            <w:pPr>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0.6–2.4</w:t>
            </w:r>
          </w:p>
        </w:tc>
      </w:tr>
      <w:tr w:rsidR="00D8141B" w:rsidRPr="00D8141B" w:rsidTr="005F4263">
        <w:trPr>
          <w:gridAfter w:val="1"/>
          <w:wAfter w:w="10" w:type="dxa"/>
          <w:jc w:val="center"/>
        </w:trPr>
        <w:tc>
          <w:tcPr>
            <w:tcW w:w="6339"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CD4 (T4)</w:t>
            </w:r>
          </w:p>
        </w:tc>
        <w:tc>
          <w:tcPr>
            <w:tcW w:w="2020" w:type="dxa"/>
          </w:tcPr>
          <w:p w:rsidR="00D8141B" w:rsidRPr="00D8141B" w:rsidRDefault="00D8141B" w:rsidP="005F4263">
            <w:pPr>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0.5–1.4</w:t>
            </w:r>
          </w:p>
        </w:tc>
      </w:tr>
      <w:tr w:rsidR="00D8141B" w:rsidRPr="00D8141B" w:rsidTr="005F4263">
        <w:trPr>
          <w:gridAfter w:val="1"/>
          <w:wAfter w:w="10" w:type="dxa"/>
          <w:jc w:val="center"/>
        </w:trPr>
        <w:tc>
          <w:tcPr>
            <w:tcW w:w="6339"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CD8 (T8)</w:t>
            </w:r>
          </w:p>
        </w:tc>
        <w:tc>
          <w:tcPr>
            <w:tcW w:w="2020" w:type="dxa"/>
          </w:tcPr>
          <w:p w:rsidR="00D8141B" w:rsidRPr="00D8141B" w:rsidRDefault="00D8141B" w:rsidP="005F4263">
            <w:pPr>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0.2–0.7</w:t>
            </w:r>
          </w:p>
        </w:tc>
      </w:tr>
      <w:tr w:rsidR="00D8141B" w:rsidRPr="00D8141B" w:rsidTr="005F4263">
        <w:trPr>
          <w:gridAfter w:val="1"/>
          <w:wAfter w:w="10" w:type="dxa"/>
          <w:jc w:val="center"/>
        </w:trPr>
        <w:tc>
          <w:tcPr>
            <w:tcW w:w="6339"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CD19</w:t>
            </w:r>
          </w:p>
        </w:tc>
        <w:tc>
          <w:tcPr>
            <w:tcW w:w="2020" w:type="dxa"/>
          </w:tcPr>
          <w:p w:rsidR="00D8141B" w:rsidRPr="00D8141B" w:rsidRDefault="00D8141B" w:rsidP="005F4263">
            <w:pPr>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0.04–0.5</w:t>
            </w:r>
          </w:p>
        </w:tc>
      </w:tr>
      <w:tr w:rsidR="00D8141B" w:rsidRPr="00D8141B" w:rsidTr="005F4263">
        <w:trPr>
          <w:gridAfter w:val="1"/>
          <w:wAfter w:w="10" w:type="dxa"/>
          <w:jc w:val="center"/>
        </w:trPr>
        <w:tc>
          <w:tcPr>
            <w:tcW w:w="6339"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CD16</w:t>
            </w:r>
          </w:p>
        </w:tc>
        <w:tc>
          <w:tcPr>
            <w:tcW w:w="2020" w:type="dxa"/>
          </w:tcPr>
          <w:p w:rsidR="00D8141B" w:rsidRPr="00D8141B" w:rsidRDefault="00D8141B" w:rsidP="005F4263">
            <w:pPr>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0.2–0.4</w:t>
            </w:r>
          </w:p>
        </w:tc>
      </w:tr>
      <w:tr w:rsidR="00D8141B" w:rsidRPr="00D8141B" w:rsidTr="005F4263">
        <w:trPr>
          <w:gridAfter w:val="1"/>
          <w:wAfter w:w="10" w:type="dxa"/>
          <w:jc w:val="center"/>
        </w:trPr>
        <w:tc>
          <w:tcPr>
            <w:tcW w:w="6339" w:type="dxa"/>
          </w:tcPr>
          <w:p w:rsidR="00D8141B" w:rsidRPr="00D8141B" w:rsidRDefault="00D8141B" w:rsidP="005F4263">
            <w:pPr>
              <w:keepLines/>
              <w:widowControl w:val="0"/>
              <w:suppressAutoHyphens/>
              <w:spacing w:before="10" w:after="10" w:line="240" w:lineRule="auto"/>
              <w:rPr>
                <w:rFonts w:eastAsia="Times New Roman" w:cs="Arial"/>
                <w:snapToGrid w:val="0"/>
                <w:sz w:val="20"/>
                <w:szCs w:val="20"/>
                <w:lang w:val="en-GB"/>
              </w:rPr>
            </w:pPr>
            <w:r w:rsidRPr="00D8141B">
              <w:rPr>
                <w:rFonts w:eastAsia="Times New Roman" w:cs="Arial"/>
                <w:snapToGrid w:val="0"/>
                <w:sz w:val="20"/>
                <w:szCs w:val="20"/>
                <w:lang w:val="en-GB"/>
              </w:rPr>
              <w:t>CD4/CD8 ratio</w:t>
            </w:r>
          </w:p>
        </w:tc>
        <w:tc>
          <w:tcPr>
            <w:tcW w:w="2020" w:type="dxa"/>
          </w:tcPr>
          <w:p w:rsidR="00D8141B" w:rsidRPr="00D8141B" w:rsidRDefault="00D8141B" w:rsidP="005F4263">
            <w:pPr>
              <w:keepLines/>
              <w:widowControl w:val="0"/>
              <w:suppressAutoHyphens/>
              <w:spacing w:before="10" w:after="10" w:line="240" w:lineRule="auto"/>
              <w:jc w:val="center"/>
              <w:rPr>
                <w:rFonts w:eastAsia="Times New Roman" w:cs="Arial"/>
                <w:snapToGrid w:val="0"/>
                <w:sz w:val="20"/>
                <w:szCs w:val="20"/>
                <w:lang w:val="en-GB"/>
              </w:rPr>
            </w:pPr>
            <w:r w:rsidRPr="00D8141B">
              <w:rPr>
                <w:rFonts w:eastAsia="Times New Roman" w:cs="Arial"/>
                <w:snapToGrid w:val="0"/>
                <w:sz w:val="20"/>
                <w:szCs w:val="20"/>
                <w:lang w:val="en-GB"/>
              </w:rPr>
              <w:t>1.0–3.2</w:t>
            </w:r>
          </w:p>
        </w:tc>
      </w:tr>
    </w:tbl>
    <w:p w:rsidR="005F4263" w:rsidRPr="005F4263" w:rsidRDefault="005F4263" w:rsidP="005F4263">
      <w:pPr>
        <w:keepNext/>
        <w:spacing w:before="360" w:after="120" w:line="240" w:lineRule="auto"/>
        <w:outlineLvl w:val="1"/>
        <w:rPr>
          <w:rFonts w:eastAsia="Times New Roman" w:cs="Arial"/>
          <w:b/>
          <w:bCs/>
          <w:sz w:val="24"/>
          <w:szCs w:val="24"/>
          <w:lang w:val="en-US"/>
        </w:rPr>
      </w:pPr>
      <w:r w:rsidRPr="005F4263">
        <w:rPr>
          <w:rFonts w:eastAsia="Times New Roman" w:cs="Arial"/>
          <w:b/>
          <w:bCs/>
          <w:sz w:val="24"/>
          <w:szCs w:val="24"/>
          <w:lang w:val="en-US"/>
        </w:rPr>
        <w:t xml:space="preserve">Appendix 13.2: New classification and criteria for diagnosis of diabetes mellitus </w:t>
      </w:r>
    </w:p>
    <w:p w:rsidR="00D8141B" w:rsidRDefault="005F4263" w:rsidP="005F4263">
      <w:pPr>
        <w:pStyle w:val="BodyText13"/>
        <w:numPr>
          <w:ilvl w:val="0"/>
          <w:numId w:val="0"/>
        </w:numPr>
        <w:tabs>
          <w:tab w:val="clear" w:pos="709"/>
        </w:tabs>
        <w:rPr>
          <w:b/>
          <w:vertAlign w:val="superscript"/>
        </w:rPr>
      </w:pPr>
      <w:r w:rsidRPr="005F4263">
        <w:rPr>
          <w:b/>
        </w:rPr>
        <w:t>Position Statement from the Australian Diabetes Society,* New Zealand Society for the Study of Diabetes,</w:t>
      </w:r>
      <w:r w:rsidRPr="005F4263">
        <w:rPr>
          <w:b/>
          <w:vertAlign w:val="superscript"/>
        </w:rPr>
        <w:t>†</w:t>
      </w:r>
      <w:r w:rsidRPr="005F4263">
        <w:rPr>
          <w:b/>
        </w:rPr>
        <w:t xml:space="preserve"> Royal College of Pathologists of Australasia</w:t>
      </w:r>
      <w:r w:rsidRPr="005F4263">
        <w:rPr>
          <w:b/>
          <w:vertAlign w:val="superscript"/>
        </w:rPr>
        <w:t>‡</w:t>
      </w:r>
      <w:r w:rsidRPr="005F4263">
        <w:rPr>
          <w:b/>
        </w:rPr>
        <w:t xml:space="preserve"> and Australasian Association of Clinical Biochemists</w:t>
      </w:r>
      <w:r w:rsidRPr="005F4263">
        <w:rPr>
          <w:b/>
          <w:vertAlign w:val="superscript"/>
        </w:rPr>
        <w:t>§</w:t>
      </w:r>
    </w:p>
    <w:p w:rsidR="005F4263" w:rsidRPr="00D8141B" w:rsidRDefault="005F4263" w:rsidP="005F4263">
      <w:pPr>
        <w:pStyle w:val="BodyText13"/>
        <w:numPr>
          <w:ilvl w:val="0"/>
          <w:numId w:val="0"/>
        </w:numPr>
        <w:tabs>
          <w:tab w:val="clear" w:pos="709"/>
        </w:tabs>
        <w:rPr>
          <w:snapToGrid w:val="0"/>
          <w:vertAlign w:val="superscript"/>
        </w:rPr>
      </w:pPr>
      <w:r w:rsidRPr="00D8141B">
        <w:rPr>
          <w:snapToGrid w:val="0"/>
        </w:rPr>
        <w:t>Peter G Colman,* David W Thomas,</w:t>
      </w:r>
      <w:r w:rsidRPr="00D8141B">
        <w:rPr>
          <w:snapToGrid w:val="0"/>
          <w:vertAlign w:val="superscript"/>
        </w:rPr>
        <w:t>‡</w:t>
      </w:r>
      <w:r w:rsidRPr="00D8141B">
        <w:rPr>
          <w:snapToGrid w:val="0"/>
        </w:rPr>
        <w:t xml:space="preserve"> Paul Z Zimmet,* Timothy A Welborn,* Peter Garcia-Webb</w:t>
      </w:r>
      <w:r w:rsidRPr="00D8141B">
        <w:rPr>
          <w:snapToGrid w:val="0"/>
          <w:vertAlign w:val="superscript"/>
        </w:rPr>
        <w:t>§</w:t>
      </w:r>
      <w:r w:rsidRPr="00D8141B">
        <w:rPr>
          <w:snapToGrid w:val="0"/>
        </w:rPr>
        <w:t xml:space="preserve"> and M Peter Moore</w:t>
      </w:r>
      <w:r w:rsidRPr="00D8141B">
        <w:rPr>
          <w:snapToGrid w:val="0"/>
          <w:vertAlign w:val="superscript"/>
        </w:rPr>
        <w:t>†</w:t>
      </w:r>
    </w:p>
    <w:p w:rsidR="005F4263" w:rsidRPr="005F4263" w:rsidRDefault="005F4263" w:rsidP="005F4263">
      <w:pPr>
        <w:pStyle w:val="BodyText13"/>
        <w:numPr>
          <w:ilvl w:val="0"/>
          <w:numId w:val="0"/>
        </w:numPr>
        <w:tabs>
          <w:tab w:val="clear" w:pos="709"/>
        </w:tabs>
        <w:rPr>
          <w:b/>
          <w:szCs w:val="20"/>
        </w:rPr>
      </w:pPr>
      <w:r w:rsidRPr="00D8141B">
        <w:rPr>
          <w:snapToGrid w:val="0"/>
          <w:szCs w:val="20"/>
          <w:lang w:val="en-GB"/>
        </w:rPr>
        <w:t>First published in the Medical Journal of Australia (</w:t>
      </w:r>
      <w:r w:rsidRPr="00D8141B">
        <w:rPr>
          <w:i/>
          <w:snapToGrid w:val="0"/>
          <w:szCs w:val="20"/>
          <w:lang w:val="en-GB"/>
        </w:rPr>
        <w:t>MJA</w:t>
      </w:r>
      <w:r w:rsidRPr="00D8141B">
        <w:rPr>
          <w:snapToGrid w:val="0"/>
          <w:szCs w:val="20"/>
          <w:lang w:val="en-GB"/>
        </w:rPr>
        <w:t xml:space="preserve"> 1999; 170: 375–378). Reprinted with permission.</w:t>
      </w:r>
    </w:p>
    <w:bookmarkStart w:id="349" w:name="_Toc144874772"/>
    <w:bookmarkStart w:id="350" w:name="_Toc144875361"/>
    <w:p w:rsidR="00D8141B" w:rsidRPr="005F4263" w:rsidRDefault="00EC3105" w:rsidP="005F4263">
      <w:pPr>
        <w:keepNext/>
        <w:spacing w:after="120" w:line="240" w:lineRule="auto"/>
        <w:outlineLvl w:val="2"/>
        <w:rPr>
          <w:rFonts w:eastAsia="Times New Roman" w:cs="Arial"/>
          <w:b/>
          <w:sz w:val="24"/>
          <w:szCs w:val="24"/>
          <w:lang w:val="en-US"/>
        </w:rPr>
      </w:pPr>
      <w:r w:rsidRPr="005F4263">
        <w:rPr>
          <w:rFonts w:eastAsia="Times New Roman" w:cs="Arial"/>
          <w:b/>
          <w:noProof/>
          <w:sz w:val="24"/>
          <w:szCs w:val="24"/>
          <w:lang w:eastAsia="en-AU"/>
        </w:rPr>
        <mc:AlternateContent>
          <mc:Choice Requires="wps">
            <w:drawing>
              <wp:anchor distT="152400" distB="152400" distL="152400" distR="152400" simplePos="0" relativeHeight="251661312" behindDoc="0" locked="1" layoutInCell="0" allowOverlap="1" wp14:anchorId="4864203E" wp14:editId="4435C782">
                <wp:simplePos x="0" y="0"/>
                <wp:positionH relativeFrom="margin">
                  <wp:align>right</wp:align>
                </wp:positionH>
                <wp:positionV relativeFrom="margin">
                  <wp:posOffset>3573780</wp:posOffset>
                </wp:positionV>
                <wp:extent cx="2620010" cy="4979035"/>
                <wp:effectExtent l="0" t="0" r="27940" b="1206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4979035"/>
                        </a:xfrm>
                        <a:prstGeom prst="rect">
                          <a:avLst/>
                        </a:prstGeom>
                        <a:solidFill>
                          <a:srgbClr val="FFFFFF"/>
                        </a:solidFill>
                        <a:ln w="9525">
                          <a:solidFill>
                            <a:srgbClr val="000000"/>
                          </a:solidFill>
                          <a:miter lim="800000"/>
                          <a:headEnd/>
                          <a:tailEnd/>
                        </a:ln>
                      </wps:spPr>
                      <wps:txbx>
                        <w:txbxContent>
                          <w:p w:rsidR="006215EF" w:rsidRPr="005F4263" w:rsidRDefault="006215EF" w:rsidP="005F4263">
                            <w:pPr>
                              <w:pStyle w:val="Heading3"/>
                              <w:shd w:val="clear" w:color="auto" w:fill="D9D9D9" w:themeFill="background1" w:themeFillShade="D9"/>
                              <w:spacing w:before="40" w:after="120"/>
                              <w:jc w:val="center"/>
                              <w:rPr>
                                <w:rFonts w:cs="Arial"/>
                                <w:bCs/>
                                <w:sz w:val="22"/>
                                <w:szCs w:val="22"/>
                              </w:rPr>
                            </w:pPr>
                            <w:r w:rsidRPr="005F4263">
                              <w:rPr>
                                <w:rFonts w:cs="Arial"/>
                                <w:bCs/>
                                <w:sz w:val="22"/>
                                <w:szCs w:val="22"/>
                              </w:rPr>
                              <w:t>Key messages</w:t>
                            </w:r>
                          </w:p>
                          <w:p w:rsidR="006215EF" w:rsidRPr="00F84184" w:rsidRDefault="006215EF" w:rsidP="00D8141B">
                            <w:pPr>
                              <w:pStyle w:val="Nortable"/>
                              <w:shd w:val="clear" w:color="auto" w:fill="D9D9D9" w:themeFill="background1" w:themeFillShade="D9"/>
                              <w:rPr>
                                <w:rFonts w:ascii="Arial" w:hAnsi="Arial" w:cs="Arial"/>
                                <w:sz w:val="20"/>
                              </w:rPr>
                            </w:pPr>
                            <w:r w:rsidRPr="00F84184">
                              <w:rPr>
                                <w:rFonts w:ascii="Arial" w:hAnsi="Arial" w:cs="Arial"/>
                                <w:sz w:val="20"/>
                              </w:rPr>
                              <w:t xml:space="preserve">Diagnosis of diabetes is not in doubt when there are classical symptoms of thirst and polyuria and a random venous plasma glucose level ≥ 11.1 mmol/L. </w:t>
                            </w:r>
                          </w:p>
                          <w:p w:rsidR="006215EF" w:rsidRPr="00F84184" w:rsidRDefault="006215EF" w:rsidP="00D8141B">
                            <w:pPr>
                              <w:pStyle w:val="Nortable"/>
                              <w:shd w:val="clear" w:color="auto" w:fill="D9D9D9" w:themeFill="background1" w:themeFillShade="D9"/>
                              <w:rPr>
                                <w:rFonts w:ascii="Arial" w:hAnsi="Arial" w:cs="Arial"/>
                                <w:sz w:val="20"/>
                              </w:rPr>
                            </w:pPr>
                            <w:r w:rsidRPr="00F84184">
                              <w:rPr>
                                <w:rFonts w:ascii="Arial" w:hAnsi="Arial" w:cs="Arial"/>
                                <w:sz w:val="20"/>
                              </w:rPr>
                              <w:t xml:space="preserve">The Australasian Working Party on Diagnostic Criteria for Diabetes Mellitus recommends: </w:t>
                            </w:r>
                          </w:p>
                          <w:p w:rsidR="006215EF" w:rsidRPr="00F84184" w:rsidRDefault="006215EF" w:rsidP="0081060E">
                            <w:pPr>
                              <w:pStyle w:val="Nortable"/>
                              <w:numPr>
                                <w:ilvl w:val="0"/>
                                <w:numId w:val="10"/>
                              </w:numPr>
                              <w:shd w:val="clear" w:color="auto" w:fill="D9D9D9" w:themeFill="background1" w:themeFillShade="D9"/>
                              <w:tabs>
                                <w:tab w:val="num" w:pos="552"/>
                              </w:tabs>
                              <w:ind w:left="240" w:hanging="240"/>
                              <w:rPr>
                                <w:rFonts w:ascii="Arial" w:hAnsi="Arial" w:cs="Arial"/>
                                <w:sz w:val="20"/>
                              </w:rPr>
                            </w:pPr>
                            <w:r w:rsidRPr="00F84184">
                              <w:rPr>
                                <w:rFonts w:ascii="Arial" w:hAnsi="Arial" w:cs="Arial"/>
                                <w:sz w:val="20"/>
                              </w:rPr>
                              <w:t xml:space="preserve">Immediate adoption of the new criterion for diagnosis of diabetes as proposed by the American Diabetes Association (ADA) and the World Health Organization (WHO) — fasting venous plasma glucose level </w:t>
                            </w:r>
                            <w:bookmarkStart w:id="351" w:name="OLE_LINK1"/>
                            <w:r w:rsidRPr="00F84184">
                              <w:rPr>
                                <w:rFonts w:ascii="Arial" w:hAnsi="Arial" w:cs="Arial"/>
                                <w:sz w:val="20"/>
                                <w:lang w:val="en-AU"/>
                              </w:rPr>
                              <w:t>≥</w:t>
                            </w:r>
                            <w:bookmarkEnd w:id="351"/>
                            <w:r w:rsidRPr="00F84184">
                              <w:rPr>
                                <w:rFonts w:ascii="Arial" w:hAnsi="Arial" w:cs="Arial"/>
                                <w:sz w:val="20"/>
                              </w:rPr>
                              <w:t xml:space="preserve"> 7.0 mmol/L; </w:t>
                            </w:r>
                          </w:p>
                          <w:p w:rsidR="006215EF" w:rsidRPr="00F84184" w:rsidRDefault="006215EF" w:rsidP="0081060E">
                            <w:pPr>
                              <w:pStyle w:val="Nortable"/>
                              <w:numPr>
                                <w:ilvl w:val="0"/>
                                <w:numId w:val="10"/>
                              </w:numPr>
                              <w:shd w:val="clear" w:color="auto" w:fill="D9D9D9" w:themeFill="background1" w:themeFillShade="D9"/>
                              <w:tabs>
                                <w:tab w:val="num" w:pos="552"/>
                              </w:tabs>
                              <w:ind w:left="240" w:hanging="240"/>
                              <w:rPr>
                                <w:rFonts w:ascii="Arial" w:hAnsi="Arial" w:cs="Arial"/>
                                <w:sz w:val="20"/>
                              </w:rPr>
                            </w:pPr>
                            <w:r w:rsidRPr="00F84184">
                              <w:rPr>
                                <w:rFonts w:ascii="Arial" w:hAnsi="Arial" w:cs="Arial"/>
                                <w:sz w:val="20"/>
                              </w:rPr>
                              <w:t xml:space="preserve">Immediate adoption of the new classification for diabetes mellitus proposed by the ADA and WHO, which comprises four aetiological types — type 1, type 2, other specific types, and gestational diabetes — with impaired glucose tolerance and impaired fasting glycaemia as stages in the natural history of disordered carbohydrate metabolism. </w:t>
                            </w:r>
                          </w:p>
                          <w:p w:rsidR="006215EF" w:rsidRPr="00F84184" w:rsidRDefault="006215EF" w:rsidP="0081060E">
                            <w:pPr>
                              <w:pStyle w:val="Nortable"/>
                              <w:numPr>
                                <w:ilvl w:val="0"/>
                                <w:numId w:val="10"/>
                              </w:numPr>
                              <w:shd w:val="clear" w:color="auto" w:fill="D9D9D9" w:themeFill="background1" w:themeFillShade="D9"/>
                              <w:tabs>
                                <w:tab w:val="num" w:pos="552"/>
                              </w:tabs>
                              <w:ind w:left="240" w:hanging="240"/>
                              <w:rPr>
                                <w:rFonts w:ascii="Arial" w:hAnsi="Arial" w:cs="Arial"/>
                                <w:sz w:val="20"/>
                              </w:rPr>
                            </w:pPr>
                            <w:r w:rsidRPr="00F84184">
                              <w:rPr>
                                <w:rFonts w:ascii="Arial" w:hAnsi="Arial" w:cs="Arial"/>
                                <w:sz w:val="20"/>
                              </w:rPr>
                              <w:t xml:space="preserve">Awareness that some cases of diabetes will be missed unless an oral glucose tolerance test (OGTT) is performed. If there is any suspicion or other risk factor suggesting glucose intolerance, the OGTT should continue to be used pending the final WHO recommendation. </w:t>
                            </w:r>
                          </w:p>
                          <w:p w:rsidR="006215EF" w:rsidRDefault="006215EF" w:rsidP="00D8141B">
                            <w:pPr>
                              <w:pStyle w:val="Nortable"/>
                              <w:rPr>
                                <w:rFonts w:ascii="Arial" w:hAnsi="Arial" w:cs="Arial"/>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4203E" id="Text Box 5" o:spid="_x0000_s1033" type="#_x0000_t202" style="position:absolute;margin-left:155.1pt;margin-top:281.4pt;width:206.3pt;height:392.05pt;z-index:251661312;visibility:visible;mso-wrap-style:square;mso-width-percent:0;mso-height-percent:0;mso-wrap-distance-left:12pt;mso-wrap-distance-top:12pt;mso-wrap-distance-right:12pt;mso-wrap-distance-bottom:12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" o:allowincell="f">
                <v:textbox inset="6pt,6pt,6pt,6pt">
                  <w:txbxContent>
                    <w:p w:rsidR="006215EF" w:rsidRPr="005F4263" w:rsidRDefault="006215EF" w:rsidP="005F4263">
                      <w:pPr>
                        <w:pStyle w:val="Heading3"/>
                        <w:shd w:val="clear" w:color="auto" w:fill="D9D9D9" w:themeFill="background1" w:themeFillShade="D9"/>
                        <w:spacing w:before="40" w:after="120"/>
                        <w:jc w:val="center"/>
                        <w:rPr>
                          <w:rFonts w:cs="Arial"/>
                          <w:bCs/>
                          <w:sz w:val="22"/>
                          <w:szCs w:val="22"/>
                        </w:rPr>
                      </w:pPr>
                      <w:r w:rsidRPr="005F4263">
                        <w:rPr>
                          <w:rFonts w:cs="Arial"/>
                          <w:bCs/>
                          <w:sz w:val="22"/>
                          <w:szCs w:val="22"/>
                        </w:rPr>
                        <w:t>Key messages</w:t>
                      </w:r>
                    </w:p>
                    <w:p w:rsidR="006215EF" w:rsidRPr="00F84184" w:rsidRDefault="006215EF" w:rsidP="00D8141B">
                      <w:pPr>
                        <w:pStyle w:val="Nortable"/>
                        <w:shd w:val="clear" w:color="auto" w:fill="D9D9D9" w:themeFill="background1" w:themeFillShade="D9"/>
                        <w:rPr>
                          <w:rFonts w:ascii="Arial" w:hAnsi="Arial" w:cs="Arial"/>
                          <w:sz w:val="20"/>
                        </w:rPr>
                      </w:pPr>
                      <w:r w:rsidRPr="00F84184">
                        <w:rPr>
                          <w:rFonts w:ascii="Arial" w:hAnsi="Arial" w:cs="Arial"/>
                          <w:sz w:val="20"/>
                        </w:rPr>
                        <w:t xml:space="preserve">Diagnosis of diabetes is not in doubt when there are classical symptoms of thirst and polyuria and a random venous plasma glucose level ≥ 11.1 mmol/L. </w:t>
                      </w:r>
                    </w:p>
                    <w:p w:rsidR="006215EF" w:rsidRPr="00F84184" w:rsidRDefault="006215EF" w:rsidP="00D8141B">
                      <w:pPr>
                        <w:pStyle w:val="Nortable"/>
                        <w:shd w:val="clear" w:color="auto" w:fill="D9D9D9" w:themeFill="background1" w:themeFillShade="D9"/>
                        <w:rPr>
                          <w:rFonts w:ascii="Arial" w:hAnsi="Arial" w:cs="Arial"/>
                          <w:sz w:val="20"/>
                        </w:rPr>
                      </w:pPr>
                      <w:r w:rsidRPr="00F84184">
                        <w:rPr>
                          <w:rFonts w:ascii="Arial" w:hAnsi="Arial" w:cs="Arial"/>
                          <w:sz w:val="20"/>
                        </w:rPr>
                        <w:t xml:space="preserve">The Australasian Working Party on Diagnostic Criteria for Diabetes Mellitus recommends: </w:t>
                      </w:r>
                    </w:p>
                    <w:p w:rsidR="006215EF" w:rsidRPr="00F84184" w:rsidRDefault="006215EF" w:rsidP="0081060E">
                      <w:pPr>
                        <w:pStyle w:val="Nortable"/>
                        <w:numPr>
                          <w:ilvl w:val="0"/>
                          <w:numId w:val="10"/>
                        </w:numPr>
                        <w:shd w:val="clear" w:color="auto" w:fill="D9D9D9" w:themeFill="background1" w:themeFillShade="D9"/>
                        <w:tabs>
                          <w:tab w:val="num" w:pos="552"/>
                        </w:tabs>
                        <w:ind w:left="240" w:hanging="240"/>
                        <w:rPr>
                          <w:rFonts w:ascii="Arial" w:hAnsi="Arial" w:cs="Arial"/>
                          <w:sz w:val="20"/>
                        </w:rPr>
                      </w:pPr>
                      <w:r w:rsidRPr="00F84184">
                        <w:rPr>
                          <w:rFonts w:ascii="Arial" w:hAnsi="Arial" w:cs="Arial"/>
                          <w:sz w:val="20"/>
                        </w:rPr>
                        <w:t xml:space="preserve">Immediate adoption of the new criterion for diagnosis of diabetes as proposed by the American Diabetes Association (ADA) and the World Health Organization (WHO) — fasting venous plasma glucose level </w:t>
                      </w:r>
                      <w:bookmarkStart w:id="352" w:name="OLE_LINK1"/>
                      <w:r w:rsidRPr="00F84184">
                        <w:rPr>
                          <w:rFonts w:ascii="Arial" w:hAnsi="Arial" w:cs="Arial"/>
                          <w:sz w:val="20"/>
                          <w:lang w:val="en-AU"/>
                        </w:rPr>
                        <w:t>≥</w:t>
                      </w:r>
                      <w:bookmarkEnd w:id="352"/>
                      <w:r w:rsidRPr="00F84184">
                        <w:rPr>
                          <w:rFonts w:ascii="Arial" w:hAnsi="Arial" w:cs="Arial"/>
                          <w:sz w:val="20"/>
                        </w:rPr>
                        <w:t xml:space="preserve"> 7.0 mmol/L; </w:t>
                      </w:r>
                    </w:p>
                    <w:p w:rsidR="006215EF" w:rsidRPr="00F84184" w:rsidRDefault="006215EF" w:rsidP="0081060E">
                      <w:pPr>
                        <w:pStyle w:val="Nortable"/>
                        <w:numPr>
                          <w:ilvl w:val="0"/>
                          <w:numId w:val="10"/>
                        </w:numPr>
                        <w:shd w:val="clear" w:color="auto" w:fill="D9D9D9" w:themeFill="background1" w:themeFillShade="D9"/>
                        <w:tabs>
                          <w:tab w:val="num" w:pos="552"/>
                        </w:tabs>
                        <w:ind w:left="240" w:hanging="240"/>
                        <w:rPr>
                          <w:rFonts w:ascii="Arial" w:hAnsi="Arial" w:cs="Arial"/>
                          <w:sz w:val="20"/>
                        </w:rPr>
                      </w:pPr>
                      <w:r w:rsidRPr="00F84184">
                        <w:rPr>
                          <w:rFonts w:ascii="Arial" w:hAnsi="Arial" w:cs="Arial"/>
                          <w:sz w:val="20"/>
                        </w:rPr>
                        <w:t xml:space="preserve">Immediate adoption of the new classification for diabetes mellitus proposed by the ADA and WHO, which comprises four aetiological types — type 1, type 2, other specific types, and gestational diabetes — with impaired glucose tolerance and impaired fasting glycaemia as stages in the natural history of disordered carbohydrate metabolism. </w:t>
                      </w:r>
                    </w:p>
                    <w:p w:rsidR="006215EF" w:rsidRPr="00F84184" w:rsidRDefault="006215EF" w:rsidP="0081060E">
                      <w:pPr>
                        <w:pStyle w:val="Nortable"/>
                        <w:numPr>
                          <w:ilvl w:val="0"/>
                          <w:numId w:val="10"/>
                        </w:numPr>
                        <w:shd w:val="clear" w:color="auto" w:fill="D9D9D9" w:themeFill="background1" w:themeFillShade="D9"/>
                        <w:tabs>
                          <w:tab w:val="num" w:pos="552"/>
                        </w:tabs>
                        <w:ind w:left="240" w:hanging="240"/>
                        <w:rPr>
                          <w:rFonts w:ascii="Arial" w:hAnsi="Arial" w:cs="Arial"/>
                          <w:sz w:val="20"/>
                        </w:rPr>
                      </w:pPr>
                      <w:r w:rsidRPr="00F84184">
                        <w:rPr>
                          <w:rFonts w:ascii="Arial" w:hAnsi="Arial" w:cs="Arial"/>
                          <w:sz w:val="20"/>
                        </w:rPr>
                        <w:t xml:space="preserve">Awareness that some cases of diabetes will be missed unless an oral glucose tolerance test (OGTT) is performed. If there is any suspicion or other risk factor suggesting glucose intolerance, the OGTT should continue to be used pending the final WHO recommendation. </w:t>
                      </w:r>
                    </w:p>
                    <w:p w:rsidR="006215EF" w:rsidRDefault="006215EF" w:rsidP="00D8141B">
                      <w:pPr>
                        <w:pStyle w:val="Nortable"/>
                        <w:rPr>
                          <w:rFonts w:ascii="Arial" w:hAnsi="Arial" w:cs="Arial"/>
                          <w:sz w:val="20"/>
                        </w:rPr>
                      </w:pPr>
                    </w:p>
                  </w:txbxContent>
                </v:textbox>
                <w10:wrap type="square" anchorx="margin" anchory="margin"/>
                <w10:anchorlock/>
              </v:shape>
            </w:pict>
          </mc:Fallback>
        </mc:AlternateContent>
      </w:r>
      <w:r w:rsidR="00D8141B" w:rsidRPr="005F4263">
        <w:rPr>
          <w:rFonts w:eastAsia="Times New Roman" w:cs="Arial"/>
          <w:b/>
          <w:sz w:val="24"/>
          <w:szCs w:val="24"/>
          <w:lang w:val="en-US"/>
        </w:rPr>
        <w:t>I</w:t>
      </w:r>
      <w:r w:rsidR="00D8141B" w:rsidRPr="005F4263">
        <w:rPr>
          <w:rFonts w:eastAsia="Times New Roman" w:cs="Arial"/>
          <w:b/>
          <w:bCs/>
          <w:sz w:val="24"/>
          <w:szCs w:val="24"/>
          <w:lang w:val="en-US"/>
        </w:rPr>
        <w:t>ntroduction</w:t>
      </w:r>
      <w:bookmarkEnd w:id="349"/>
      <w:bookmarkEnd w:id="350"/>
    </w:p>
    <w:p w:rsidR="00D8141B" w:rsidRPr="005F4263" w:rsidRDefault="00D8141B" w:rsidP="005F4263">
      <w:pPr>
        <w:spacing w:line="240" w:lineRule="auto"/>
        <w:rPr>
          <w:rFonts w:eastAsia="Times New Roman" w:cs="Arial"/>
          <w:szCs w:val="20"/>
          <w:lang w:val="en-US"/>
        </w:rPr>
      </w:pPr>
      <w:r w:rsidRPr="00D8141B">
        <w:rPr>
          <w:rFonts w:eastAsia="Times New Roman" w:cs="Arial"/>
          <w:szCs w:val="20"/>
          <w:lang w:val="en-US"/>
        </w:rPr>
        <w:t xml:space="preserve">Recently, there has been major growth in knowledge about the aetiology and pathogenesis of different types of diabetes and about the predictive value of different blood glucose levels for development of complications. In response, both the American Diabetes Association (ADA) and the World Health Organization (WHO) have re-examined, redefined and updated the classification of and criteria for diabetes, which have been unchanged since 1985. While the two working parties had cross-representation, they met separately, and differences have emerged between their recommendations. </w:t>
      </w:r>
    </w:p>
    <w:p w:rsidR="00D8141B" w:rsidRPr="00D8141B" w:rsidRDefault="00D8141B" w:rsidP="005F4263">
      <w:pPr>
        <w:spacing w:line="240" w:lineRule="auto"/>
        <w:rPr>
          <w:rFonts w:eastAsia="Times New Roman" w:cs="Arial"/>
          <w:sz w:val="24"/>
          <w:szCs w:val="20"/>
          <w:lang w:val="en-US"/>
        </w:rPr>
      </w:pPr>
      <w:r w:rsidRPr="00D8141B">
        <w:rPr>
          <w:rFonts w:eastAsia="Times New Roman" w:cs="Arial"/>
          <w:szCs w:val="20"/>
          <w:lang w:val="en-US"/>
        </w:rPr>
        <w:t>The ADA published its final recommendations in 1997,</w:t>
      </w:r>
      <w:hyperlink r:id="rId24" w:anchor="refbody1" w:history="1">
        <w:r w:rsidRPr="00D8141B">
          <w:rPr>
            <w:rFonts w:eastAsia="Times New Roman" w:cs="Arial"/>
            <w:color w:val="0000FF"/>
            <w:szCs w:val="20"/>
            <w:u w:val="single"/>
            <w:vertAlign w:val="superscript"/>
            <w:lang w:val="en-US"/>
          </w:rPr>
          <w:t>1</w:t>
        </w:r>
      </w:hyperlink>
      <w:r w:rsidRPr="00D8141B">
        <w:rPr>
          <w:rFonts w:eastAsia="Times New Roman" w:cs="Arial"/>
          <w:szCs w:val="20"/>
          <w:lang w:val="en-US"/>
        </w:rPr>
        <w:t xml:space="preserve"> while the WHO group published its provisional conclusions for consultation and comment in June 1998.</w:t>
      </w:r>
      <w:hyperlink r:id="rId25" w:anchor="refbody2" w:history="1">
        <w:r w:rsidRPr="00D8141B">
          <w:rPr>
            <w:rFonts w:eastAsia="Times New Roman" w:cs="Arial"/>
            <w:color w:val="0000FF"/>
            <w:szCs w:val="20"/>
            <w:u w:val="single"/>
            <w:vertAlign w:val="superscript"/>
            <w:lang w:val="en-US"/>
          </w:rPr>
          <w:t>2</w:t>
        </w:r>
      </w:hyperlink>
      <w:r w:rsidR="005F4263">
        <w:rPr>
          <w:rFonts w:eastAsia="Times New Roman" w:cs="Arial"/>
          <w:sz w:val="24"/>
          <w:szCs w:val="20"/>
          <w:lang w:val="en-US"/>
        </w:rPr>
        <w:t xml:space="preserve"> </w:t>
      </w:r>
    </w:p>
    <w:p w:rsidR="00D8141B" w:rsidRPr="00D8141B" w:rsidRDefault="00D8141B" w:rsidP="005F4263">
      <w:pPr>
        <w:spacing w:line="240" w:lineRule="auto"/>
        <w:rPr>
          <w:rFonts w:eastAsia="Times New Roman" w:cs="Arial"/>
          <w:szCs w:val="20"/>
          <w:lang w:val="en-US"/>
        </w:rPr>
      </w:pPr>
      <w:r w:rsidRPr="00D8141B">
        <w:rPr>
          <w:rFonts w:eastAsia="Times New Roman" w:cs="Arial"/>
          <w:szCs w:val="20"/>
          <w:lang w:val="en-US"/>
        </w:rPr>
        <w:t>The WHO process called for comments on the proposal by the end of September 1998, with the intention of finalising definitive classification and criteria by the end of December 1998 and of publishing these soon thereafter. However, WHO publications need to go through an internal approval process and it may be up to 12 months before t</w:t>
      </w:r>
      <w:r w:rsidR="005F4263">
        <w:rPr>
          <w:rFonts w:eastAsia="Times New Roman" w:cs="Arial"/>
          <w:szCs w:val="20"/>
          <w:lang w:val="en-US"/>
        </w:rPr>
        <w:t xml:space="preserve">he final WHO document appears. </w:t>
      </w:r>
    </w:p>
    <w:p w:rsidR="00D8141B" w:rsidRPr="00D8141B" w:rsidRDefault="00D8141B" w:rsidP="005F4263">
      <w:pPr>
        <w:spacing w:line="240" w:lineRule="auto"/>
        <w:rPr>
          <w:rFonts w:eastAsia="Times New Roman" w:cs="Arial"/>
          <w:szCs w:val="20"/>
          <w:lang w:val="en-US"/>
        </w:rPr>
      </w:pPr>
      <w:r w:rsidRPr="00D8141B">
        <w:rPr>
          <w:rFonts w:eastAsia="Times New Roman" w:cs="Arial"/>
          <w:szCs w:val="20"/>
          <w:lang w:val="en-US"/>
        </w:rPr>
        <w:t xml:space="preserve">A combined working party of the Australian Diabetes Society, New Zealand Society for the Study of Diabetes, Royal College of Pathologists of Australasia and Australasian Association of Clinical Biochemists was formed to formulate an Australasian position on the two sets of recommendations and, in particular, on the differences between them. This is an interim statement pending the final WHO report, which will include recommendations on </w:t>
      </w:r>
      <w:r w:rsidRPr="00D8141B">
        <w:rPr>
          <w:rFonts w:eastAsia="Times New Roman" w:cs="Arial"/>
          <w:szCs w:val="20"/>
          <w:lang w:val="en-US"/>
        </w:rPr>
        <w:lastRenderedPageBreak/>
        <w:t xml:space="preserve">diabetes classification as well as criteria for diagnosis. We see it as very important to inform Australasian health professionals treating patients with diabetes about these changes. </w:t>
      </w:r>
    </w:p>
    <w:p w:rsidR="00D8141B" w:rsidRPr="005F4263" w:rsidRDefault="00D8141B" w:rsidP="005F4263">
      <w:pPr>
        <w:pStyle w:val="BodyText13"/>
        <w:numPr>
          <w:ilvl w:val="0"/>
          <w:numId w:val="0"/>
        </w:numPr>
        <w:spacing w:before="240" w:after="120"/>
        <w:ind w:left="709" w:hanging="709"/>
        <w:rPr>
          <w:b/>
          <w:sz w:val="24"/>
          <w:szCs w:val="24"/>
        </w:rPr>
      </w:pPr>
      <w:bookmarkStart w:id="352" w:name="_Toc144874773"/>
      <w:bookmarkStart w:id="353" w:name="_Toc144875362"/>
      <w:r w:rsidRPr="005F4263">
        <w:rPr>
          <w:b/>
          <w:sz w:val="24"/>
          <w:szCs w:val="24"/>
        </w:rPr>
        <w:t>What are the new diagnostic criteria?</w:t>
      </w:r>
      <w:bookmarkEnd w:id="352"/>
      <w:bookmarkEnd w:id="353"/>
    </w:p>
    <w:p w:rsidR="00D8141B" w:rsidRPr="00D8141B" w:rsidRDefault="00D8141B" w:rsidP="003E5811">
      <w:pPr>
        <w:spacing w:line="240" w:lineRule="auto"/>
        <w:rPr>
          <w:rFonts w:eastAsia="Times New Roman" w:cs="Arial"/>
          <w:szCs w:val="20"/>
          <w:lang w:val="en-US"/>
        </w:rPr>
      </w:pPr>
      <w:r w:rsidRPr="00D8141B">
        <w:rPr>
          <w:rFonts w:eastAsia="Times New Roman" w:cs="Arial"/>
          <w:szCs w:val="20"/>
          <w:lang w:val="en-US"/>
        </w:rPr>
        <w:t xml:space="preserve">The new WHO criteria for diagnosis of diabetes mellitus and hyperglycaemia are shown in </w:t>
      </w:r>
      <w:hyperlink r:id="rId26" w:anchor="box1" w:history="1">
        <w:r w:rsidRPr="00D8141B">
          <w:rPr>
            <w:rFonts w:eastAsia="Times New Roman" w:cs="Arial"/>
            <w:color w:val="0000FF"/>
            <w:szCs w:val="20"/>
            <w:u w:val="single"/>
            <w:lang w:val="en-US"/>
          </w:rPr>
          <w:t>Box 1</w:t>
        </w:r>
      </w:hyperlink>
      <w:r w:rsidRPr="00D8141B">
        <w:rPr>
          <w:rFonts w:eastAsia="Times New Roman" w:cs="Arial"/>
          <w:szCs w:val="20"/>
          <w:lang w:val="en-US"/>
        </w:rPr>
        <w:t>. The major change from the previous WHO recommendation</w:t>
      </w:r>
      <w:hyperlink r:id="rId27" w:anchor="refbody3" w:history="1">
        <w:r w:rsidRPr="00D8141B">
          <w:rPr>
            <w:rFonts w:eastAsia="Times New Roman" w:cs="Arial"/>
            <w:color w:val="0000FF"/>
            <w:szCs w:val="20"/>
            <w:u w:val="single"/>
            <w:vertAlign w:val="superscript"/>
            <w:lang w:val="en-US"/>
          </w:rPr>
          <w:t>3</w:t>
        </w:r>
      </w:hyperlink>
      <w:r w:rsidRPr="00D8141B">
        <w:rPr>
          <w:rFonts w:eastAsia="Times New Roman" w:cs="Arial"/>
          <w:szCs w:val="20"/>
          <w:lang w:val="en-US"/>
        </w:rPr>
        <w:t xml:space="preserve"> is the lowering of the diagnostic level of fasting plasma glucose to </w:t>
      </w:r>
      <w:r w:rsidRPr="00D8141B">
        <w:rPr>
          <w:rFonts w:eastAsia="Times New Roman" w:cs="Arial"/>
          <w:sz w:val="20"/>
          <w:szCs w:val="20"/>
        </w:rPr>
        <w:t>≥</w:t>
      </w:r>
      <w:r w:rsidRPr="00D8141B">
        <w:rPr>
          <w:rFonts w:eastAsia="Times New Roman" w:cs="Arial"/>
          <w:szCs w:val="20"/>
          <w:lang w:val="en-US"/>
        </w:rPr>
        <w:t xml:space="preserve">7.0 mmol/L, from the former level of </w:t>
      </w:r>
      <w:r w:rsidRPr="00D8141B">
        <w:rPr>
          <w:rFonts w:eastAsia="Times New Roman" w:cs="Arial"/>
          <w:sz w:val="20"/>
          <w:szCs w:val="20"/>
        </w:rPr>
        <w:t>≥</w:t>
      </w:r>
      <w:r w:rsidRPr="00D8141B">
        <w:rPr>
          <w:rFonts w:eastAsia="Times New Roman" w:cs="Arial"/>
          <w:szCs w:val="20"/>
          <w:lang w:val="en-US"/>
        </w:rPr>
        <w:t xml:space="preserve">7.8 mmol/L. For whole blood, the proposed new level is </w:t>
      </w:r>
      <w:r w:rsidRPr="00D8141B">
        <w:rPr>
          <w:rFonts w:eastAsia="Times New Roman" w:cs="Arial"/>
          <w:sz w:val="20"/>
          <w:szCs w:val="20"/>
        </w:rPr>
        <w:t>≥</w:t>
      </w:r>
      <w:r w:rsidRPr="00D8141B">
        <w:rPr>
          <w:rFonts w:eastAsia="Times New Roman" w:cs="Arial"/>
          <w:szCs w:val="20"/>
          <w:lang w:val="en-US"/>
        </w:rPr>
        <w:t xml:space="preserve">6.1 mmol/L, from the former </w:t>
      </w:r>
      <w:r w:rsidRPr="00D8141B">
        <w:rPr>
          <w:rFonts w:eastAsia="Times New Roman" w:cs="Arial"/>
          <w:sz w:val="20"/>
          <w:szCs w:val="20"/>
        </w:rPr>
        <w:t>≥</w:t>
      </w:r>
      <w:r w:rsidR="003E5811">
        <w:rPr>
          <w:rFonts w:eastAsia="Times New Roman" w:cs="Arial"/>
          <w:szCs w:val="20"/>
          <w:lang w:val="en-US"/>
        </w:rPr>
        <w:t>6.7 mmol/L.</w:t>
      </w:r>
    </w:p>
    <w:p w:rsidR="00D8141B" w:rsidRPr="003E5811" w:rsidRDefault="00D8141B" w:rsidP="003E5811">
      <w:pPr>
        <w:spacing w:line="240" w:lineRule="auto"/>
        <w:rPr>
          <w:rFonts w:eastAsia="Times New Roman" w:cs="Arial"/>
          <w:szCs w:val="20"/>
          <w:lang w:val="en-US"/>
        </w:rPr>
      </w:pPr>
      <w:r w:rsidRPr="00D8141B">
        <w:rPr>
          <w:rFonts w:eastAsia="Times New Roman" w:cs="Arial"/>
          <w:szCs w:val="20"/>
          <w:lang w:val="en-US"/>
        </w:rPr>
        <w:t>This change is based primarily on cross-sectional studies demonstrating the presence of microvascular</w:t>
      </w:r>
      <w:hyperlink r:id="rId28" w:anchor="refbody4" w:history="1">
        <w:r w:rsidRPr="00D8141B">
          <w:rPr>
            <w:rFonts w:eastAsia="Times New Roman" w:cs="Arial"/>
            <w:color w:val="0000FF"/>
            <w:szCs w:val="20"/>
            <w:u w:val="single"/>
            <w:vertAlign w:val="superscript"/>
            <w:lang w:val="en-US"/>
          </w:rPr>
          <w:t>4</w:t>
        </w:r>
      </w:hyperlink>
      <w:r w:rsidRPr="00D8141B">
        <w:rPr>
          <w:rFonts w:eastAsia="Times New Roman" w:cs="Arial"/>
          <w:szCs w:val="20"/>
          <w:lang w:val="en-US"/>
        </w:rPr>
        <w:t xml:space="preserve"> and macrovascular complications</w:t>
      </w:r>
      <w:hyperlink r:id="rId29" w:anchor="refbody5" w:history="1">
        <w:r w:rsidRPr="00D8141B">
          <w:rPr>
            <w:rFonts w:eastAsia="Times New Roman" w:cs="Arial"/>
            <w:color w:val="0000FF"/>
            <w:szCs w:val="20"/>
            <w:u w:val="single"/>
            <w:vertAlign w:val="superscript"/>
            <w:lang w:val="en-US"/>
          </w:rPr>
          <w:t>5</w:t>
        </w:r>
      </w:hyperlink>
      <w:r w:rsidRPr="00D8141B">
        <w:rPr>
          <w:rFonts w:eastAsia="Times New Roman" w:cs="Arial"/>
          <w:szCs w:val="20"/>
          <w:lang w:val="en-US"/>
        </w:rPr>
        <w:t xml:space="preserve"> at these lower glucose concentrations. In addition, the 1985 WHO diagnostic criterion for diabetes based on fasting plasma glucose level (</w:t>
      </w:r>
      <w:r w:rsidRPr="00D8141B">
        <w:rPr>
          <w:rFonts w:eastAsia="Times New Roman" w:cs="Arial"/>
          <w:sz w:val="20"/>
          <w:szCs w:val="20"/>
        </w:rPr>
        <w:t>≥</w:t>
      </w:r>
      <w:r w:rsidRPr="00D8141B">
        <w:rPr>
          <w:rFonts w:eastAsia="Times New Roman" w:cs="Arial"/>
          <w:szCs w:val="20"/>
          <w:lang w:val="en-US"/>
        </w:rPr>
        <w:t>7.8 mmol/L) represents a greater degree of hyperglycaemia than the criterion based on plasma glucose level two hours after a 75 g glucose load (</w:t>
      </w:r>
      <w:r w:rsidRPr="00D8141B">
        <w:rPr>
          <w:rFonts w:eastAsia="Times New Roman" w:cs="Arial"/>
          <w:sz w:val="20"/>
          <w:szCs w:val="20"/>
        </w:rPr>
        <w:t>≥</w:t>
      </w:r>
      <w:r w:rsidRPr="00D8141B">
        <w:rPr>
          <w:rFonts w:eastAsia="Times New Roman" w:cs="Arial"/>
          <w:szCs w:val="20"/>
          <w:lang w:val="en-US"/>
        </w:rPr>
        <w:t>11.1 mmol/L).</w:t>
      </w:r>
      <w:hyperlink r:id="rId30" w:anchor="refbody6" w:history="1">
        <w:r w:rsidRPr="00D8141B">
          <w:rPr>
            <w:rFonts w:eastAsia="Times New Roman" w:cs="Arial"/>
            <w:color w:val="0000FF"/>
            <w:szCs w:val="20"/>
            <w:u w:val="single"/>
            <w:vertAlign w:val="superscript"/>
            <w:lang w:val="en-US"/>
          </w:rPr>
          <w:t>6</w:t>
        </w:r>
      </w:hyperlink>
      <w:r w:rsidRPr="00D8141B">
        <w:rPr>
          <w:rFonts w:eastAsia="Times New Roman" w:cs="Arial"/>
          <w:szCs w:val="20"/>
          <w:lang w:val="en-US"/>
        </w:rPr>
        <w:t xml:space="preserve"> A fasting plasma glucose level of </w:t>
      </w:r>
      <w:r w:rsidRPr="00D8141B">
        <w:rPr>
          <w:rFonts w:eastAsia="Times New Roman" w:cs="Arial"/>
          <w:sz w:val="20"/>
          <w:szCs w:val="20"/>
        </w:rPr>
        <w:t>≥</w:t>
      </w:r>
      <w:r w:rsidRPr="00D8141B">
        <w:rPr>
          <w:rFonts w:eastAsia="Times New Roman" w:cs="Arial"/>
          <w:szCs w:val="20"/>
          <w:lang w:val="en-US"/>
        </w:rPr>
        <w:t>7 mmol/L accords more closely wi</w:t>
      </w:r>
      <w:r w:rsidR="003E5811">
        <w:rPr>
          <w:rFonts w:eastAsia="Times New Roman" w:cs="Arial"/>
          <w:szCs w:val="20"/>
          <w:lang w:val="en-US"/>
        </w:rPr>
        <w:t>th this 2 h post-glucose level.</w:t>
      </w:r>
    </w:p>
    <w:p w:rsidR="00D8141B" w:rsidRPr="00D8141B" w:rsidRDefault="00D8141B" w:rsidP="003E5811">
      <w:pPr>
        <w:spacing w:line="240" w:lineRule="auto"/>
        <w:rPr>
          <w:rFonts w:eastAsia="Times New Roman" w:cs="Arial"/>
          <w:i/>
          <w:szCs w:val="20"/>
          <w:lang w:val="en-US"/>
        </w:rPr>
      </w:pPr>
      <w:r w:rsidRPr="00D8141B">
        <w:rPr>
          <w:rFonts w:eastAsia="Times New Roman" w:cs="Arial"/>
          <w:szCs w:val="20"/>
          <w:lang w:val="en-US"/>
        </w:rPr>
        <w:t xml:space="preserve">Recommendation: </w:t>
      </w:r>
      <w:r w:rsidRPr="00D8141B">
        <w:rPr>
          <w:rFonts w:eastAsia="Times New Roman" w:cs="Arial"/>
          <w:i/>
          <w:szCs w:val="20"/>
          <w:lang w:val="en-US"/>
        </w:rPr>
        <w:t>The ADA and the WHO committee are unanimous in adopting the changed diagnostic level, and the Australasian Working Party on Diagnostic Criteria recommends that healthcare providers in Australia and New Zealan</w:t>
      </w:r>
      <w:r w:rsidR="003E5811">
        <w:rPr>
          <w:rFonts w:eastAsia="Times New Roman" w:cs="Arial"/>
          <w:i/>
          <w:szCs w:val="20"/>
          <w:lang w:val="en-US"/>
        </w:rPr>
        <w:t xml:space="preserve">d should adopt it immediately. </w:t>
      </w:r>
    </w:p>
    <w:p w:rsidR="00D8141B" w:rsidRPr="00D8141B" w:rsidRDefault="00D8141B" w:rsidP="003E5811">
      <w:pPr>
        <w:spacing w:line="240" w:lineRule="auto"/>
        <w:rPr>
          <w:rFonts w:eastAsia="Times New Roman" w:cs="Arial"/>
          <w:szCs w:val="20"/>
          <w:lang w:val="en-US"/>
        </w:rPr>
      </w:pPr>
      <w:r w:rsidRPr="00D8141B">
        <w:rPr>
          <w:rFonts w:eastAsia="Times New Roman" w:cs="Arial"/>
          <w:szCs w:val="20"/>
          <w:lang w:val="en-US"/>
        </w:rPr>
        <w:t xml:space="preserve">Clinicians should note that the diagnostic criteria differ between clinical and epidemiological settings. In clinical practice, when symptoms are typical of diabetes, a single fasting plasma glucose level of </w:t>
      </w:r>
      <w:r w:rsidRPr="00D8141B">
        <w:rPr>
          <w:rFonts w:eastAsia="Times New Roman" w:cs="Arial"/>
          <w:sz w:val="20"/>
          <w:szCs w:val="20"/>
        </w:rPr>
        <w:t>≥</w:t>
      </w:r>
      <w:r w:rsidRPr="00D8141B">
        <w:rPr>
          <w:rFonts w:eastAsia="Times New Roman" w:cs="Arial"/>
          <w:szCs w:val="20"/>
          <w:lang w:val="en-US"/>
        </w:rPr>
        <w:t xml:space="preserve">7.0 mmol/L or 2 h post-glucose or casual postprandial plasma glucose level of </w:t>
      </w:r>
      <w:r w:rsidRPr="00D8141B">
        <w:rPr>
          <w:rFonts w:eastAsia="Times New Roman" w:cs="Arial"/>
          <w:sz w:val="20"/>
          <w:szCs w:val="20"/>
        </w:rPr>
        <w:t>≥</w:t>
      </w:r>
      <w:r w:rsidRPr="00D8141B">
        <w:rPr>
          <w:rFonts w:eastAsia="Times New Roman" w:cs="Arial"/>
          <w:szCs w:val="20"/>
          <w:lang w:val="en-US"/>
        </w:rPr>
        <w:t>11.1 mmol/L suffices for diagnosis. If there are no symptoms, or symptoms are equivocal, at least one additional glucose</w:t>
      </w:r>
      <w:r w:rsidRPr="00D8141B">
        <w:rPr>
          <w:rFonts w:eastAsia="Times New Roman" w:cs="Arial"/>
          <w:sz w:val="24"/>
          <w:szCs w:val="20"/>
          <w:lang w:val="en-US"/>
        </w:rPr>
        <w:t xml:space="preserve"> </w:t>
      </w:r>
      <w:r w:rsidRPr="00D8141B">
        <w:rPr>
          <w:rFonts w:eastAsia="Times New Roman" w:cs="Arial"/>
          <w:szCs w:val="20"/>
          <w:lang w:val="en-US"/>
        </w:rPr>
        <w:t>measurement (preferably fasting) on a different day with a value in the diabetic range is necessary to confirm the diagnosis.</w:t>
      </w:r>
      <w:r w:rsidRPr="00D8141B">
        <w:rPr>
          <w:rFonts w:eastAsia="Times New Roman" w:cs="Arial"/>
          <w:sz w:val="24"/>
          <w:szCs w:val="20"/>
          <w:lang w:val="en-US"/>
        </w:rPr>
        <w:t xml:space="preserve"> </w:t>
      </w:r>
      <w:r w:rsidRPr="00D8141B">
        <w:rPr>
          <w:rFonts w:eastAsia="Times New Roman" w:cs="Arial"/>
          <w:szCs w:val="20"/>
          <w:lang w:val="en-US"/>
        </w:rPr>
        <w:t>Furthermore,</w:t>
      </w:r>
      <w:r w:rsidRPr="00D8141B">
        <w:rPr>
          <w:rFonts w:eastAsia="Times New Roman" w:cs="Arial"/>
          <w:sz w:val="24"/>
          <w:szCs w:val="20"/>
          <w:lang w:val="en-US"/>
        </w:rPr>
        <w:t xml:space="preserve"> </w:t>
      </w:r>
      <w:r w:rsidRPr="00D8141B">
        <w:rPr>
          <w:rFonts w:eastAsia="Times New Roman" w:cs="Arial"/>
          <w:szCs w:val="20"/>
          <w:lang w:val="en-US"/>
        </w:rPr>
        <w:t>severe hyperglycaemia detected under conditions of acute infective, traumatic, circulatory or other stress may be transitory and should not be regarded as diagnostic of diabetes. The situation should be reviewed when the pr</w:t>
      </w:r>
      <w:r w:rsidR="003E5811">
        <w:rPr>
          <w:rFonts w:eastAsia="Times New Roman" w:cs="Arial"/>
          <w:szCs w:val="20"/>
          <w:lang w:val="en-US"/>
        </w:rPr>
        <w:t>imary condition has stabilised.</w:t>
      </w:r>
    </w:p>
    <w:p w:rsidR="00D8141B" w:rsidRPr="00D8141B" w:rsidRDefault="00D8141B" w:rsidP="003E5811">
      <w:pPr>
        <w:spacing w:line="240" w:lineRule="auto"/>
        <w:rPr>
          <w:rFonts w:eastAsia="Times New Roman" w:cs="Arial"/>
          <w:szCs w:val="20"/>
          <w:lang w:val="en-US"/>
        </w:rPr>
      </w:pPr>
      <w:r w:rsidRPr="00D8141B">
        <w:rPr>
          <w:rFonts w:eastAsia="Times New Roman" w:cs="Arial"/>
          <w:szCs w:val="20"/>
          <w:lang w:val="en-US"/>
        </w:rPr>
        <w:t>In epidemiological settings, for study of high-prevalence populations or selective screening of high-risk individuals, a single measure — the glucose-level 2 h post-glucose load — will suffice to describe prevalence of im</w:t>
      </w:r>
      <w:r w:rsidR="003E5811">
        <w:rPr>
          <w:rFonts w:eastAsia="Times New Roman" w:cs="Arial"/>
          <w:szCs w:val="20"/>
          <w:lang w:val="en-US"/>
        </w:rPr>
        <w:t>paired glucose tolerance (IGT).</w:t>
      </w:r>
    </w:p>
    <w:p w:rsidR="00D8141B" w:rsidRPr="003E5811" w:rsidRDefault="00D8141B" w:rsidP="003E5811">
      <w:pPr>
        <w:keepNext/>
        <w:spacing w:before="240" w:after="120" w:line="240" w:lineRule="auto"/>
        <w:outlineLvl w:val="2"/>
        <w:rPr>
          <w:rFonts w:eastAsia="Times New Roman" w:cs="Times New Roman"/>
          <w:b/>
          <w:sz w:val="24"/>
          <w:szCs w:val="24"/>
          <w:lang w:val="en-US"/>
        </w:rPr>
      </w:pPr>
      <w:r w:rsidRPr="003E5811">
        <w:rPr>
          <w:rFonts w:eastAsia="Times New Roman" w:cs="Times New Roman"/>
          <w:b/>
          <w:sz w:val="24"/>
          <w:szCs w:val="24"/>
          <w:lang w:val="en-US"/>
        </w:rPr>
        <w:t>1: Values for diagnosis of diabetes mellitus and other categories of hyperglycaemia</w:t>
      </w:r>
      <w:hyperlink r:id="rId31" w:anchor="refbody2" w:history="1">
        <w:r w:rsidRPr="003E5811">
          <w:rPr>
            <w:rFonts w:eastAsia="Times New Roman" w:cs="Arial"/>
            <w:b/>
            <w:bCs/>
            <w:i/>
            <w:color w:val="000000"/>
            <w:sz w:val="24"/>
            <w:szCs w:val="24"/>
            <w:u w:val="single"/>
            <w:vertAlign w:val="superscript"/>
            <w:lang w:val="en-US"/>
          </w:rPr>
          <w:t>2</w:t>
        </w:r>
      </w:hyperlink>
    </w:p>
    <w:tbl>
      <w:tblPr>
        <w:tblStyle w:val="TableGrid"/>
        <w:tblW w:w="9781" w:type="dxa"/>
        <w:tblInd w:w="-5" w:type="dxa"/>
        <w:tblLayout w:type="fixed"/>
        <w:tblLook w:val="04A0" w:firstRow="1" w:lastRow="0" w:firstColumn="1" w:lastColumn="0" w:noHBand="0" w:noVBand="1"/>
      </w:tblPr>
      <w:tblGrid>
        <w:gridCol w:w="2552"/>
        <w:gridCol w:w="1814"/>
        <w:gridCol w:w="1871"/>
        <w:gridCol w:w="1757"/>
        <w:gridCol w:w="1787"/>
      </w:tblGrid>
      <w:tr w:rsidR="00D8141B" w:rsidRPr="00D8141B" w:rsidTr="00D07968">
        <w:tc>
          <w:tcPr>
            <w:tcW w:w="2552" w:type="dxa"/>
            <w:vMerge w:val="restart"/>
            <w:shd w:val="pct10" w:color="auto" w:fill="auto"/>
          </w:tcPr>
          <w:p w:rsidR="00D8141B" w:rsidRPr="00D8141B" w:rsidRDefault="00D8141B" w:rsidP="00D8141B">
            <w:pPr>
              <w:rPr>
                <w:rFonts w:cs="Arial"/>
                <w:sz w:val="18"/>
                <w:szCs w:val="18"/>
                <w:lang w:val="en-US"/>
              </w:rPr>
            </w:pPr>
          </w:p>
        </w:tc>
        <w:tc>
          <w:tcPr>
            <w:tcW w:w="7229" w:type="dxa"/>
            <w:gridSpan w:val="4"/>
            <w:shd w:val="pct10" w:color="auto" w:fill="auto"/>
          </w:tcPr>
          <w:p w:rsidR="00D8141B" w:rsidRPr="003E5811" w:rsidRDefault="00D8141B" w:rsidP="00D8141B">
            <w:pPr>
              <w:jc w:val="center"/>
              <w:rPr>
                <w:rFonts w:cs="Arial"/>
                <w:lang w:val="en-US"/>
              </w:rPr>
            </w:pPr>
            <w:r w:rsidRPr="003E5811">
              <w:rPr>
                <w:rFonts w:cs="Arial"/>
                <w:b/>
                <w:bCs/>
                <w:lang w:val="en-US"/>
              </w:rPr>
              <w:t>Glucose concentration (mmol/L [mg/dL])</w:t>
            </w:r>
          </w:p>
        </w:tc>
      </w:tr>
      <w:tr w:rsidR="00D8141B" w:rsidRPr="00D8141B" w:rsidTr="00C8120B">
        <w:tc>
          <w:tcPr>
            <w:tcW w:w="2552" w:type="dxa"/>
            <w:vMerge/>
            <w:shd w:val="pct10" w:color="auto" w:fill="auto"/>
          </w:tcPr>
          <w:p w:rsidR="00D8141B" w:rsidRPr="00D8141B" w:rsidRDefault="00D8141B" w:rsidP="00D8141B">
            <w:pPr>
              <w:rPr>
                <w:rFonts w:cs="Arial"/>
                <w:sz w:val="18"/>
                <w:szCs w:val="18"/>
                <w:lang w:val="en-US"/>
              </w:rPr>
            </w:pPr>
          </w:p>
        </w:tc>
        <w:tc>
          <w:tcPr>
            <w:tcW w:w="3685" w:type="dxa"/>
            <w:gridSpan w:val="2"/>
            <w:shd w:val="pct10" w:color="auto" w:fill="auto"/>
          </w:tcPr>
          <w:p w:rsidR="00D8141B" w:rsidRPr="003E5811" w:rsidRDefault="00D8141B" w:rsidP="00D8141B">
            <w:pPr>
              <w:jc w:val="center"/>
              <w:rPr>
                <w:rFonts w:cs="Arial"/>
                <w:lang w:val="en-US"/>
              </w:rPr>
            </w:pPr>
            <w:r w:rsidRPr="003E5811">
              <w:rPr>
                <w:rFonts w:cs="Arial"/>
                <w:b/>
                <w:bCs/>
                <w:lang w:val="en-US"/>
              </w:rPr>
              <w:t>Whole blood</w:t>
            </w:r>
          </w:p>
        </w:tc>
        <w:tc>
          <w:tcPr>
            <w:tcW w:w="3544" w:type="dxa"/>
            <w:gridSpan w:val="2"/>
            <w:shd w:val="pct10" w:color="auto" w:fill="auto"/>
          </w:tcPr>
          <w:p w:rsidR="00D8141B" w:rsidRPr="003E5811" w:rsidRDefault="00D8141B" w:rsidP="00D8141B">
            <w:pPr>
              <w:jc w:val="center"/>
              <w:rPr>
                <w:rFonts w:cs="Arial"/>
                <w:lang w:val="en-US"/>
              </w:rPr>
            </w:pPr>
            <w:r w:rsidRPr="003E5811">
              <w:rPr>
                <w:rFonts w:cs="Arial"/>
                <w:b/>
                <w:bCs/>
                <w:lang w:val="en-US"/>
              </w:rPr>
              <w:t>Plasma</w:t>
            </w:r>
          </w:p>
        </w:tc>
      </w:tr>
      <w:tr w:rsidR="00D07968" w:rsidRPr="00D8141B" w:rsidTr="00C8120B">
        <w:tc>
          <w:tcPr>
            <w:tcW w:w="2552" w:type="dxa"/>
            <w:vMerge/>
            <w:tcBorders>
              <w:bottom w:val="single" w:sz="4" w:space="0" w:color="auto"/>
            </w:tcBorders>
            <w:shd w:val="pct10" w:color="auto" w:fill="auto"/>
          </w:tcPr>
          <w:p w:rsidR="00D8141B" w:rsidRPr="00D8141B" w:rsidRDefault="00D8141B" w:rsidP="00D8141B">
            <w:pPr>
              <w:rPr>
                <w:rFonts w:cs="Arial"/>
                <w:sz w:val="18"/>
                <w:szCs w:val="18"/>
                <w:lang w:val="en-US"/>
              </w:rPr>
            </w:pPr>
          </w:p>
        </w:tc>
        <w:tc>
          <w:tcPr>
            <w:tcW w:w="1814" w:type="dxa"/>
            <w:tcBorders>
              <w:bottom w:val="single" w:sz="4" w:space="0" w:color="auto"/>
            </w:tcBorders>
            <w:shd w:val="pct10" w:color="auto" w:fill="auto"/>
          </w:tcPr>
          <w:p w:rsidR="00D8141B" w:rsidRPr="003E5811" w:rsidRDefault="00D8141B" w:rsidP="00D8141B">
            <w:pPr>
              <w:jc w:val="center"/>
              <w:rPr>
                <w:rFonts w:cs="Arial"/>
                <w:lang w:val="en-US"/>
              </w:rPr>
            </w:pPr>
            <w:r w:rsidRPr="003E5811">
              <w:rPr>
                <w:rFonts w:cs="Arial"/>
                <w:b/>
                <w:bCs/>
                <w:lang w:val="en-US"/>
              </w:rPr>
              <w:t>Venous</w:t>
            </w:r>
          </w:p>
        </w:tc>
        <w:tc>
          <w:tcPr>
            <w:tcW w:w="1871" w:type="dxa"/>
            <w:tcBorders>
              <w:bottom w:val="single" w:sz="4" w:space="0" w:color="auto"/>
            </w:tcBorders>
            <w:shd w:val="pct10" w:color="auto" w:fill="auto"/>
          </w:tcPr>
          <w:p w:rsidR="00D8141B" w:rsidRPr="003E5811" w:rsidRDefault="00D8141B" w:rsidP="00D8141B">
            <w:pPr>
              <w:jc w:val="center"/>
              <w:rPr>
                <w:rFonts w:cs="Arial"/>
                <w:lang w:val="en-US"/>
              </w:rPr>
            </w:pPr>
            <w:r w:rsidRPr="003E5811">
              <w:rPr>
                <w:rFonts w:cs="Arial"/>
                <w:b/>
                <w:bCs/>
                <w:lang w:val="en-US"/>
              </w:rPr>
              <w:t>Capillary</w:t>
            </w:r>
          </w:p>
        </w:tc>
        <w:tc>
          <w:tcPr>
            <w:tcW w:w="1757" w:type="dxa"/>
            <w:tcBorders>
              <w:bottom w:val="single" w:sz="4" w:space="0" w:color="auto"/>
            </w:tcBorders>
            <w:shd w:val="pct10" w:color="auto" w:fill="auto"/>
          </w:tcPr>
          <w:p w:rsidR="00D8141B" w:rsidRPr="003E5811" w:rsidRDefault="00D8141B" w:rsidP="00D8141B">
            <w:pPr>
              <w:jc w:val="center"/>
              <w:rPr>
                <w:rFonts w:cs="Arial"/>
                <w:lang w:val="en-US"/>
              </w:rPr>
            </w:pPr>
            <w:r w:rsidRPr="003E5811">
              <w:rPr>
                <w:rFonts w:cs="Arial"/>
                <w:b/>
                <w:bCs/>
                <w:lang w:val="en-US"/>
              </w:rPr>
              <w:t>Venous</w:t>
            </w:r>
          </w:p>
        </w:tc>
        <w:tc>
          <w:tcPr>
            <w:tcW w:w="1787" w:type="dxa"/>
            <w:tcBorders>
              <w:bottom w:val="single" w:sz="4" w:space="0" w:color="auto"/>
            </w:tcBorders>
            <w:shd w:val="pct10" w:color="auto" w:fill="auto"/>
          </w:tcPr>
          <w:p w:rsidR="00D8141B" w:rsidRPr="003E5811" w:rsidRDefault="00D8141B" w:rsidP="00D8141B">
            <w:pPr>
              <w:jc w:val="center"/>
              <w:rPr>
                <w:rFonts w:cs="Arial"/>
                <w:lang w:val="en-US"/>
              </w:rPr>
            </w:pPr>
            <w:r w:rsidRPr="003E5811">
              <w:rPr>
                <w:rFonts w:cs="Arial"/>
                <w:b/>
                <w:bCs/>
                <w:lang w:val="en-US"/>
              </w:rPr>
              <w:t>Capillary</w:t>
            </w:r>
          </w:p>
        </w:tc>
      </w:tr>
      <w:tr w:rsidR="00D07968" w:rsidRPr="00D8141B" w:rsidTr="00C8120B">
        <w:tc>
          <w:tcPr>
            <w:tcW w:w="2552" w:type="dxa"/>
            <w:tcBorders>
              <w:top w:val="single" w:sz="4" w:space="0" w:color="auto"/>
              <w:bottom w:val="single" w:sz="4" w:space="0" w:color="auto"/>
            </w:tcBorders>
          </w:tcPr>
          <w:p w:rsidR="00D8141B" w:rsidRPr="00D07968" w:rsidRDefault="005347F7" w:rsidP="00543DCA">
            <w:pPr>
              <w:spacing w:before="40" w:after="40"/>
              <w:rPr>
                <w:rFonts w:cs="Arial"/>
                <w:lang w:val="en-US"/>
              </w:rPr>
            </w:pPr>
            <w:r w:rsidRPr="00D07968">
              <w:rPr>
                <w:rFonts w:cs="Arial"/>
                <w:lang w:val="en-US"/>
              </w:rPr>
              <w:t>Diabetes mellitus f</w:t>
            </w:r>
            <w:r w:rsidR="00D8141B" w:rsidRPr="00D07968">
              <w:rPr>
                <w:rFonts w:cs="Arial"/>
                <w:lang w:val="en-US"/>
              </w:rPr>
              <w:t>asting</w:t>
            </w:r>
          </w:p>
        </w:tc>
        <w:tc>
          <w:tcPr>
            <w:tcW w:w="1814" w:type="dxa"/>
            <w:tcBorders>
              <w:top w:val="single" w:sz="4" w:space="0" w:color="auto"/>
              <w:bottom w:val="single" w:sz="4" w:space="0" w:color="auto"/>
            </w:tcBorders>
          </w:tcPr>
          <w:p w:rsidR="00D8141B" w:rsidRPr="00D07968" w:rsidRDefault="00D8141B" w:rsidP="00543DCA">
            <w:pPr>
              <w:spacing w:before="40" w:after="40"/>
              <w:jc w:val="center"/>
              <w:rPr>
                <w:rFonts w:cs="Arial"/>
                <w:lang w:val="en-US"/>
              </w:rPr>
            </w:pPr>
            <w:r w:rsidRPr="00D07968">
              <w:rPr>
                <w:rFonts w:cs="Arial"/>
              </w:rPr>
              <w:t>≥</w:t>
            </w:r>
            <w:r w:rsidR="00D07968" w:rsidRPr="00D07968">
              <w:rPr>
                <w:rFonts w:cs="Arial"/>
              </w:rPr>
              <w:t xml:space="preserve"> </w:t>
            </w:r>
            <w:r w:rsidRPr="00D07968">
              <w:rPr>
                <w:rFonts w:cs="Arial"/>
                <w:lang w:val="en-US"/>
              </w:rPr>
              <w:t>6.1 (</w:t>
            </w:r>
            <w:r w:rsidRPr="00D07968">
              <w:rPr>
                <w:rFonts w:cs="Arial"/>
              </w:rPr>
              <w:t>≥</w:t>
            </w:r>
            <w:r w:rsidR="00D07968" w:rsidRPr="00D07968">
              <w:rPr>
                <w:rFonts w:cs="Arial"/>
              </w:rPr>
              <w:t xml:space="preserve"> </w:t>
            </w:r>
            <w:r w:rsidRPr="00D07968">
              <w:rPr>
                <w:rFonts w:cs="Arial"/>
                <w:lang w:val="en-US"/>
              </w:rPr>
              <w:t>110)</w:t>
            </w:r>
          </w:p>
        </w:tc>
        <w:tc>
          <w:tcPr>
            <w:tcW w:w="1871" w:type="dxa"/>
            <w:tcBorders>
              <w:top w:val="single" w:sz="4" w:space="0" w:color="auto"/>
              <w:bottom w:val="single" w:sz="4" w:space="0" w:color="auto"/>
            </w:tcBorders>
          </w:tcPr>
          <w:p w:rsidR="00D8141B" w:rsidRPr="00D07968" w:rsidRDefault="00D8141B" w:rsidP="00543DCA">
            <w:pPr>
              <w:spacing w:before="40" w:after="40"/>
              <w:jc w:val="center"/>
              <w:rPr>
                <w:rFonts w:cs="Arial"/>
                <w:lang w:val="en-US"/>
              </w:rPr>
            </w:pPr>
            <w:r w:rsidRPr="00D07968">
              <w:rPr>
                <w:rFonts w:cs="Arial"/>
              </w:rPr>
              <w:t>≥</w:t>
            </w:r>
            <w:r w:rsidR="00D07968" w:rsidRPr="00D07968">
              <w:rPr>
                <w:rFonts w:cs="Arial"/>
              </w:rPr>
              <w:t xml:space="preserve"> </w:t>
            </w:r>
            <w:r w:rsidRPr="00D07968">
              <w:rPr>
                <w:rFonts w:cs="Arial"/>
                <w:lang w:val="en-US"/>
              </w:rPr>
              <w:t>6.1 (</w:t>
            </w:r>
            <w:r w:rsidR="00D07968" w:rsidRPr="00D07968">
              <w:rPr>
                <w:rFonts w:cs="Arial"/>
              </w:rPr>
              <w:t xml:space="preserve">≥ </w:t>
            </w:r>
            <w:r w:rsidRPr="00D07968">
              <w:rPr>
                <w:rFonts w:cs="Arial"/>
                <w:lang w:val="en-US"/>
              </w:rPr>
              <w:t>110)</w:t>
            </w:r>
          </w:p>
        </w:tc>
        <w:tc>
          <w:tcPr>
            <w:tcW w:w="1757" w:type="dxa"/>
            <w:tcBorders>
              <w:top w:val="single" w:sz="4" w:space="0" w:color="auto"/>
              <w:bottom w:val="single" w:sz="4" w:space="0" w:color="auto"/>
            </w:tcBorders>
          </w:tcPr>
          <w:p w:rsidR="00D8141B" w:rsidRPr="00D07968" w:rsidRDefault="00D07968" w:rsidP="00543DCA">
            <w:pPr>
              <w:keepLines/>
              <w:widowControl w:val="0"/>
              <w:suppressAutoHyphens/>
              <w:spacing w:before="40" w:after="40"/>
              <w:jc w:val="center"/>
              <w:rPr>
                <w:rFonts w:cs="Arial"/>
                <w:snapToGrid w:val="0"/>
                <w:color w:val="000000"/>
                <w:lang w:val="en-GB"/>
              </w:rPr>
            </w:pPr>
            <w:r w:rsidRPr="00D07968">
              <w:rPr>
                <w:rFonts w:cs="Arial"/>
                <w:snapToGrid w:val="0"/>
                <w:color w:val="000000"/>
              </w:rPr>
              <w:t xml:space="preserve">≥ </w:t>
            </w:r>
            <w:r w:rsidR="00D8141B" w:rsidRPr="00D07968">
              <w:rPr>
                <w:rFonts w:cs="Arial"/>
                <w:snapToGrid w:val="0"/>
                <w:color w:val="000000"/>
                <w:lang w:val="en-GB"/>
              </w:rPr>
              <w:t>7.0 (</w:t>
            </w:r>
            <w:r w:rsidRPr="00D07968">
              <w:rPr>
                <w:rFonts w:cs="Arial"/>
                <w:snapToGrid w:val="0"/>
                <w:color w:val="000000"/>
              </w:rPr>
              <w:t xml:space="preserve">≥ </w:t>
            </w:r>
            <w:r w:rsidR="00D8141B" w:rsidRPr="00D07968">
              <w:rPr>
                <w:rFonts w:cs="Arial"/>
                <w:snapToGrid w:val="0"/>
                <w:color w:val="000000"/>
                <w:lang w:val="en-GB"/>
              </w:rPr>
              <w:t>126)</w:t>
            </w:r>
          </w:p>
        </w:tc>
        <w:tc>
          <w:tcPr>
            <w:tcW w:w="1787" w:type="dxa"/>
            <w:tcBorders>
              <w:top w:val="single" w:sz="4" w:space="0" w:color="auto"/>
              <w:bottom w:val="single" w:sz="4" w:space="0" w:color="auto"/>
            </w:tcBorders>
          </w:tcPr>
          <w:p w:rsidR="00D8141B" w:rsidRPr="00D07968" w:rsidRDefault="00D07968" w:rsidP="00543DCA">
            <w:pPr>
              <w:spacing w:before="40" w:after="40"/>
              <w:jc w:val="center"/>
              <w:rPr>
                <w:rFonts w:cs="Arial"/>
                <w:lang w:val="en-US"/>
              </w:rPr>
            </w:pPr>
            <w:r w:rsidRPr="00D07968">
              <w:rPr>
                <w:rFonts w:cs="Arial"/>
              </w:rPr>
              <w:t xml:space="preserve">≥ </w:t>
            </w:r>
            <w:r w:rsidR="00D8141B" w:rsidRPr="00D07968">
              <w:rPr>
                <w:rFonts w:cs="Arial"/>
                <w:lang w:val="en-US"/>
              </w:rPr>
              <w:t>7.0 (</w:t>
            </w:r>
            <w:r w:rsidRPr="00D07968">
              <w:rPr>
                <w:rFonts w:cs="Arial"/>
              </w:rPr>
              <w:t xml:space="preserve">≥ </w:t>
            </w:r>
            <w:r w:rsidR="00D8141B" w:rsidRPr="00D07968">
              <w:rPr>
                <w:rFonts w:cs="Arial"/>
                <w:lang w:val="en-US"/>
              </w:rPr>
              <w:t>126)</w:t>
            </w:r>
          </w:p>
        </w:tc>
      </w:tr>
      <w:tr w:rsidR="00D07968" w:rsidRPr="00D8141B" w:rsidTr="00C8120B">
        <w:tc>
          <w:tcPr>
            <w:tcW w:w="2552" w:type="dxa"/>
            <w:tcBorders>
              <w:top w:val="single" w:sz="4" w:space="0" w:color="auto"/>
              <w:bottom w:val="single" w:sz="4" w:space="0" w:color="auto"/>
            </w:tcBorders>
          </w:tcPr>
          <w:p w:rsidR="00D8141B" w:rsidRPr="00D07968" w:rsidRDefault="00D8141B" w:rsidP="00543DCA">
            <w:pPr>
              <w:spacing w:before="40" w:after="40"/>
              <w:rPr>
                <w:rFonts w:cs="Arial"/>
                <w:lang w:val="en-US"/>
              </w:rPr>
            </w:pPr>
            <w:r w:rsidRPr="00D07968">
              <w:rPr>
                <w:rFonts w:cs="Arial"/>
                <w:b/>
                <w:bCs/>
                <w:lang w:val="en-US"/>
              </w:rPr>
              <w:t>or</w:t>
            </w:r>
            <w:r w:rsidRPr="00D07968">
              <w:rPr>
                <w:rFonts w:cs="Arial"/>
                <w:lang w:val="en-US"/>
              </w:rPr>
              <w:t xml:space="preserve"> 2 h post-glucose load</w:t>
            </w:r>
          </w:p>
        </w:tc>
        <w:tc>
          <w:tcPr>
            <w:tcW w:w="1814" w:type="dxa"/>
            <w:tcBorders>
              <w:top w:val="single" w:sz="4" w:space="0" w:color="auto"/>
              <w:bottom w:val="single" w:sz="4" w:space="0" w:color="auto"/>
            </w:tcBorders>
          </w:tcPr>
          <w:p w:rsidR="00D8141B" w:rsidRPr="00D07968" w:rsidRDefault="00D8141B" w:rsidP="00543DCA">
            <w:pPr>
              <w:spacing w:before="40" w:after="40"/>
              <w:jc w:val="center"/>
              <w:rPr>
                <w:rFonts w:cs="Arial"/>
                <w:lang w:val="en-US"/>
              </w:rPr>
            </w:pPr>
            <w:r w:rsidRPr="00D07968">
              <w:rPr>
                <w:rFonts w:cs="Arial"/>
              </w:rPr>
              <w:t>≥</w:t>
            </w:r>
            <w:r w:rsidR="00D07968" w:rsidRPr="00D07968">
              <w:rPr>
                <w:rFonts w:cs="Arial"/>
              </w:rPr>
              <w:t xml:space="preserve"> </w:t>
            </w:r>
            <w:r w:rsidRPr="00D07968">
              <w:rPr>
                <w:rFonts w:cs="Arial"/>
                <w:lang w:val="en-US"/>
              </w:rPr>
              <w:t>10.0 (</w:t>
            </w:r>
            <w:r w:rsidRPr="00D07968">
              <w:rPr>
                <w:rFonts w:cs="Arial"/>
              </w:rPr>
              <w:t>≥</w:t>
            </w:r>
            <w:r w:rsidR="00D07968" w:rsidRPr="00D07968">
              <w:rPr>
                <w:rFonts w:cs="Arial"/>
              </w:rPr>
              <w:t xml:space="preserve"> </w:t>
            </w:r>
            <w:r w:rsidRPr="00D07968">
              <w:rPr>
                <w:rFonts w:cs="Arial"/>
                <w:lang w:val="en-US"/>
              </w:rPr>
              <w:t>180)</w:t>
            </w:r>
          </w:p>
        </w:tc>
        <w:tc>
          <w:tcPr>
            <w:tcW w:w="1871" w:type="dxa"/>
            <w:tcBorders>
              <w:top w:val="single" w:sz="4" w:space="0" w:color="auto"/>
              <w:bottom w:val="single" w:sz="4" w:space="0" w:color="auto"/>
            </w:tcBorders>
          </w:tcPr>
          <w:p w:rsidR="00D8141B" w:rsidRPr="00D07968" w:rsidRDefault="00D8141B" w:rsidP="00543DCA">
            <w:pPr>
              <w:spacing w:before="40" w:after="40"/>
              <w:jc w:val="center"/>
              <w:rPr>
                <w:rFonts w:cs="Arial"/>
                <w:lang w:val="en-US"/>
              </w:rPr>
            </w:pPr>
            <w:r w:rsidRPr="00D07968">
              <w:rPr>
                <w:rFonts w:cs="Arial"/>
              </w:rPr>
              <w:t>≥</w:t>
            </w:r>
            <w:r w:rsidR="00D07968" w:rsidRPr="00D07968">
              <w:rPr>
                <w:rFonts w:cs="Arial"/>
              </w:rPr>
              <w:t xml:space="preserve"> </w:t>
            </w:r>
            <w:r w:rsidRPr="00D07968">
              <w:rPr>
                <w:rFonts w:cs="Arial"/>
                <w:lang w:val="en-US"/>
              </w:rPr>
              <w:t>11.1 (</w:t>
            </w:r>
            <w:r w:rsidR="00D07968" w:rsidRPr="00D07968">
              <w:rPr>
                <w:rFonts w:cs="Arial"/>
              </w:rPr>
              <w:t xml:space="preserve">≥ </w:t>
            </w:r>
            <w:r w:rsidRPr="00D07968">
              <w:rPr>
                <w:rFonts w:cs="Arial"/>
                <w:lang w:val="en-US"/>
              </w:rPr>
              <w:t>200)</w:t>
            </w:r>
          </w:p>
        </w:tc>
        <w:tc>
          <w:tcPr>
            <w:tcW w:w="1757" w:type="dxa"/>
            <w:tcBorders>
              <w:top w:val="single" w:sz="4" w:space="0" w:color="auto"/>
              <w:bottom w:val="single" w:sz="4" w:space="0" w:color="auto"/>
            </w:tcBorders>
          </w:tcPr>
          <w:p w:rsidR="00D8141B" w:rsidRPr="00D07968" w:rsidRDefault="00D07968" w:rsidP="00543DCA">
            <w:pPr>
              <w:spacing w:before="40" w:after="40"/>
              <w:jc w:val="center"/>
              <w:rPr>
                <w:rFonts w:cs="Arial"/>
                <w:lang w:val="en-US"/>
              </w:rPr>
            </w:pPr>
            <w:r w:rsidRPr="00D07968">
              <w:rPr>
                <w:rFonts w:cs="Arial"/>
              </w:rPr>
              <w:t xml:space="preserve">≥ </w:t>
            </w:r>
            <w:r w:rsidR="00D8141B" w:rsidRPr="00D07968">
              <w:rPr>
                <w:rFonts w:cs="Arial"/>
                <w:lang w:val="en-US"/>
              </w:rPr>
              <w:t>11.1 (</w:t>
            </w:r>
            <w:r w:rsidRPr="00D07968">
              <w:rPr>
                <w:rFonts w:cs="Arial"/>
              </w:rPr>
              <w:t xml:space="preserve">≥ </w:t>
            </w:r>
            <w:r w:rsidR="00D8141B" w:rsidRPr="00D07968">
              <w:rPr>
                <w:rFonts w:cs="Arial"/>
                <w:lang w:val="en-US"/>
              </w:rPr>
              <w:t>200)</w:t>
            </w:r>
          </w:p>
        </w:tc>
        <w:tc>
          <w:tcPr>
            <w:tcW w:w="1787" w:type="dxa"/>
            <w:tcBorders>
              <w:top w:val="single" w:sz="4" w:space="0" w:color="auto"/>
              <w:bottom w:val="single" w:sz="4" w:space="0" w:color="auto"/>
            </w:tcBorders>
          </w:tcPr>
          <w:p w:rsidR="00D8141B" w:rsidRPr="00D07968" w:rsidRDefault="00D07968" w:rsidP="00543DCA">
            <w:pPr>
              <w:spacing w:before="40" w:after="40"/>
              <w:jc w:val="center"/>
              <w:rPr>
                <w:rFonts w:cs="Arial"/>
                <w:lang w:val="en-US"/>
              </w:rPr>
            </w:pPr>
            <w:r w:rsidRPr="00D07968">
              <w:rPr>
                <w:rFonts w:cs="Arial"/>
              </w:rPr>
              <w:t xml:space="preserve">≥ </w:t>
            </w:r>
            <w:r w:rsidR="00D8141B" w:rsidRPr="00D07968">
              <w:rPr>
                <w:rFonts w:cs="Arial"/>
                <w:lang w:val="en-US"/>
              </w:rPr>
              <w:t>12.2 (</w:t>
            </w:r>
            <w:r w:rsidRPr="00D07968">
              <w:rPr>
                <w:rFonts w:cs="Arial"/>
              </w:rPr>
              <w:t xml:space="preserve">≥ </w:t>
            </w:r>
            <w:r w:rsidR="00D8141B" w:rsidRPr="00D07968">
              <w:rPr>
                <w:rFonts w:cs="Arial"/>
                <w:lang w:val="en-US"/>
              </w:rPr>
              <w:t>220)</w:t>
            </w:r>
          </w:p>
        </w:tc>
      </w:tr>
      <w:tr w:rsidR="00D07968" w:rsidRPr="00D8141B" w:rsidTr="00C8120B">
        <w:tc>
          <w:tcPr>
            <w:tcW w:w="2552" w:type="dxa"/>
            <w:tcBorders>
              <w:top w:val="single" w:sz="4" w:space="0" w:color="auto"/>
              <w:bottom w:val="nil"/>
            </w:tcBorders>
          </w:tcPr>
          <w:p w:rsidR="00D8141B" w:rsidRPr="00D07968" w:rsidRDefault="00D8141B" w:rsidP="00543DCA">
            <w:pPr>
              <w:spacing w:before="40" w:after="40"/>
              <w:rPr>
                <w:rFonts w:cs="Arial"/>
                <w:b/>
                <w:bCs/>
                <w:lang w:val="en-US"/>
              </w:rPr>
            </w:pPr>
            <w:r w:rsidRPr="00D07968">
              <w:rPr>
                <w:rFonts w:cs="Arial"/>
                <w:b/>
                <w:bCs/>
                <w:lang w:val="en-US"/>
              </w:rPr>
              <w:t>or both</w:t>
            </w:r>
          </w:p>
        </w:tc>
        <w:tc>
          <w:tcPr>
            <w:tcW w:w="1814" w:type="dxa"/>
            <w:tcBorders>
              <w:top w:val="single" w:sz="4" w:space="0" w:color="auto"/>
              <w:bottom w:val="nil"/>
            </w:tcBorders>
          </w:tcPr>
          <w:p w:rsidR="00D8141B" w:rsidRPr="00D07968" w:rsidRDefault="00D8141B" w:rsidP="00543DCA">
            <w:pPr>
              <w:spacing w:before="40" w:after="40"/>
              <w:jc w:val="center"/>
              <w:rPr>
                <w:rFonts w:cs="Arial"/>
                <w:lang w:val="en-US"/>
              </w:rPr>
            </w:pPr>
          </w:p>
        </w:tc>
        <w:tc>
          <w:tcPr>
            <w:tcW w:w="1871" w:type="dxa"/>
            <w:tcBorders>
              <w:top w:val="single" w:sz="4" w:space="0" w:color="auto"/>
              <w:bottom w:val="nil"/>
            </w:tcBorders>
          </w:tcPr>
          <w:p w:rsidR="00D8141B" w:rsidRPr="00D07968" w:rsidRDefault="00D8141B" w:rsidP="00543DCA">
            <w:pPr>
              <w:spacing w:before="40" w:after="40"/>
              <w:jc w:val="center"/>
              <w:rPr>
                <w:rFonts w:cs="Arial"/>
                <w:lang w:val="en-US"/>
              </w:rPr>
            </w:pPr>
          </w:p>
        </w:tc>
        <w:tc>
          <w:tcPr>
            <w:tcW w:w="1757" w:type="dxa"/>
            <w:tcBorders>
              <w:top w:val="single" w:sz="4" w:space="0" w:color="auto"/>
              <w:bottom w:val="nil"/>
            </w:tcBorders>
          </w:tcPr>
          <w:p w:rsidR="00D8141B" w:rsidRPr="00D07968" w:rsidRDefault="00D8141B" w:rsidP="00543DCA">
            <w:pPr>
              <w:spacing w:before="40" w:after="40"/>
              <w:jc w:val="center"/>
              <w:rPr>
                <w:rFonts w:cs="Arial"/>
                <w:lang w:val="en-US"/>
              </w:rPr>
            </w:pPr>
          </w:p>
        </w:tc>
        <w:tc>
          <w:tcPr>
            <w:tcW w:w="1787" w:type="dxa"/>
            <w:tcBorders>
              <w:top w:val="single" w:sz="4" w:space="0" w:color="auto"/>
              <w:bottom w:val="nil"/>
            </w:tcBorders>
          </w:tcPr>
          <w:p w:rsidR="00D8141B" w:rsidRPr="00D07968" w:rsidRDefault="00D8141B" w:rsidP="00543DCA">
            <w:pPr>
              <w:spacing w:before="40" w:after="40"/>
              <w:jc w:val="center"/>
              <w:rPr>
                <w:rFonts w:cs="Arial"/>
                <w:lang w:val="en-US"/>
              </w:rPr>
            </w:pPr>
          </w:p>
        </w:tc>
      </w:tr>
      <w:tr w:rsidR="00D07968" w:rsidRPr="00D8141B" w:rsidTr="00C8120B">
        <w:tc>
          <w:tcPr>
            <w:tcW w:w="2552" w:type="dxa"/>
            <w:tcBorders>
              <w:top w:val="nil"/>
              <w:bottom w:val="nil"/>
            </w:tcBorders>
          </w:tcPr>
          <w:p w:rsidR="00D8141B" w:rsidRPr="00D07968" w:rsidRDefault="00D8141B" w:rsidP="00543DCA">
            <w:pPr>
              <w:spacing w:before="40" w:after="40"/>
              <w:rPr>
                <w:rFonts w:cs="Arial"/>
                <w:b/>
                <w:bCs/>
                <w:lang w:val="en-US"/>
              </w:rPr>
            </w:pPr>
            <w:r w:rsidRPr="00D07968">
              <w:rPr>
                <w:rFonts w:cs="Arial"/>
                <w:lang w:val="en-US"/>
              </w:rPr>
              <w:t>Impaired glucose tolerance (IGT)</w:t>
            </w:r>
          </w:p>
        </w:tc>
        <w:tc>
          <w:tcPr>
            <w:tcW w:w="1814" w:type="dxa"/>
            <w:tcBorders>
              <w:top w:val="nil"/>
              <w:bottom w:val="nil"/>
            </w:tcBorders>
          </w:tcPr>
          <w:p w:rsidR="00D8141B" w:rsidRPr="00D07968" w:rsidRDefault="00543DCA" w:rsidP="00543DCA">
            <w:pPr>
              <w:spacing w:before="40" w:after="40"/>
              <w:jc w:val="center"/>
              <w:rPr>
                <w:rFonts w:cs="Arial"/>
                <w:lang w:val="en-US"/>
              </w:rPr>
            </w:pPr>
            <w:r w:rsidRPr="00D07968">
              <w:rPr>
                <w:rFonts w:cs="Arial"/>
                <w:lang w:val="en-US"/>
              </w:rPr>
              <w:t>&lt; 6.1 (&lt; 110)</w:t>
            </w:r>
          </w:p>
        </w:tc>
        <w:tc>
          <w:tcPr>
            <w:tcW w:w="1871" w:type="dxa"/>
            <w:tcBorders>
              <w:top w:val="nil"/>
              <w:bottom w:val="nil"/>
            </w:tcBorders>
          </w:tcPr>
          <w:p w:rsidR="00D8141B" w:rsidRPr="00D07968" w:rsidRDefault="00543DCA" w:rsidP="00543DCA">
            <w:pPr>
              <w:spacing w:before="40" w:after="40"/>
              <w:jc w:val="center"/>
              <w:rPr>
                <w:rFonts w:cs="Arial"/>
                <w:lang w:val="en-US"/>
              </w:rPr>
            </w:pPr>
            <w:r w:rsidRPr="00D07968">
              <w:rPr>
                <w:rFonts w:cs="Arial"/>
                <w:lang w:val="en-US"/>
              </w:rPr>
              <w:t>&lt; 6.1 (&lt; 110)</w:t>
            </w:r>
          </w:p>
        </w:tc>
        <w:tc>
          <w:tcPr>
            <w:tcW w:w="1757" w:type="dxa"/>
            <w:tcBorders>
              <w:top w:val="nil"/>
              <w:bottom w:val="nil"/>
            </w:tcBorders>
          </w:tcPr>
          <w:p w:rsidR="00D8141B" w:rsidRPr="00D07968" w:rsidRDefault="00543DCA" w:rsidP="00543DCA">
            <w:pPr>
              <w:spacing w:before="40" w:after="40"/>
              <w:jc w:val="center"/>
              <w:rPr>
                <w:rFonts w:cs="Arial"/>
                <w:lang w:val="en-US"/>
              </w:rPr>
            </w:pPr>
            <w:r w:rsidRPr="00D07968">
              <w:rPr>
                <w:rFonts w:cs="Arial"/>
                <w:lang w:val="en-US"/>
              </w:rPr>
              <w:t>&lt; 7.0 (&lt; 126)</w:t>
            </w:r>
          </w:p>
        </w:tc>
        <w:tc>
          <w:tcPr>
            <w:tcW w:w="1787" w:type="dxa"/>
            <w:tcBorders>
              <w:top w:val="nil"/>
              <w:bottom w:val="nil"/>
            </w:tcBorders>
          </w:tcPr>
          <w:p w:rsidR="00D8141B" w:rsidRPr="00D07968" w:rsidRDefault="00543DCA" w:rsidP="00543DCA">
            <w:pPr>
              <w:spacing w:before="40" w:after="40"/>
              <w:jc w:val="center"/>
              <w:rPr>
                <w:rFonts w:cs="Arial"/>
                <w:lang w:val="en-US"/>
              </w:rPr>
            </w:pPr>
            <w:r w:rsidRPr="00D07968">
              <w:rPr>
                <w:rFonts w:cs="Arial"/>
                <w:lang w:val="en-US"/>
              </w:rPr>
              <w:t>&lt; 7.0 (&lt; 126)</w:t>
            </w:r>
          </w:p>
        </w:tc>
      </w:tr>
      <w:tr w:rsidR="00D07968" w:rsidRPr="00D8141B" w:rsidTr="00C8120B">
        <w:tc>
          <w:tcPr>
            <w:tcW w:w="2552" w:type="dxa"/>
            <w:tcBorders>
              <w:top w:val="nil"/>
              <w:bottom w:val="nil"/>
            </w:tcBorders>
          </w:tcPr>
          <w:p w:rsidR="00543DCA" w:rsidRPr="00D07968" w:rsidRDefault="00543DCA" w:rsidP="00543DCA">
            <w:pPr>
              <w:spacing w:before="40" w:after="40"/>
              <w:rPr>
                <w:rFonts w:cs="Arial"/>
                <w:lang w:val="en-US"/>
              </w:rPr>
            </w:pPr>
            <w:r w:rsidRPr="00D07968">
              <w:rPr>
                <w:rFonts w:cs="Arial"/>
                <w:lang w:val="en-US"/>
              </w:rPr>
              <w:t xml:space="preserve">Fasting (if measured) </w:t>
            </w:r>
            <w:r w:rsidRPr="00D07968">
              <w:rPr>
                <w:rFonts w:cs="Arial"/>
                <w:b/>
                <w:bCs/>
                <w:lang w:val="en-US"/>
              </w:rPr>
              <w:t>and</w:t>
            </w:r>
            <w:r w:rsidRPr="00D07968">
              <w:rPr>
                <w:rFonts w:cs="Arial"/>
                <w:lang w:val="en-US"/>
              </w:rPr>
              <w:t xml:space="preserve"> 2 h post-glucose load</w:t>
            </w:r>
          </w:p>
        </w:tc>
        <w:tc>
          <w:tcPr>
            <w:tcW w:w="1814" w:type="dxa"/>
            <w:tcBorders>
              <w:top w:val="nil"/>
              <w:bottom w:val="nil"/>
            </w:tcBorders>
          </w:tcPr>
          <w:p w:rsidR="00543DCA" w:rsidRPr="00D07968" w:rsidRDefault="00D07968" w:rsidP="00543DCA">
            <w:pPr>
              <w:spacing w:before="40" w:after="40"/>
              <w:jc w:val="center"/>
              <w:rPr>
                <w:rFonts w:cs="Arial"/>
                <w:lang w:val="en-US"/>
              </w:rPr>
            </w:pPr>
            <w:r w:rsidRPr="00D07968">
              <w:rPr>
                <w:rFonts w:cs="Arial"/>
              </w:rPr>
              <w:t xml:space="preserve">≥ </w:t>
            </w:r>
            <w:r w:rsidR="00543DCA" w:rsidRPr="00D07968">
              <w:rPr>
                <w:rFonts w:cs="Arial"/>
                <w:lang w:val="en-US"/>
              </w:rPr>
              <w:t>6.7 (</w:t>
            </w:r>
            <w:r w:rsidRPr="00D07968">
              <w:rPr>
                <w:rFonts w:cs="Arial"/>
              </w:rPr>
              <w:t xml:space="preserve">≥ </w:t>
            </w:r>
            <w:r w:rsidR="00543DCA" w:rsidRPr="00D07968">
              <w:rPr>
                <w:rFonts w:cs="Arial"/>
                <w:lang w:val="en-US"/>
              </w:rPr>
              <w:t>120) and &lt; 10.0 (&lt; 180)</w:t>
            </w:r>
          </w:p>
        </w:tc>
        <w:tc>
          <w:tcPr>
            <w:tcW w:w="1871" w:type="dxa"/>
            <w:tcBorders>
              <w:top w:val="nil"/>
              <w:bottom w:val="nil"/>
            </w:tcBorders>
          </w:tcPr>
          <w:p w:rsidR="00543DCA" w:rsidRPr="00D07968" w:rsidRDefault="00D07968" w:rsidP="00543DCA">
            <w:pPr>
              <w:spacing w:before="40" w:after="40"/>
              <w:jc w:val="center"/>
              <w:rPr>
                <w:rFonts w:cs="Arial"/>
                <w:lang w:val="en-US"/>
              </w:rPr>
            </w:pPr>
            <w:r w:rsidRPr="00D07968">
              <w:rPr>
                <w:rFonts w:cs="Arial"/>
              </w:rPr>
              <w:t xml:space="preserve">≥ </w:t>
            </w:r>
            <w:r w:rsidR="00543DCA" w:rsidRPr="00D07968">
              <w:rPr>
                <w:rFonts w:cs="Arial"/>
                <w:lang w:val="en-US"/>
              </w:rPr>
              <w:t>7.8 (</w:t>
            </w:r>
            <w:r w:rsidRPr="00D07968">
              <w:rPr>
                <w:rFonts w:cs="Arial"/>
              </w:rPr>
              <w:t xml:space="preserve">≥ </w:t>
            </w:r>
            <w:r w:rsidR="00543DCA" w:rsidRPr="00D07968">
              <w:rPr>
                <w:rFonts w:cs="Arial"/>
                <w:lang w:val="en-US"/>
              </w:rPr>
              <w:t>140) and &lt; 11.1 (&lt; 200)</w:t>
            </w:r>
          </w:p>
        </w:tc>
        <w:tc>
          <w:tcPr>
            <w:tcW w:w="1757" w:type="dxa"/>
            <w:tcBorders>
              <w:top w:val="nil"/>
              <w:bottom w:val="nil"/>
            </w:tcBorders>
          </w:tcPr>
          <w:p w:rsidR="00543DCA" w:rsidRPr="00D07968" w:rsidRDefault="00D07968" w:rsidP="00543DCA">
            <w:pPr>
              <w:spacing w:before="40" w:after="40"/>
              <w:jc w:val="center"/>
              <w:rPr>
                <w:rFonts w:cs="Arial"/>
                <w:lang w:val="en-US"/>
              </w:rPr>
            </w:pPr>
            <w:r w:rsidRPr="00D07968">
              <w:rPr>
                <w:rFonts w:cs="Arial"/>
              </w:rPr>
              <w:t xml:space="preserve">≥ </w:t>
            </w:r>
            <w:r w:rsidR="00543DCA" w:rsidRPr="00D07968">
              <w:rPr>
                <w:rFonts w:cs="Arial"/>
                <w:lang w:val="en-US"/>
              </w:rPr>
              <w:t>7.8 (</w:t>
            </w:r>
            <w:r w:rsidRPr="00D07968">
              <w:rPr>
                <w:rFonts w:cs="Arial"/>
              </w:rPr>
              <w:t xml:space="preserve">≥ </w:t>
            </w:r>
            <w:r w:rsidR="00543DCA" w:rsidRPr="00D07968">
              <w:rPr>
                <w:rFonts w:cs="Arial"/>
                <w:lang w:val="en-US"/>
              </w:rPr>
              <w:t>140) and &lt; 11.1 (&lt; 200)</w:t>
            </w:r>
          </w:p>
        </w:tc>
        <w:tc>
          <w:tcPr>
            <w:tcW w:w="1787" w:type="dxa"/>
            <w:tcBorders>
              <w:top w:val="nil"/>
              <w:bottom w:val="nil"/>
            </w:tcBorders>
          </w:tcPr>
          <w:p w:rsidR="00543DCA" w:rsidRPr="00D07968" w:rsidRDefault="00D07968" w:rsidP="00543DCA">
            <w:pPr>
              <w:keepLines/>
              <w:widowControl w:val="0"/>
              <w:suppressAutoHyphens/>
              <w:spacing w:before="40" w:after="40"/>
              <w:jc w:val="center"/>
              <w:rPr>
                <w:rFonts w:cs="Arial"/>
                <w:snapToGrid w:val="0"/>
                <w:color w:val="000000"/>
                <w:lang w:val="en-GB"/>
              </w:rPr>
            </w:pPr>
            <w:r w:rsidRPr="00D07968">
              <w:rPr>
                <w:rFonts w:cs="Arial"/>
                <w:snapToGrid w:val="0"/>
                <w:color w:val="000000"/>
              </w:rPr>
              <w:t xml:space="preserve">≥ </w:t>
            </w:r>
            <w:r w:rsidR="00543DCA" w:rsidRPr="00D07968">
              <w:rPr>
                <w:rFonts w:cs="Arial"/>
                <w:snapToGrid w:val="0"/>
                <w:color w:val="000000"/>
                <w:lang w:val="en-GB"/>
              </w:rPr>
              <w:t>8.9 (</w:t>
            </w:r>
            <w:r w:rsidRPr="00D07968">
              <w:rPr>
                <w:rFonts w:cs="Arial"/>
                <w:snapToGrid w:val="0"/>
                <w:color w:val="000000"/>
              </w:rPr>
              <w:t xml:space="preserve">≥ </w:t>
            </w:r>
            <w:r w:rsidR="00543DCA" w:rsidRPr="00D07968">
              <w:rPr>
                <w:rFonts w:cs="Arial"/>
                <w:snapToGrid w:val="0"/>
                <w:color w:val="000000"/>
                <w:lang w:val="en-GB"/>
              </w:rPr>
              <w:t>160) and</w:t>
            </w:r>
          </w:p>
          <w:p w:rsidR="00543DCA" w:rsidRPr="00D07968" w:rsidRDefault="00543DCA" w:rsidP="00543DCA">
            <w:pPr>
              <w:spacing w:before="40" w:after="40"/>
              <w:jc w:val="center"/>
              <w:rPr>
                <w:rFonts w:cs="Arial"/>
                <w:lang w:val="en-US"/>
              </w:rPr>
            </w:pPr>
            <w:r w:rsidRPr="00D07968">
              <w:rPr>
                <w:rFonts w:cs="Arial"/>
                <w:lang w:val="en-US"/>
              </w:rPr>
              <w:t>&lt; 12.2 (&lt; 220)</w:t>
            </w:r>
          </w:p>
        </w:tc>
      </w:tr>
      <w:tr w:rsidR="00D07968" w:rsidRPr="00D8141B" w:rsidTr="00C8120B">
        <w:tc>
          <w:tcPr>
            <w:tcW w:w="2552" w:type="dxa"/>
            <w:tcBorders>
              <w:top w:val="single" w:sz="4" w:space="0" w:color="auto"/>
              <w:bottom w:val="nil"/>
              <w:right w:val="single" w:sz="4" w:space="0" w:color="auto"/>
            </w:tcBorders>
          </w:tcPr>
          <w:p w:rsidR="00543DCA" w:rsidRPr="00D07968" w:rsidRDefault="00543DCA" w:rsidP="00543DCA">
            <w:pPr>
              <w:spacing w:before="40" w:after="40"/>
              <w:rPr>
                <w:rFonts w:cs="Arial"/>
                <w:b/>
                <w:bCs/>
                <w:lang w:val="en-US"/>
              </w:rPr>
            </w:pPr>
            <w:r w:rsidRPr="00D07968">
              <w:rPr>
                <w:rFonts w:cs="Arial"/>
                <w:lang w:val="en-US"/>
              </w:rPr>
              <w:t>Impaired fasting glycaemia (IFG)</w:t>
            </w:r>
          </w:p>
        </w:tc>
        <w:tc>
          <w:tcPr>
            <w:tcW w:w="1814" w:type="dxa"/>
            <w:tcBorders>
              <w:top w:val="single" w:sz="4" w:space="0" w:color="auto"/>
              <w:left w:val="single" w:sz="4" w:space="0" w:color="auto"/>
              <w:bottom w:val="nil"/>
              <w:right w:val="single" w:sz="4" w:space="0" w:color="auto"/>
            </w:tcBorders>
          </w:tcPr>
          <w:p w:rsidR="00543DCA" w:rsidRPr="00D07968" w:rsidRDefault="00D07968" w:rsidP="00543DCA">
            <w:pPr>
              <w:spacing w:before="40" w:after="40"/>
              <w:jc w:val="center"/>
              <w:rPr>
                <w:rFonts w:cs="Arial"/>
              </w:rPr>
            </w:pPr>
            <w:r w:rsidRPr="00D07968">
              <w:rPr>
                <w:rFonts w:cs="Arial"/>
              </w:rPr>
              <w:t xml:space="preserve">≥ </w:t>
            </w:r>
            <w:r w:rsidR="00543DCA" w:rsidRPr="00D07968">
              <w:rPr>
                <w:rFonts w:cs="Arial"/>
                <w:lang w:val="en-US"/>
              </w:rPr>
              <w:t>5.6 (</w:t>
            </w:r>
            <w:r w:rsidRPr="00D07968">
              <w:rPr>
                <w:rFonts w:cs="Arial"/>
              </w:rPr>
              <w:t xml:space="preserve">≥ </w:t>
            </w:r>
            <w:r w:rsidR="00543DCA" w:rsidRPr="00D07968">
              <w:rPr>
                <w:rFonts w:cs="Arial"/>
                <w:lang w:val="en-US"/>
              </w:rPr>
              <w:t>100) and</w:t>
            </w:r>
          </w:p>
        </w:tc>
        <w:tc>
          <w:tcPr>
            <w:tcW w:w="1871" w:type="dxa"/>
            <w:tcBorders>
              <w:top w:val="single" w:sz="4" w:space="0" w:color="auto"/>
              <w:left w:val="single" w:sz="4" w:space="0" w:color="auto"/>
              <w:bottom w:val="nil"/>
              <w:right w:val="single" w:sz="4" w:space="0" w:color="auto"/>
            </w:tcBorders>
          </w:tcPr>
          <w:p w:rsidR="00543DCA" w:rsidRPr="00D07968" w:rsidRDefault="00D07968" w:rsidP="00543DCA">
            <w:pPr>
              <w:spacing w:before="40" w:after="40"/>
              <w:jc w:val="center"/>
              <w:rPr>
                <w:rFonts w:cs="Arial"/>
              </w:rPr>
            </w:pPr>
            <w:r w:rsidRPr="00D07968">
              <w:rPr>
                <w:rFonts w:cs="Arial"/>
              </w:rPr>
              <w:t xml:space="preserve">≥ </w:t>
            </w:r>
            <w:r w:rsidR="00543DCA" w:rsidRPr="00D07968">
              <w:rPr>
                <w:rFonts w:cs="Arial"/>
                <w:lang w:val="en-US"/>
              </w:rPr>
              <w:t>5.6 (</w:t>
            </w:r>
            <w:r w:rsidRPr="00D07968">
              <w:rPr>
                <w:rFonts w:cs="Arial"/>
              </w:rPr>
              <w:t xml:space="preserve">≥ </w:t>
            </w:r>
            <w:r w:rsidR="00543DCA" w:rsidRPr="00D07968">
              <w:rPr>
                <w:rFonts w:cs="Arial"/>
                <w:lang w:val="en-US"/>
              </w:rPr>
              <w:t>100) and</w:t>
            </w:r>
          </w:p>
        </w:tc>
        <w:tc>
          <w:tcPr>
            <w:tcW w:w="1757" w:type="dxa"/>
            <w:tcBorders>
              <w:top w:val="single" w:sz="4" w:space="0" w:color="auto"/>
              <w:left w:val="single" w:sz="4" w:space="0" w:color="auto"/>
              <w:bottom w:val="nil"/>
              <w:right w:val="single" w:sz="4" w:space="0" w:color="auto"/>
            </w:tcBorders>
          </w:tcPr>
          <w:p w:rsidR="00543DCA" w:rsidRPr="00D07968" w:rsidRDefault="00D07968" w:rsidP="00543DCA">
            <w:pPr>
              <w:spacing w:before="40" w:after="40"/>
              <w:jc w:val="center"/>
              <w:rPr>
                <w:rFonts w:cs="Arial"/>
              </w:rPr>
            </w:pPr>
            <w:r w:rsidRPr="00D07968">
              <w:rPr>
                <w:rFonts w:cs="Arial"/>
              </w:rPr>
              <w:t xml:space="preserve">≥ </w:t>
            </w:r>
            <w:r w:rsidR="00543DCA" w:rsidRPr="00D07968">
              <w:rPr>
                <w:rFonts w:cs="Arial"/>
                <w:lang w:val="en-US"/>
              </w:rPr>
              <w:t>6.1 (</w:t>
            </w:r>
            <w:r w:rsidRPr="00D07968">
              <w:rPr>
                <w:rFonts w:cs="Arial"/>
              </w:rPr>
              <w:t xml:space="preserve">≥ </w:t>
            </w:r>
            <w:r w:rsidR="00543DCA" w:rsidRPr="00D07968">
              <w:rPr>
                <w:rFonts w:cs="Arial"/>
                <w:lang w:val="en-US"/>
              </w:rPr>
              <w:t>110) and</w:t>
            </w:r>
          </w:p>
        </w:tc>
        <w:tc>
          <w:tcPr>
            <w:tcW w:w="1787" w:type="dxa"/>
            <w:tcBorders>
              <w:top w:val="single" w:sz="4" w:space="0" w:color="auto"/>
              <w:left w:val="single" w:sz="4" w:space="0" w:color="auto"/>
              <w:bottom w:val="nil"/>
              <w:right w:val="single" w:sz="4" w:space="0" w:color="auto"/>
            </w:tcBorders>
          </w:tcPr>
          <w:p w:rsidR="00543DCA" w:rsidRPr="00D07968" w:rsidRDefault="00D07968" w:rsidP="00543DCA">
            <w:pPr>
              <w:keepLines/>
              <w:widowControl w:val="0"/>
              <w:suppressAutoHyphens/>
              <w:spacing w:before="40" w:after="40"/>
              <w:jc w:val="center"/>
              <w:rPr>
                <w:rFonts w:cs="Arial"/>
                <w:snapToGrid w:val="0"/>
                <w:color w:val="000000"/>
              </w:rPr>
            </w:pPr>
            <w:r w:rsidRPr="00D07968">
              <w:rPr>
                <w:rFonts w:cs="Arial"/>
                <w:snapToGrid w:val="0"/>
                <w:color w:val="000000"/>
              </w:rPr>
              <w:t xml:space="preserve">≥ </w:t>
            </w:r>
            <w:r w:rsidR="00543DCA" w:rsidRPr="00D07968">
              <w:rPr>
                <w:rFonts w:cs="Arial"/>
                <w:snapToGrid w:val="0"/>
                <w:color w:val="000000"/>
                <w:lang w:val="en-GB"/>
              </w:rPr>
              <w:t>6.1 (</w:t>
            </w:r>
            <w:r w:rsidRPr="00D07968">
              <w:rPr>
                <w:rFonts w:cs="Arial"/>
                <w:snapToGrid w:val="0"/>
                <w:color w:val="000000"/>
              </w:rPr>
              <w:t xml:space="preserve">≥ </w:t>
            </w:r>
            <w:r w:rsidR="00543DCA" w:rsidRPr="00D07968">
              <w:rPr>
                <w:rFonts w:cs="Arial"/>
                <w:snapToGrid w:val="0"/>
                <w:color w:val="000000"/>
                <w:lang w:val="en-GB"/>
              </w:rPr>
              <w:t>110) and</w:t>
            </w:r>
          </w:p>
        </w:tc>
      </w:tr>
      <w:tr w:rsidR="00D07968" w:rsidRPr="00D8141B" w:rsidTr="00C8120B">
        <w:tc>
          <w:tcPr>
            <w:tcW w:w="2552" w:type="dxa"/>
            <w:tcBorders>
              <w:top w:val="nil"/>
              <w:bottom w:val="single" w:sz="4" w:space="0" w:color="auto"/>
              <w:right w:val="single" w:sz="4" w:space="0" w:color="auto"/>
            </w:tcBorders>
          </w:tcPr>
          <w:p w:rsidR="00543DCA" w:rsidRPr="00D07968" w:rsidRDefault="00543DCA" w:rsidP="00543DCA">
            <w:pPr>
              <w:spacing w:before="40" w:after="40"/>
              <w:rPr>
                <w:rFonts w:cs="Arial"/>
                <w:lang w:val="en-US"/>
              </w:rPr>
            </w:pPr>
            <w:r w:rsidRPr="00D07968">
              <w:rPr>
                <w:rFonts w:cs="Arial"/>
                <w:lang w:val="en-US"/>
              </w:rPr>
              <w:t>Fasting</w:t>
            </w:r>
          </w:p>
        </w:tc>
        <w:tc>
          <w:tcPr>
            <w:tcW w:w="1814" w:type="dxa"/>
            <w:tcBorders>
              <w:top w:val="nil"/>
              <w:left w:val="single" w:sz="4" w:space="0" w:color="auto"/>
              <w:bottom w:val="single" w:sz="4" w:space="0" w:color="auto"/>
              <w:right w:val="single" w:sz="4" w:space="0" w:color="auto"/>
            </w:tcBorders>
          </w:tcPr>
          <w:p w:rsidR="00543DCA" w:rsidRPr="00D07968" w:rsidRDefault="00543DCA" w:rsidP="00543DCA">
            <w:pPr>
              <w:spacing w:before="40" w:after="40"/>
              <w:jc w:val="center"/>
              <w:rPr>
                <w:rFonts w:cs="Arial"/>
              </w:rPr>
            </w:pPr>
            <w:r w:rsidRPr="00D07968">
              <w:rPr>
                <w:rFonts w:cs="Arial"/>
                <w:lang w:val="en-US"/>
              </w:rPr>
              <w:t>&lt; 6.1 (&lt; 110)</w:t>
            </w:r>
          </w:p>
        </w:tc>
        <w:tc>
          <w:tcPr>
            <w:tcW w:w="1871" w:type="dxa"/>
            <w:tcBorders>
              <w:top w:val="nil"/>
              <w:left w:val="single" w:sz="4" w:space="0" w:color="auto"/>
              <w:bottom w:val="single" w:sz="4" w:space="0" w:color="auto"/>
              <w:right w:val="single" w:sz="4" w:space="0" w:color="auto"/>
            </w:tcBorders>
          </w:tcPr>
          <w:p w:rsidR="00543DCA" w:rsidRPr="00D07968" w:rsidRDefault="00543DCA" w:rsidP="00543DCA">
            <w:pPr>
              <w:spacing w:before="40" w:after="40"/>
              <w:jc w:val="center"/>
              <w:rPr>
                <w:rFonts w:cs="Arial"/>
              </w:rPr>
            </w:pPr>
            <w:r w:rsidRPr="00D07968">
              <w:rPr>
                <w:rFonts w:cs="Arial"/>
                <w:lang w:val="en-US"/>
              </w:rPr>
              <w:t>&lt; 6.1 (&lt; 110)</w:t>
            </w:r>
          </w:p>
        </w:tc>
        <w:tc>
          <w:tcPr>
            <w:tcW w:w="1757" w:type="dxa"/>
            <w:tcBorders>
              <w:top w:val="nil"/>
              <w:left w:val="single" w:sz="4" w:space="0" w:color="auto"/>
              <w:bottom w:val="single" w:sz="4" w:space="0" w:color="auto"/>
              <w:right w:val="single" w:sz="4" w:space="0" w:color="auto"/>
            </w:tcBorders>
          </w:tcPr>
          <w:p w:rsidR="00543DCA" w:rsidRPr="00D07968" w:rsidRDefault="00543DCA" w:rsidP="00543DCA">
            <w:pPr>
              <w:spacing w:before="40" w:after="40"/>
              <w:jc w:val="center"/>
              <w:rPr>
                <w:rFonts w:cs="Arial"/>
              </w:rPr>
            </w:pPr>
            <w:r w:rsidRPr="00D07968">
              <w:rPr>
                <w:rFonts w:cs="Arial"/>
                <w:lang w:val="en-US"/>
              </w:rPr>
              <w:t>&lt; 7.0 (&lt; 126)</w:t>
            </w:r>
          </w:p>
        </w:tc>
        <w:tc>
          <w:tcPr>
            <w:tcW w:w="1787" w:type="dxa"/>
            <w:tcBorders>
              <w:top w:val="nil"/>
              <w:left w:val="single" w:sz="4" w:space="0" w:color="auto"/>
              <w:bottom w:val="single" w:sz="4" w:space="0" w:color="auto"/>
              <w:right w:val="single" w:sz="4" w:space="0" w:color="auto"/>
            </w:tcBorders>
          </w:tcPr>
          <w:p w:rsidR="00543DCA" w:rsidRPr="00D07968" w:rsidRDefault="00543DCA" w:rsidP="00543DCA">
            <w:pPr>
              <w:keepLines/>
              <w:widowControl w:val="0"/>
              <w:suppressAutoHyphens/>
              <w:spacing w:before="40" w:after="40"/>
              <w:jc w:val="center"/>
              <w:rPr>
                <w:rFonts w:cs="Arial"/>
                <w:snapToGrid w:val="0"/>
                <w:color w:val="000000"/>
              </w:rPr>
            </w:pPr>
            <w:r w:rsidRPr="00D07968">
              <w:rPr>
                <w:rFonts w:cs="Arial"/>
                <w:snapToGrid w:val="0"/>
                <w:color w:val="000000"/>
                <w:lang w:val="en-GB"/>
              </w:rPr>
              <w:t>&lt; 7.0 (&lt; 126)</w:t>
            </w:r>
          </w:p>
        </w:tc>
      </w:tr>
      <w:tr w:rsidR="00D07968" w:rsidRPr="00D8141B" w:rsidTr="00C8120B">
        <w:tc>
          <w:tcPr>
            <w:tcW w:w="2552" w:type="dxa"/>
            <w:tcBorders>
              <w:top w:val="single" w:sz="4" w:space="0" w:color="auto"/>
            </w:tcBorders>
          </w:tcPr>
          <w:p w:rsidR="00543DCA" w:rsidRPr="00D07968" w:rsidRDefault="00543DCA" w:rsidP="00543DCA">
            <w:pPr>
              <w:spacing w:before="40" w:after="40"/>
              <w:rPr>
                <w:rFonts w:cs="Arial"/>
                <w:lang w:val="en-US"/>
              </w:rPr>
            </w:pPr>
            <w:r w:rsidRPr="00D07968">
              <w:rPr>
                <w:rFonts w:cs="Arial"/>
                <w:lang w:val="en-US"/>
              </w:rPr>
              <w:t xml:space="preserve">2 h post-glucose load </w:t>
            </w:r>
            <w:r w:rsidRPr="00D07968">
              <w:rPr>
                <w:rFonts w:cs="Arial"/>
                <w:lang w:val="en-US"/>
              </w:rPr>
              <w:br/>
              <w:t>(if measured)</w:t>
            </w:r>
          </w:p>
        </w:tc>
        <w:tc>
          <w:tcPr>
            <w:tcW w:w="1814" w:type="dxa"/>
            <w:tcBorders>
              <w:top w:val="single" w:sz="4" w:space="0" w:color="auto"/>
            </w:tcBorders>
          </w:tcPr>
          <w:p w:rsidR="00543DCA" w:rsidRPr="00D07968" w:rsidRDefault="00543DCA" w:rsidP="00543DCA">
            <w:pPr>
              <w:spacing w:before="40" w:after="40"/>
              <w:jc w:val="center"/>
              <w:rPr>
                <w:rFonts w:cs="Arial"/>
              </w:rPr>
            </w:pPr>
            <w:r w:rsidRPr="00D07968">
              <w:rPr>
                <w:rFonts w:cs="Arial"/>
                <w:lang w:val="en-US"/>
              </w:rPr>
              <w:t>&lt; 6.7 (&lt; 120)</w:t>
            </w:r>
          </w:p>
        </w:tc>
        <w:tc>
          <w:tcPr>
            <w:tcW w:w="1871" w:type="dxa"/>
            <w:tcBorders>
              <w:top w:val="single" w:sz="4" w:space="0" w:color="auto"/>
            </w:tcBorders>
          </w:tcPr>
          <w:p w:rsidR="00543DCA" w:rsidRPr="00D07968" w:rsidRDefault="00543DCA" w:rsidP="00543DCA">
            <w:pPr>
              <w:spacing w:before="40" w:after="40"/>
              <w:jc w:val="center"/>
              <w:rPr>
                <w:rFonts w:cs="Arial"/>
              </w:rPr>
            </w:pPr>
            <w:r w:rsidRPr="00D07968">
              <w:rPr>
                <w:rFonts w:cs="Arial"/>
                <w:lang w:val="en-US"/>
              </w:rPr>
              <w:t>&lt; 7.8 (&lt; 140)</w:t>
            </w:r>
          </w:p>
        </w:tc>
        <w:tc>
          <w:tcPr>
            <w:tcW w:w="1757" w:type="dxa"/>
            <w:tcBorders>
              <w:top w:val="single" w:sz="4" w:space="0" w:color="auto"/>
            </w:tcBorders>
          </w:tcPr>
          <w:p w:rsidR="00543DCA" w:rsidRPr="00D07968" w:rsidRDefault="00543DCA" w:rsidP="00543DCA">
            <w:pPr>
              <w:spacing w:before="40" w:after="40"/>
              <w:jc w:val="center"/>
              <w:rPr>
                <w:rFonts w:cs="Arial"/>
              </w:rPr>
            </w:pPr>
            <w:r w:rsidRPr="00D07968">
              <w:rPr>
                <w:rFonts w:cs="Arial"/>
                <w:lang w:val="en-US"/>
              </w:rPr>
              <w:t>&lt; 7.8 (&lt; 140)</w:t>
            </w:r>
          </w:p>
        </w:tc>
        <w:tc>
          <w:tcPr>
            <w:tcW w:w="1787" w:type="dxa"/>
            <w:tcBorders>
              <w:top w:val="single" w:sz="4" w:space="0" w:color="auto"/>
            </w:tcBorders>
          </w:tcPr>
          <w:p w:rsidR="00543DCA" w:rsidRPr="00D07968" w:rsidRDefault="00543DCA" w:rsidP="00543DCA">
            <w:pPr>
              <w:keepLines/>
              <w:widowControl w:val="0"/>
              <w:suppressAutoHyphens/>
              <w:spacing w:before="40" w:after="40"/>
              <w:jc w:val="center"/>
              <w:rPr>
                <w:rFonts w:cs="Arial"/>
                <w:snapToGrid w:val="0"/>
                <w:color w:val="000000"/>
              </w:rPr>
            </w:pPr>
            <w:r w:rsidRPr="00D07968">
              <w:rPr>
                <w:rFonts w:cs="Arial"/>
                <w:snapToGrid w:val="0"/>
                <w:color w:val="000000"/>
                <w:lang w:val="en-GB"/>
              </w:rPr>
              <w:t>&lt; 8.9 (&lt; 160)</w:t>
            </w:r>
          </w:p>
        </w:tc>
      </w:tr>
      <w:tr w:rsidR="00543DCA" w:rsidRPr="00D8141B" w:rsidTr="00D07968">
        <w:tc>
          <w:tcPr>
            <w:tcW w:w="9781" w:type="dxa"/>
            <w:gridSpan w:val="5"/>
          </w:tcPr>
          <w:p w:rsidR="00543DCA" w:rsidRPr="003E5811" w:rsidRDefault="00543DCA" w:rsidP="00B537BF">
            <w:pPr>
              <w:keepLines/>
              <w:widowControl w:val="0"/>
              <w:suppressAutoHyphens/>
              <w:spacing w:before="60" w:after="60"/>
              <w:rPr>
                <w:rFonts w:cs="Arial"/>
                <w:snapToGrid w:val="0"/>
                <w:color w:val="000000"/>
                <w:sz w:val="14"/>
                <w:szCs w:val="14"/>
                <w:lang w:val="en-GB"/>
              </w:rPr>
            </w:pPr>
            <w:r w:rsidRPr="003E5811">
              <w:rPr>
                <w:rFonts w:cs="Arial"/>
                <w:snapToGrid w:val="0"/>
                <w:color w:val="000000"/>
                <w:sz w:val="14"/>
                <w:szCs w:val="14"/>
                <w:lang w:val="en-GB"/>
              </w:rPr>
              <w:t>For epidemiological or population screening purposes, the fasting or 2 h value after 75 g oral glucose may be used alone. For clinical purposes, the diagnosis of diabetes should always be confirmed by repeating the test on another day, unless there is unequivocal hyperglycaemia with acute metabolic decompensation or obvious symptoms. Glucose concentrations should not be determined on serum unless red cells are immediately removed, otherwise glycolysis will result in an unpredictable underestimation of the true concentrations. It should be stressed that glucose preservatives do not totally prevent glycolysis. If whole blood is used, the sample should be kept at 0–4</w:t>
            </w:r>
            <w:r w:rsidRPr="003E5811">
              <w:rPr>
                <w:rFonts w:cs="Arial"/>
                <w:snapToGrid w:val="0"/>
                <w:color w:val="000000"/>
                <w:sz w:val="14"/>
                <w:szCs w:val="14"/>
                <w:vertAlign w:val="superscript"/>
                <w:lang w:val="en-GB"/>
              </w:rPr>
              <w:t>o</w:t>
            </w:r>
            <w:r w:rsidRPr="003E5811">
              <w:rPr>
                <w:rFonts w:cs="Arial"/>
                <w:snapToGrid w:val="0"/>
                <w:color w:val="000000"/>
                <w:sz w:val="14"/>
                <w:szCs w:val="14"/>
                <w:lang w:val="en-GB"/>
              </w:rPr>
              <w:t xml:space="preserve">C or centrifuged immediately, or assayed immediately. Table reproduced with permission from Alberti KGMM, Zimmet PZ. Definition, diagnosis and classification of diabetes mellitus and its complications. Part 1: diagnosis and classification of diabetes mellitus. Provisional Report of a WHO Consultation. </w:t>
            </w:r>
            <w:r w:rsidRPr="003E5811">
              <w:rPr>
                <w:rFonts w:cs="Arial"/>
                <w:i/>
                <w:snapToGrid w:val="0"/>
                <w:color w:val="000000"/>
                <w:sz w:val="14"/>
                <w:szCs w:val="14"/>
                <w:lang w:val="en-GB"/>
              </w:rPr>
              <w:t>Diabet Med</w:t>
            </w:r>
            <w:r w:rsidRPr="003E5811">
              <w:rPr>
                <w:rFonts w:cs="Arial"/>
                <w:snapToGrid w:val="0"/>
                <w:color w:val="000000"/>
                <w:sz w:val="14"/>
                <w:szCs w:val="14"/>
                <w:lang w:val="en-GB"/>
              </w:rPr>
              <w:t xml:space="preserve"> 1998; 15: 539–553. Copyright John Wiley &amp; Sons Limited. </w:t>
            </w:r>
          </w:p>
        </w:tc>
      </w:tr>
    </w:tbl>
    <w:bookmarkStart w:id="354" w:name="_Toc144874774"/>
    <w:bookmarkStart w:id="355" w:name="_Toc144875363"/>
    <w:p w:rsidR="00D8141B" w:rsidRPr="003E5811" w:rsidRDefault="00EC3105" w:rsidP="003E5811">
      <w:pPr>
        <w:pStyle w:val="Heading3"/>
        <w:spacing w:before="0" w:after="120"/>
        <w:rPr>
          <w:sz w:val="24"/>
          <w:szCs w:val="24"/>
        </w:rPr>
      </w:pPr>
      <w:r w:rsidRPr="003E5811">
        <w:rPr>
          <w:noProof/>
          <w:sz w:val="24"/>
          <w:szCs w:val="24"/>
          <w:lang w:val="en-AU" w:eastAsia="en-AU"/>
        </w:rPr>
        <w:lastRenderedPageBreak/>
        <mc:AlternateContent>
          <mc:Choice Requires="wps">
            <w:drawing>
              <wp:anchor distT="152400" distB="152400" distL="152400" distR="152400" simplePos="0" relativeHeight="251663360" behindDoc="0" locked="1" layoutInCell="0" allowOverlap="1" wp14:anchorId="22D51684" wp14:editId="63CD8B8F">
                <wp:simplePos x="0" y="0"/>
                <wp:positionH relativeFrom="margin">
                  <wp:posOffset>3017520</wp:posOffset>
                </wp:positionH>
                <wp:positionV relativeFrom="margin">
                  <wp:posOffset>0</wp:posOffset>
                </wp:positionV>
                <wp:extent cx="2834640" cy="4823460"/>
                <wp:effectExtent l="0" t="0" r="22860" b="15240"/>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823460"/>
                        </a:xfrm>
                        <a:prstGeom prst="rect">
                          <a:avLst/>
                        </a:prstGeom>
                        <a:solidFill>
                          <a:srgbClr val="FFFFFF"/>
                        </a:solidFill>
                        <a:ln w="9525">
                          <a:solidFill>
                            <a:srgbClr val="000000"/>
                          </a:solidFill>
                          <a:miter lim="800000"/>
                          <a:headEnd/>
                          <a:tailEnd/>
                        </a:ln>
                      </wps:spPr>
                      <wps:txbx>
                        <w:txbxContent>
                          <w:p w:rsidR="006215EF" w:rsidRPr="003E5811" w:rsidRDefault="006215EF" w:rsidP="003E5811">
                            <w:pPr>
                              <w:pStyle w:val="Heading4"/>
                              <w:shd w:val="clear" w:color="auto" w:fill="D9D9D9" w:themeFill="background1" w:themeFillShade="D9"/>
                              <w:spacing w:before="0"/>
                              <w:jc w:val="center"/>
                              <w:rPr>
                                <w:rFonts w:ascii="Arial" w:hAnsi="Arial" w:cs="Arial"/>
                                <w:bCs/>
                              </w:rPr>
                            </w:pPr>
                            <w:r w:rsidRPr="003E5811">
                              <w:rPr>
                                <w:rFonts w:ascii="Arial" w:hAnsi="Arial" w:cs="Arial"/>
                                <w:bCs/>
                              </w:rPr>
                              <w:t>2: Aetiological classification of disorders of glycaemia*</w:t>
                            </w:r>
                          </w:p>
                          <w:p w:rsidR="006215EF" w:rsidRDefault="006215EF" w:rsidP="00D8141B">
                            <w:pPr>
                              <w:pStyle w:val="Nortable"/>
                              <w:keepNext/>
                              <w:pBdr>
                                <w:top w:val="single" w:sz="4" w:space="1" w:color="auto"/>
                              </w:pBdr>
                              <w:rPr>
                                <w:rFonts w:ascii="Arial" w:hAnsi="Arial" w:cs="Arial"/>
                              </w:rPr>
                            </w:pPr>
                            <w:r>
                              <w:rPr>
                                <w:rFonts w:ascii="Arial" w:hAnsi="Arial" w:cs="Arial"/>
                                <w:b/>
                                <w:bCs/>
                              </w:rPr>
                              <w:t>Type 1</w:t>
                            </w:r>
                            <w:r>
                              <w:rPr>
                                <w:rFonts w:ascii="Arial" w:hAnsi="Arial" w:cs="Arial"/>
                              </w:rPr>
                              <w:t xml:space="preserve"> (</w:t>
                            </w:r>
                            <w:r>
                              <w:rPr>
                                <w:rFonts w:ascii="Arial" w:hAnsi="Arial" w:cs="Arial"/>
                              </w:rPr>
                              <w:sym w:font="Symbol" w:char="F062"/>
                            </w:r>
                            <w:r>
                              <w:rPr>
                                <w:rFonts w:ascii="Arial" w:hAnsi="Arial" w:cs="Arial"/>
                              </w:rPr>
                              <w:t xml:space="preserve">-cell destruction, usually leading to absolute insulin deficiency) </w:t>
                            </w:r>
                          </w:p>
                          <w:p w:rsidR="006215EF" w:rsidRDefault="006215EF" w:rsidP="0081060E">
                            <w:pPr>
                              <w:pStyle w:val="Nortable"/>
                              <w:keepNext/>
                              <w:numPr>
                                <w:ilvl w:val="0"/>
                                <w:numId w:val="23"/>
                              </w:numPr>
                              <w:rPr>
                                <w:rFonts w:ascii="Arial" w:hAnsi="Arial" w:cs="Arial"/>
                              </w:rPr>
                            </w:pPr>
                            <w:r>
                              <w:rPr>
                                <w:rFonts w:ascii="Arial" w:hAnsi="Arial" w:cs="Arial"/>
                              </w:rPr>
                              <w:t>Autoimmune</w:t>
                            </w:r>
                          </w:p>
                          <w:p w:rsidR="006215EF" w:rsidRDefault="006215EF" w:rsidP="0081060E">
                            <w:pPr>
                              <w:pStyle w:val="Nortable"/>
                              <w:keepNext/>
                              <w:numPr>
                                <w:ilvl w:val="0"/>
                                <w:numId w:val="23"/>
                              </w:numPr>
                              <w:rPr>
                                <w:rFonts w:ascii="Arial" w:hAnsi="Arial" w:cs="Arial"/>
                              </w:rPr>
                            </w:pPr>
                            <w:r>
                              <w:rPr>
                                <w:rFonts w:ascii="Arial" w:hAnsi="Arial" w:cs="Arial"/>
                              </w:rPr>
                              <w:t xml:space="preserve">Idiopathic </w:t>
                            </w:r>
                          </w:p>
                          <w:p w:rsidR="006215EF" w:rsidRDefault="006215EF" w:rsidP="00D8141B">
                            <w:pPr>
                              <w:pStyle w:val="Nortable"/>
                              <w:keepNext/>
                              <w:spacing w:before="80"/>
                              <w:rPr>
                                <w:rFonts w:ascii="Arial" w:hAnsi="Arial" w:cs="Arial"/>
                              </w:rPr>
                            </w:pPr>
                            <w:r>
                              <w:rPr>
                                <w:rFonts w:ascii="Arial" w:hAnsi="Arial" w:cs="Arial"/>
                                <w:b/>
                                <w:bCs/>
                              </w:rPr>
                              <w:t>Type 2</w:t>
                            </w:r>
                            <w:r>
                              <w:rPr>
                                <w:rFonts w:ascii="Arial" w:hAnsi="Arial" w:cs="Arial"/>
                              </w:rPr>
                              <w:t xml:space="preserve"> (may range from predominantly insulin resistance with relative insulin deficiency to a predominantly secretory defect with or without insulin resistance) </w:t>
                            </w:r>
                          </w:p>
                          <w:p w:rsidR="006215EF" w:rsidRDefault="006215EF" w:rsidP="00D8141B">
                            <w:pPr>
                              <w:pStyle w:val="Nortable"/>
                              <w:keepNext/>
                              <w:spacing w:before="80"/>
                              <w:rPr>
                                <w:rFonts w:ascii="Arial" w:hAnsi="Arial" w:cs="Arial"/>
                                <w:b/>
                                <w:bCs/>
                              </w:rPr>
                            </w:pPr>
                            <w:r>
                              <w:rPr>
                                <w:rFonts w:ascii="Arial" w:hAnsi="Arial" w:cs="Arial"/>
                                <w:b/>
                                <w:bCs/>
                              </w:rPr>
                              <w:t xml:space="preserve">Other specific types </w:t>
                            </w:r>
                          </w:p>
                          <w:p w:rsidR="006215EF" w:rsidRDefault="006215EF" w:rsidP="0081060E">
                            <w:pPr>
                              <w:pStyle w:val="Nortable"/>
                              <w:keepNext/>
                              <w:numPr>
                                <w:ilvl w:val="0"/>
                                <w:numId w:val="24"/>
                              </w:numPr>
                              <w:spacing w:before="0"/>
                              <w:rPr>
                                <w:rFonts w:ascii="Arial" w:hAnsi="Arial" w:cs="Arial"/>
                              </w:rPr>
                            </w:pPr>
                            <w:r>
                              <w:rPr>
                                <w:rFonts w:ascii="Arial" w:hAnsi="Arial" w:cs="Arial"/>
                              </w:rPr>
                              <w:t xml:space="preserve">Genetic defects of </w:t>
                            </w:r>
                            <w:r>
                              <w:rPr>
                                <w:rFonts w:ascii="Arial" w:hAnsi="Arial" w:cs="Arial"/>
                              </w:rPr>
                              <w:sym w:font="Symbol" w:char="F062"/>
                            </w:r>
                            <w:r>
                              <w:rPr>
                                <w:rFonts w:ascii="Arial" w:hAnsi="Arial" w:cs="Arial"/>
                              </w:rPr>
                              <w:t>-cell function</w:t>
                            </w:r>
                          </w:p>
                          <w:p w:rsidR="006215EF" w:rsidRDefault="006215EF" w:rsidP="0081060E">
                            <w:pPr>
                              <w:pStyle w:val="Nortable"/>
                              <w:keepNext/>
                              <w:numPr>
                                <w:ilvl w:val="0"/>
                                <w:numId w:val="24"/>
                              </w:numPr>
                              <w:spacing w:before="0"/>
                              <w:rPr>
                                <w:rFonts w:ascii="Arial" w:hAnsi="Arial" w:cs="Arial"/>
                              </w:rPr>
                            </w:pPr>
                            <w:r>
                              <w:rPr>
                                <w:rFonts w:ascii="Arial" w:hAnsi="Arial" w:cs="Arial"/>
                              </w:rPr>
                              <w:t>Genetic defects in insulin action</w:t>
                            </w:r>
                          </w:p>
                          <w:p w:rsidR="006215EF" w:rsidRDefault="006215EF" w:rsidP="0081060E">
                            <w:pPr>
                              <w:pStyle w:val="Nortable"/>
                              <w:keepNext/>
                              <w:numPr>
                                <w:ilvl w:val="0"/>
                                <w:numId w:val="24"/>
                              </w:numPr>
                              <w:spacing w:before="0"/>
                              <w:rPr>
                                <w:rFonts w:ascii="Arial" w:hAnsi="Arial" w:cs="Arial"/>
                              </w:rPr>
                            </w:pPr>
                            <w:r>
                              <w:rPr>
                                <w:rFonts w:ascii="Arial" w:hAnsi="Arial" w:cs="Arial"/>
                              </w:rPr>
                              <w:t>Diseases of the exocrine pancreas</w:t>
                            </w:r>
                          </w:p>
                          <w:p w:rsidR="006215EF" w:rsidRDefault="006215EF" w:rsidP="0081060E">
                            <w:pPr>
                              <w:pStyle w:val="Nortable"/>
                              <w:keepNext/>
                              <w:numPr>
                                <w:ilvl w:val="0"/>
                                <w:numId w:val="24"/>
                              </w:numPr>
                              <w:spacing w:before="0"/>
                              <w:rPr>
                                <w:rFonts w:ascii="Arial" w:hAnsi="Arial" w:cs="Arial"/>
                              </w:rPr>
                            </w:pPr>
                            <w:r>
                              <w:rPr>
                                <w:rFonts w:ascii="Arial" w:hAnsi="Arial" w:cs="Arial"/>
                              </w:rPr>
                              <w:t>Endocrinopathies</w:t>
                            </w:r>
                          </w:p>
                          <w:p w:rsidR="006215EF" w:rsidRDefault="006215EF" w:rsidP="0081060E">
                            <w:pPr>
                              <w:pStyle w:val="Nortable"/>
                              <w:keepNext/>
                              <w:numPr>
                                <w:ilvl w:val="0"/>
                                <w:numId w:val="24"/>
                              </w:numPr>
                              <w:spacing w:before="0"/>
                              <w:rPr>
                                <w:rFonts w:ascii="Arial" w:hAnsi="Arial" w:cs="Arial"/>
                              </w:rPr>
                            </w:pPr>
                            <w:r>
                              <w:rPr>
                                <w:rFonts w:ascii="Arial" w:hAnsi="Arial" w:cs="Arial"/>
                              </w:rPr>
                              <w:t>Drug or chemical induced</w:t>
                            </w:r>
                          </w:p>
                          <w:p w:rsidR="006215EF" w:rsidRDefault="006215EF" w:rsidP="0081060E">
                            <w:pPr>
                              <w:pStyle w:val="Nortable"/>
                              <w:keepNext/>
                              <w:numPr>
                                <w:ilvl w:val="0"/>
                                <w:numId w:val="24"/>
                              </w:numPr>
                              <w:spacing w:before="0"/>
                              <w:rPr>
                                <w:rFonts w:ascii="Arial" w:hAnsi="Arial" w:cs="Arial"/>
                              </w:rPr>
                            </w:pPr>
                            <w:r>
                              <w:rPr>
                                <w:rFonts w:ascii="Arial" w:hAnsi="Arial" w:cs="Arial"/>
                              </w:rPr>
                              <w:t>Infections</w:t>
                            </w:r>
                          </w:p>
                          <w:p w:rsidR="006215EF" w:rsidRDefault="006215EF" w:rsidP="0081060E">
                            <w:pPr>
                              <w:pStyle w:val="Nortable"/>
                              <w:keepNext/>
                              <w:numPr>
                                <w:ilvl w:val="0"/>
                                <w:numId w:val="24"/>
                              </w:numPr>
                              <w:spacing w:before="0"/>
                              <w:rPr>
                                <w:rFonts w:ascii="Arial" w:hAnsi="Arial" w:cs="Arial"/>
                              </w:rPr>
                            </w:pPr>
                            <w:r>
                              <w:rPr>
                                <w:rFonts w:ascii="Arial" w:hAnsi="Arial" w:cs="Arial"/>
                              </w:rPr>
                              <w:t>Uncommon forms of immune-mediated diabetes</w:t>
                            </w:r>
                          </w:p>
                          <w:p w:rsidR="006215EF" w:rsidRDefault="006215EF" w:rsidP="0081060E">
                            <w:pPr>
                              <w:pStyle w:val="Nortable"/>
                              <w:keepNext/>
                              <w:numPr>
                                <w:ilvl w:val="0"/>
                                <w:numId w:val="24"/>
                              </w:numPr>
                              <w:spacing w:before="0"/>
                              <w:rPr>
                                <w:rFonts w:ascii="Arial" w:hAnsi="Arial" w:cs="Arial"/>
                              </w:rPr>
                            </w:pPr>
                            <w:r>
                              <w:rPr>
                                <w:rFonts w:ascii="Arial" w:hAnsi="Arial" w:cs="Arial"/>
                              </w:rPr>
                              <w:t>Other genetic syndromes sometimes associated withdiabetes</w:t>
                            </w:r>
                          </w:p>
                          <w:p w:rsidR="006215EF" w:rsidRDefault="006215EF" w:rsidP="00D8141B">
                            <w:pPr>
                              <w:pStyle w:val="Nortable"/>
                              <w:keepNext/>
                              <w:pBdr>
                                <w:bottom w:val="single" w:sz="4" w:space="1" w:color="auto"/>
                              </w:pBdr>
                              <w:rPr>
                                <w:rFonts w:ascii="Arial" w:hAnsi="Arial" w:cs="Arial"/>
                                <w:b/>
                                <w:bCs/>
                              </w:rPr>
                            </w:pPr>
                            <w:r>
                              <w:rPr>
                                <w:rFonts w:ascii="Arial" w:hAnsi="Arial" w:cs="Arial"/>
                                <w:b/>
                                <w:bCs/>
                              </w:rPr>
                              <w:t xml:space="preserve">Gestational diabetes </w:t>
                            </w:r>
                          </w:p>
                          <w:p w:rsidR="006215EF" w:rsidRDefault="006215EF" w:rsidP="00D8141B">
                            <w:pPr>
                              <w:pStyle w:val="Nortabfoot"/>
                              <w:rPr>
                                <w:rFonts w:ascii="Arial" w:hAnsi="Arial" w:cs="Arial"/>
                                <w:sz w:val="14"/>
                              </w:rPr>
                            </w:pPr>
                            <w:r>
                              <w:rPr>
                                <w:rFonts w:ascii="Arial" w:hAnsi="Arial" w:cs="Arial"/>
                                <w:sz w:val="14"/>
                              </w:rPr>
                              <w:t>* As additional subtypes are discovered, it is anticipated they will be reclassified within their own specific category. Includes the former categories of gestational impaired glucose tolerance and gestational diabetes. Table reproduced with permission from Alberti KGMM, Zimmet PZ. Definition, diagnosis and classification of diabetes mellitus and its complications. Part 1: diagnosis and classification of diabetes mellitus. Provisional Report of a WHO Consultation. Diabet Med 1998; 15: 539-553. Copyright John Wiley &amp; Sons Limited.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51684" id="Text Box 7" o:spid="_x0000_s1034" type="#_x0000_t202" style="position:absolute;margin-left:237.6pt;margin-top:0;width:223.2pt;height:379.8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" o:allowincell="f">
                <v:textbox>
                  <w:txbxContent>
                    <w:p w:rsidR="006215EF" w:rsidRPr="003E5811" w:rsidRDefault="006215EF" w:rsidP="003E5811">
                      <w:pPr>
                        <w:pStyle w:val="Heading4"/>
                        <w:shd w:val="clear" w:color="auto" w:fill="D9D9D9" w:themeFill="background1" w:themeFillShade="D9"/>
                        <w:spacing w:before="0"/>
                        <w:jc w:val="center"/>
                        <w:rPr>
                          <w:rFonts w:ascii="Arial" w:hAnsi="Arial" w:cs="Arial"/>
                          <w:bCs/>
                        </w:rPr>
                      </w:pPr>
                      <w:r w:rsidRPr="003E5811">
                        <w:rPr>
                          <w:rFonts w:ascii="Arial" w:hAnsi="Arial" w:cs="Arial"/>
                          <w:bCs/>
                        </w:rPr>
                        <w:t>2: Aetiological classification of disorders of glycaemia*</w:t>
                      </w:r>
                    </w:p>
                    <w:p w:rsidR="006215EF" w:rsidRDefault="006215EF" w:rsidP="00D8141B">
                      <w:pPr>
                        <w:pStyle w:val="Nortable"/>
                        <w:keepNext/>
                        <w:pBdr>
                          <w:top w:val="single" w:sz="4" w:space="1" w:color="auto"/>
                        </w:pBdr>
                        <w:rPr>
                          <w:rFonts w:ascii="Arial" w:hAnsi="Arial" w:cs="Arial"/>
                        </w:rPr>
                      </w:pPr>
                      <w:r>
                        <w:rPr>
                          <w:rFonts w:ascii="Arial" w:hAnsi="Arial" w:cs="Arial"/>
                          <w:b/>
                          <w:bCs/>
                        </w:rPr>
                        <w:t>Type 1</w:t>
                      </w:r>
                      <w:r>
                        <w:rPr>
                          <w:rFonts w:ascii="Arial" w:hAnsi="Arial" w:cs="Arial"/>
                        </w:rPr>
                        <w:t xml:space="preserve"> (</w:t>
                      </w:r>
                      <w:r>
                        <w:rPr>
                          <w:rFonts w:ascii="Arial" w:hAnsi="Arial" w:cs="Arial"/>
                        </w:rPr>
                        <w:sym w:font="Symbol" w:char="F062"/>
                      </w:r>
                      <w:r>
                        <w:rPr>
                          <w:rFonts w:ascii="Arial" w:hAnsi="Arial" w:cs="Arial"/>
                        </w:rPr>
                        <w:t xml:space="preserve">-cell destruction, usually leading to absolute insulin deficiency) </w:t>
                      </w:r>
                    </w:p>
                    <w:p w:rsidR="006215EF" w:rsidRDefault="006215EF" w:rsidP="0081060E">
                      <w:pPr>
                        <w:pStyle w:val="Nortable"/>
                        <w:keepNext/>
                        <w:numPr>
                          <w:ilvl w:val="0"/>
                          <w:numId w:val="23"/>
                        </w:numPr>
                        <w:rPr>
                          <w:rFonts w:ascii="Arial" w:hAnsi="Arial" w:cs="Arial"/>
                        </w:rPr>
                      </w:pPr>
                      <w:r>
                        <w:rPr>
                          <w:rFonts w:ascii="Arial" w:hAnsi="Arial" w:cs="Arial"/>
                        </w:rPr>
                        <w:t>Autoimmune</w:t>
                      </w:r>
                    </w:p>
                    <w:p w:rsidR="006215EF" w:rsidRDefault="006215EF" w:rsidP="0081060E">
                      <w:pPr>
                        <w:pStyle w:val="Nortable"/>
                        <w:keepNext/>
                        <w:numPr>
                          <w:ilvl w:val="0"/>
                          <w:numId w:val="23"/>
                        </w:numPr>
                        <w:rPr>
                          <w:rFonts w:ascii="Arial" w:hAnsi="Arial" w:cs="Arial"/>
                        </w:rPr>
                      </w:pPr>
                      <w:r>
                        <w:rPr>
                          <w:rFonts w:ascii="Arial" w:hAnsi="Arial" w:cs="Arial"/>
                        </w:rPr>
                        <w:t xml:space="preserve">Idiopathic </w:t>
                      </w:r>
                    </w:p>
                    <w:p w:rsidR="006215EF" w:rsidRDefault="006215EF" w:rsidP="00D8141B">
                      <w:pPr>
                        <w:pStyle w:val="Nortable"/>
                        <w:keepNext/>
                        <w:spacing w:before="80"/>
                        <w:rPr>
                          <w:rFonts w:ascii="Arial" w:hAnsi="Arial" w:cs="Arial"/>
                        </w:rPr>
                      </w:pPr>
                      <w:r>
                        <w:rPr>
                          <w:rFonts w:ascii="Arial" w:hAnsi="Arial" w:cs="Arial"/>
                          <w:b/>
                          <w:bCs/>
                        </w:rPr>
                        <w:t>Type 2</w:t>
                      </w:r>
                      <w:r>
                        <w:rPr>
                          <w:rFonts w:ascii="Arial" w:hAnsi="Arial" w:cs="Arial"/>
                        </w:rPr>
                        <w:t xml:space="preserve"> (may range from predominantly insulin resistance with relative insulin deficiency to a predominantly secretory defect with or without insulin resistance) </w:t>
                      </w:r>
                    </w:p>
                    <w:p w:rsidR="006215EF" w:rsidRDefault="006215EF" w:rsidP="00D8141B">
                      <w:pPr>
                        <w:pStyle w:val="Nortable"/>
                        <w:keepNext/>
                        <w:spacing w:before="80"/>
                        <w:rPr>
                          <w:rFonts w:ascii="Arial" w:hAnsi="Arial" w:cs="Arial"/>
                          <w:b/>
                          <w:bCs/>
                        </w:rPr>
                      </w:pPr>
                      <w:r>
                        <w:rPr>
                          <w:rFonts w:ascii="Arial" w:hAnsi="Arial" w:cs="Arial"/>
                          <w:b/>
                          <w:bCs/>
                        </w:rPr>
                        <w:t xml:space="preserve">Other specific types </w:t>
                      </w:r>
                    </w:p>
                    <w:p w:rsidR="006215EF" w:rsidRDefault="006215EF" w:rsidP="0081060E">
                      <w:pPr>
                        <w:pStyle w:val="Nortable"/>
                        <w:keepNext/>
                        <w:numPr>
                          <w:ilvl w:val="0"/>
                          <w:numId w:val="24"/>
                        </w:numPr>
                        <w:spacing w:before="0"/>
                        <w:rPr>
                          <w:rFonts w:ascii="Arial" w:hAnsi="Arial" w:cs="Arial"/>
                        </w:rPr>
                      </w:pPr>
                      <w:r>
                        <w:rPr>
                          <w:rFonts w:ascii="Arial" w:hAnsi="Arial" w:cs="Arial"/>
                        </w:rPr>
                        <w:t xml:space="preserve">Genetic defects of </w:t>
                      </w:r>
                      <w:r>
                        <w:rPr>
                          <w:rFonts w:ascii="Arial" w:hAnsi="Arial" w:cs="Arial"/>
                        </w:rPr>
                        <w:sym w:font="Symbol" w:char="F062"/>
                      </w:r>
                      <w:r>
                        <w:rPr>
                          <w:rFonts w:ascii="Arial" w:hAnsi="Arial" w:cs="Arial"/>
                        </w:rPr>
                        <w:t>-cell function</w:t>
                      </w:r>
                    </w:p>
                    <w:p w:rsidR="006215EF" w:rsidRDefault="006215EF" w:rsidP="0081060E">
                      <w:pPr>
                        <w:pStyle w:val="Nortable"/>
                        <w:keepNext/>
                        <w:numPr>
                          <w:ilvl w:val="0"/>
                          <w:numId w:val="24"/>
                        </w:numPr>
                        <w:spacing w:before="0"/>
                        <w:rPr>
                          <w:rFonts w:ascii="Arial" w:hAnsi="Arial" w:cs="Arial"/>
                        </w:rPr>
                      </w:pPr>
                      <w:r>
                        <w:rPr>
                          <w:rFonts w:ascii="Arial" w:hAnsi="Arial" w:cs="Arial"/>
                        </w:rPr>
                        <w:t>Genetic defects in insulin action</w:t>
                      </w:r>
                    </w:p>
                    <w:p w:rsidR="006215EF" w:rsidRDefault="006215EF" w:rsidP="0081060E">
                      <w:pPr>
                        <w:pStyle w:val="Nortable"/>
                        <w:keepNext/>
                        <w:numPr>
                          <w:ilvl w:val="0"/>
                          <w:numId w:val="24"/>
                        </w:numPr>
                        <w:spacing w:before="0"/>
                        <w:rPr>
                          <w:rFonts w:ascii="Arial" w:hAnsi="Arial" w:cs="Arial"/>
                        </w:rPr>
                      </w:pPr>
                      <w:r>
                        <w:rPr>
                          <w:rFonts w:ascii="Arial" w:hAnsi="Arial" w:cs="Arial"/>
                        </w:rPr>
                        <w:t>Diseases of the exocrine pancreas</w:t>
                      </w:r>
                    </w:p>
                    <w:p w:rsidR="006215EF" w:rsidRDefault="006215EF" w:rsidP="0081060E">
                      <w:pPr>
                        <w:pStyle w:val="Nortable"/>
                        <w:keepNext/>
                        <w:numPr>
                          <w:ilvl w:val="0"/>
                          <w:numId w:val="24"/>
                        </w:numPr>
                        <w:spacing w:before="0"/>
                        <w:rPr>
                          <w:rFonts w:ascii="Arial" w:hAnsi="Arial" w:cs="Arial"/>
                        </w:rPr>
                      </w:pPr>
                      <w:r>
                        <w:rPr>
                          <w:rFonts w:ascii="Arial" w:hAnsi="Arial" w:cs="Arial"/>
                        </w:rPr>
                        <w:t>Endocrinopathies</w:t>
                      </w:r>
                    </w:p>
                    <w:p w:rsidR="006215EF" w:rsidRDefault="006215EF" w:rsidP="0081060E">
                      <w:pPr>
                        <w:pStyle w:val="Nortable"/>
                        <w:keepNext/>
                        <w:numPr>
                          <w:ilvl w:val="0"/>
                          <w:numId w:val="24"/>
                        </w:numPr>
                        <w:spacing w:before="0"/>
                        <w:rPr>
                          <w:rFonts w:ascii="Arial" w:hAnsi="Arial" w:cs="Arial"/>
                        </w:rPr>
                      </w:pPr>
                      <w:r>
                        <w:rPr>
                          <w:rFonts w:ascii="Arial" w:hAnsi="Arial" w:cs="Arial"/>
                        </w:rPr>
                        <w:t>Drug or chemical induced</w:t>
                      </w:r>
                    </w:p>
                    <w:p w:rsidR="006215EF" w:rsidRDefault="006215EF" w:rsidP="0081060E">
                      <w:pPr>
                        <w:pStyle w:val="Nortable"/>
                        <w:keepNext/>
                        <w:numPr>
                          <w:ilvl w:val="0"/>
                          <w:numId w:val="24"/>
                        </w:numPr>
                        <w:spacing w:before="0"/>
                        <w:rPr>
                          <w:rFonts w:ascii="Arial" w:hAnsi="Arial" w:cs="Arial"/>
                        </w:rPr>
                      </w:pPr>
                      <w:r>
                        <w:rPr>
                          <w:rFonts w:ascii="Arial" w:hAnsi="Arial" w:cs="Arial"/>
                        </w:rPr>
                        <w:t>Infections</w:t>
                      </w:r>
                    </w:p>
                    <w:p w:rsidR="006215EF" w:rsidRDefault="006215EF" w:rsidP="0081060E">
                      <w:pPr>
                        <w:pStyle w:val="Nortable"/>
                        <w:keepNext/>
                        <w:numPr>
                          <w:ilvl w:val="0"/>
                          <w:numId w:val="24"/>
                        </w:numPr>
                        <w:spacing w:before="0"/>
                        <w:rPr>
                          <w:rFonts w:ascii="Arial" w:hAnsi="Arial" w:cs="Arial"/>
                        </w:rPr>
                      </w:pPr>
                      <w:r>
                        <w:rPr>
                          <w:rFonts w:ascii="Arial" w:hAnsi="Arial" w:cs="Arial"/>
                        </w:rPr>
                        <w:t>Uncommon forms of immune-mediated diabetes</w:t>
                      </w:r>
                    </w:p>
                    <w:p w:rsidR="006215EF" w:rsidRDefault="006215EF" w:rsidP="0081060E">
                      <w:pPr>
                        <w:pStyle w:val="Nortable"/>
                        <w:keepNext/>
                        <w:numPr>
                          <w:ilvl w:val="0"/>
                          <w:numId w:val="24"/>
                        </w:numPr>
                        <w:spacing w:before="0"/>
                        <w:rPr>
                          <w:rFonts w:ascii="Arial" w:hAnsi="Arial" w:cs="Arial"/>
                        </w:rPr>
                      </w:pPr>
                      <w:r>
                        <w:rPr>
                          <w:rFonts w:ascii="Arial" w:hAnsi="Arial" w:cs="Arial"/>
                        </w:rPr>
                        <w:t>Other genetic syndromes sometimes associated withdiabetes</w:t>
                      </w:r>
                    </w:p>
                    <w:p w:rsidR="006215EF" w:rsidRDefault="006215EF" w:rsidP="00D8141B">
                      <w:pPr>
                        <w:pStyle w:val="Nortable"/>
                        <w:keepNext/>
                        <w:pBdr>
                          <w:bottom w:val="single" w:sz="4" w:space="1" w:color="auto"/>
                        </w:pBdr>
                        <w:rPr>
                          <w:rFonts w:ascii="Arial" w:hAnsi="Arial" w:cs="Arial"/>
                          <w:b/>
                          <w:bCs/>
                        </w:rPr>
                      </w:pPr>
                      <w:r>
                        <w:rPr>
                          <w:rFonts w:ascii="Arial" w:hAnsi="Arial" w:cs="Arial"/>
                          <w:b/>
                          <w:bCs/>
                        </w:rPr>
                        <w:t xml:space="preserve">Gestational diabetes </w:t>
                      </w:r>
                    </w:p>
                    <w:p w:rsidR="006215EF" w:rsidRDefault="006215EF" w:rsidP="00D8141B">
                      <w:pPr>
                        <w:pStyle w:val="Nortabfoot"/>
                        <w:rPr>
                          <w:rFonts w:ascii="Arial" w:hAnsi="Arial" w:cs="Arial"/>
                          <w:sz w:val="14"/>
                        </w:rPr>
                      </w:pPr>
                      <w:r>
                        <w:rPr>
                          <w:rFonts w:ascii="Arial" w:hAnsi="Arial" w:cs="Arial"/>
                          <w:sz w:val="14"/>
                        </w:rPr>
                        <w:t>* As additional subtypes are discovered, it is anticipated they will be reclassified within their own specific category. Includes the former categories of gestational impaired glucose tolerance and gestational diabetes. Table reproduced with permission from Alberti KGMM, Zimmet PZ. Definition, diagnosis and classification of diabetes mellitus and its complications. Part 1: diagnosis and classification of diabetes mellitus. Provisional Report of a WHO Consultation. Diabet Med 1998; 15: 539-553. Copyright John Wiley &amp; Sons Limited.</w:t>
                      </w:r>
                    </w:p>
                  </w:txbxContent>
                </v:textbox>
                <w10:wrap type="square" anchorx="margin" anchory="margin"/>
                <w10:anchorlock/>
              </v:shape>
            </w:pict>
          </mc:Fallback>
        </mc:AlternateContent>
      </w:r>
      <w:r w:rsidR="00D8141B" w:rsidRPr="003E5811">
        <w:rPr>
          <w:sz w:val="24"/>
          <w:szCs w:val="24"/>
        </w:rPr>
        <w:t>What about the oral glucose tolerance test?</w:t>
      </w:r>
      <w:bookmarkEnd w:id="354"/>
      <w:bookmarkEnd w:id="355"/>
    </w:p>
    <w:p w:rsidR="00D8141B" w:rsidRPr="00D8141B" w:rsidRDefault="00D8141B" w:rsidP="003E5811">
      <w:pPr>
        <w:spacing w:line="240" w:lineRule="auto"/>
        <w:rPr>
          <w:rFonts w:eastAsia="Times New Roman" w:cs="Arial"/>
          <w:szCs w:val="20"/>
          <w:lang w:val="en-US"/>
        </w:rPr>
      </w:pPr>
      <w:r w:rsidRPr="00D8141B">
        <w:rPr>
          <w:rFonts w:eastAsia="Times New Roman" w:cs="Arial"/>
          <w:szCs w:val="20"/>
          <w:lang w:val="en-US"/>
        </w:rPr>
        <w:t xml:space="preserve">Previously, the oral glucose tolerance test (OGTT) was recommended in people with a fasting plasma glucose level of 5.5–7.7 mmol/L or random plasma glucose level of 7.8–11.0 mmol/L. After a 75 g glucose load, those with a 2 h plasma glucose level of &lt; 7.8 mmol/L were classified as normoglycaemic, of 7.8–11.0 mmol/L as having IGT and of </w:t>
      </w:r>
      <w:r w:rsidRPr="00D8141B">
        <w:rPr>
          <w:rFonts w:eastAsia="Times New Roman" w:cs="Arial"/>
          <w:sz w:val="20"/>
          <w:szCs w:val="20"/>
        </w:rPr>
        <w:t>≥</w:t>
      </w:r>
      <w:r w:rsidRPr="00D8141B">
        <w:rPr>
          <w:rFonts w:eastAsia="Times New Roman" w:cs="Arial"/>
          <w:szCs w:val="20"/>
          <w:lang w:val="en-US"/>
        </w:rPr>
        <w:t>11.1 mmol/L as having diabetes.</w:t>
      </w:r>
    </w:p>
    <w:p w:rsidR="00D8141B" w:rsidRPr="00D8141B" w:rsidRDefault="00D8141B" w:rsidP="003E5811">
      <w:pPr>
        <w:spacing w:line="240" w:lineRule="auto"/>
        <w:rPr>
          <w:rFonts w:eastAsia="Times New Roman" w:cs="Arial"/>
          <w:szCs w:val="20"/>
        </w:rPr>
      </w:pPr>
      <w:r w:rsidRPr="00D8141B">
        <w:rPr>
          <w:rFonts w:eastAsia="Times New Roman" w:cs="Arial"/>
          <w:szCs w:val="20"/>
        </w:rPr>
        <w:t>The new diagnostic criteria proposed by the ADA and WHO differ in their recommendations on use of the OGTT. The ADA makes a strong recommendation that fasting plasma glucose level can be used on its own and that, in general, the OGTT need not be used.</w:t>
      </w:r>
      <w:hyperlink r:id="rId32" w:anchor="refbody1" w:history="1">
        <w:r w:rsidRPr="00D8141B">
          <w:rPr>
            <w:rFonts w:eastAsia="Times New Roman" w:cs="Arial"/>
            <w:szCs w:val="20"/>
            <w:u w:val="single"/>
            <w:vertAlign w:val="superscript"/>
          </w:rPr>
          <w:t>1</w:t>
        </w:r>
      </w:hyperlink>
      <w:r w:rsidRPr="00D8141B">
        <w:rPr>
          <w:rFonts w:eastAsia="Times New Roman" w:cs="Arial"/>
          <w:szCs w:val="20"/>
        </w:rPr>
        <w:t xml:space="preserve"> The WHO group</w:t>
      </w:r>
      <w:hyperlink r:id="rId33" w:anchor="refbody2" w:history="1">
        <w:r w:rsidRPr="00D8141B">
          <w:rPr>
            <w:rFonts w:eastAsia="Times New Roman" w:cs="Arial"/>
            <w:szCs w:val="20"/>
            <w:u w:val="single"/>
            <w:vertAlign w:val="superscript"/>
          </w:rPr>
          <w:t>2</w:t>
        </w:r>
      </w:hyperlink>
      <w:r w:rsidRPr="00D8141B">
        <w:rPr>
          <w:rFonts w:eastAsia="Times New Roman" w:cs="Arial"/>
          <w:szCs w:val="20"/>
        </w:rPr>
        <w:t xml:space="preserve"> argues strongly for the retention of the OGTT and suggests using fasting plasma glucose level alone only when circumstances preven</w:t>
      </w:r>
      <w:r w:rsidR="003E5811">
        <w:rPr>
          <w:rFonts w:eastAsia="Times New Roman" w:cs="Arial"/>
          <w:szCs w:val="20"/>
        </w:rPr>
        <w:t>t the performance of the OGTT.</w:t>
      </w:r>
    </w:p>
    <w:p w:rsidR="00D8141B" w:rsidRPr="00D8141B" w:rsidRDefault="00D8141B" w:rsidP="003E5811">
      <w:pPr>
        <w:spacing w:line="240" w:lineRule="auto"/>
        <w:rPr>
          <w:rFonts w:eastAsia="Times New Roman" w:cs="Arial"/>
          <w:szCs w:val="20"/>
        </w:rPr>
      </w:pPr>
      <w:r w:rsidRPr="00D8141B">
        <w:rPr>
          <w:rFonts w:eastAsia="Times New Roman" w:cs="Arial"/>
          <w:szCs w:val="20"/>
        </w:rPr>
        <w:t>There are concerns that many people with a fasting plasma glucose level &lt; 7.0 mmol/L will have manifestly abnormal results on the OGTT and are at risk of microvascular and macrovascular complications. This has major ramifications for the approach to diabetes screening, particularly when the Australian National Diabetes Strategy proposal,</w:t>
      </w:r>
      <w:hyperlink r:id="rId34" w:anchor="refbody7" w:history="1">
        <w:r w:rsidRPr="00D8141B">
          <w:rPr>
            <w:rFonts w:eastAsia="Times New Roman" w:cs="Arial"/>
            <w:szCs w:val="20"/>
            <w:u w:val="single"/>
            <w:vertAlign w:val="superscript"/>
          </w:rPr>
          <w:t>7</w:t>
        </w:r>
      </w:hyperlink>
      <w:r w:rsidRPr="00D8141B">
        <w:rPr>
          <w:rFonts w:eastAsia="Times New Roman" w:cs="Arial"/>
          <w:szCs w:val="20"/>
        </w:rPr>
        <w:t xml:space="preserve"> launched in June 1998 by Dr Michael Wooldridge, then Federal Minister for Health and Aged Care, has early detection of typ</w:t>
      </w:r>
      <w:r w:rsidR="003E5811">
        <w:rPr>
          <w:rFonts w:eastAsia="Times New Roman" w:cs="Arial"/>
          <w:szCs w:val="20"/>
        </w:rPr>
        <w:t>e 2 diabetes as a key priority.</w:t>
      </w:r>
    </w:p>
    <w:p w:rsidR="00D8141B" w:rsidRPr="00D8141B" w:rsidRDefault="00D8141B" w:rsidP="003E5811">
      <w:pPr>
        <w:spacing w:line="240" w:lineRule="auto"/>
        <w:rPr>
          <w:rFonts w:eastAsia="Times New Roman" w:cs="Arial"/>
          <w:szCs w:val="20"/>
        </w:rPr>
      </w:pPr>
      <w:r w:rsidRPr="00D8141B">
        <w:rPr>
          <w:rFonts w:eastAsia="Times New Roman" w:cs="Arial"/>
          <w:b/>
          <w:bCs/>
          <w:szCs w:val="20"/>
        </w:rPr>
        <w:t>Recommendation:</w:t>
      </w:r>
      <w:r w:rsidRPr="00D8141B">
        <w:rPr>
          <w:rFonts w:eastAsia="Times New Roman" w:cs="Arial"/>
          <w:szCs w:val="20"/>
        </w:rPr>
        <w:t xml:space="preserve"> The Australasian Working Party on Diagnostic Criteria has major concerns about discontinuing use of the OGTT and recommends that a formal recommendation on its use in diabetes screening be withheld until the final WHO recommendation is made. However, in the interim, the OGTT should continue to be used.</w:t>
      </w:r>
    </w:p>
    <w:p w:rsidR="00D8141B" w:rsidRPr="003E5811" w:rsidRDefault="00D8141B" w:rsidP="003E5811">
      <w:pPr>
        <w:pStyle w:val="BodyText13"/>
        <w:numPr>
          <w:ilvl w:val="0"/>
          <w:numId w:val="0"/>
        </w:numPr>
        <w:spacing w:before="240" w:after="120"/>
        <w:ind w:left="709" w:hanging="709"/>
        <w:rPr>
          <w:b/>
          <w:sz w:val="24"/>
          <w:szCs w:val="24"/>
        </w:rPr>
      </w:pPr>
      <w:bookmarkStart w:id="356" w:name="_Toc144874775"/>
      <w:bookmarkStart w:id="357" w:name="_Toc144875364"/>
      <w:r w:rsidRPr="003E5811">
        <w:rPr>
          <w:b/>
          <w:sz w:val="24"/>
          <w:szCs w:val="24"/>
        </w:rPr>
        <w:t>Diabetes in pre</w:t>
      </w:r>
      <w:r w:rsidRPr="003E5811">
        <w:rPr>
          <w:rStyle w:val="Heading3Char"/>
          <w:b w:val="0"/>
          <w:sz w:val="24"/>
          <w:szCs w:val="24"/>
        </w:rPr>
        <w:t>g</w:t>
      </w:r>
      <w:r w:rsidRPr="003E5811">
        <w:rPr>
          <w:b/>
          <w:sz w:val="24"/>
          <w:szCs w:val="24"/>
        </w:rPr>
        <w:t>nancy</w:t>
      </w:r>
      <w:bookmarkEnd w:id="356"/>
      <w:bookmarkEnd w:id="357"/>
    </w:p>
    <w:p w:rsidR="00D8141B" w:rsidRPr="00D8141B" w:rsidRDefault="00D8141B" w:rsidP="00D8141B">
      <w:pPr>
        <w:spacing w:after="0" w:line="240" w:lineRule="auto"/>
        <w:rPr>
          <w:rFonts w:eastAsia="Times New Roman" w:cs="Arial"/>
          <w:szCs w:val="20"/>
          <w:lang w:val="en-US"/>
        </w:rPr>
      </w:pPr>
      <w:r w:rsidRPr="00D8141B">
        <w:rPr>
          <w:rFonts w:eastAsia="Times New Roman" w:cs="Arial"/>
          <w:szCs w:val="20"/>
          <w:lang w:val="en-US"/>
        </w:rPr>
        <w:t>The ADA has retained its old criteria for diagnosis of gestational diabetes.</w:t>
      </w:r>
      <w:hyperlink r:id="rId35" w:anchor="refbody1" w:history="1">
        <w:r w:rsidRPr="00D8141B">
          <w:rPr>
            <w:rFonts w:eastAsia="Times New Roman" w:cs="Arial"/>
            <w:color w:val="0000FF"/>
            <w:szCs w:val="20"/>
            <w:u w:val="single"/>
            <w:vertAlign w:val="superscript"/>
            <w:lang w:val="en-US"/>
          </w:rPr>
          <w:t>1</w:t>
        </w:r>
      </w:hyperlink>
      <w:r w:rsidRPr="00D8141B">
        <w:rPr>
          <w:rFonts w:eastAsia="Times New Roman" w:cs="Arial"/>
          <w:szCs w:val="20"/>
          <w:lang w:val="en-US"/>
        </w:rPr>
        <w:t xml:space="preserve"> These differ from those recommended by both WHO</w:t>
      </w:r>
      <w:hyperlink r:id="rId36" w:anchor="refbody2" w:history="1">
        <w:r w:rsidRPr="00D8141B">
          <w:rPr>
            <w:rFonts w:eastAsia="Times New Roman" w:cs="Arial"/>
            <w:color w:val="0000FF"/>
            <w:szCs w:val="20"/>
            <w:u w:val="single"/>
            <w:vertAlign w:val="superscript"/>
            <w:lang w:val="en-US"/>
          </w:rPr>
          <w:t>2</w:t>
        </w:r>
      </w:hyperlink>
      <w:r w:rsidRPr="00D8141B">
        <w:rPr>
          <w:rFonts w:eastAsia="Times New Roman" w:cs="Arial"/>
          <w:szCs w:val="20"/>
          <w:lang w:val="en-US"/>
        </w:rPr>
        <w:t xml:space="preserve"> and the Australian Working Party on Diabetes in Pregnancy</w:t>
      </w:r>
      <w:hyperlink r:id="rId37" w:anchor="refbody8" w:history="1">
        <w:r w:rsidRPr="00D8141B">
          <w:rPr>
            <w:rFonts w:eastAsia="Times New Roman" w:cs="Arial"/>
            <w:color w:val="0000FF"/>
            <w:szCs w:val="20"/>
            <w:u w:val="single"/>
            <w:vertAlign w:val="superscript"/>
            <w:lang w:val="en-US"/>
          </w:rPr>
          <w:t>8</w:t>
        </w:r>
      </w:hyperlink>
      <w:r w:rsidRPr="00D8141B">
        <w:rPr>
          <w:rFonts w:eastAsia="Times New Roman" w:cs="Arial"/>
          <w:szCs w:val="20"/>
          <w:lang w:val="en-US"/>
        </w:rPr>
        <w:t xml:space="preserve"> and are generally not recognised outside the United States. The new WHO statement retains the 1985 WHO recommendation that both IGT and diabetes should be classified as gestational diabetes. This is consistent with the recommendations of the Australasian Diabetes in Pregnancy Society, which recommended a diagnostic 2 h venous plasma glucose level on the OGTT of </w:t>
      </w:r>
      <w:r w:rsidRPr="00D8141B">
        <w:rPr>
          <w:rFonts w:eastAsia="Times New Roman" w:cs="Arial"/>
          <w:sz w:val="20"/>
          <w:szCs w:val="20"/>
        </w:rPr>
        <w:t>≥</w:t>
      </w:r>
      <w:r w:rsidRPr="00D8141B">
        <w:rPr>
          <w:rFonts w:eastAsia="Times New Roman" w:cs="Arial"/>
          <w:szCs w:val="20"/>
          <w:lang w:val="en-US"/>
        </w:rPr>
        <w:t xml:space="preserve">8.0 mmol/L. In New Zealand, a cut-off level of </w:t>
      </w:r>
      <w:r w:rsidRPr="00D8141B">
        <w:rPr>
          <w:rFonts w:eastAsia="Times New Roman" w:cs="Arial"/>
          <w:sz w:val="20"/>
          <w:szCs w:val="20"/>
        </w:rPr>
        <w:t>≥</w:t>
      </w:r>
      <w:r w:rsidRPr="00D8141B">
        <w:rPr>
          <w:rFonts w:eastAsia="Times New Roman" w:cs="Arial"/>
          <w:szCs w:val="20"/>
          <w:lang w:val="en-US"/>
        </w:rPr>
        <w:t xml:space="preserve"> 9.0 mmol/L has been applied.</w:t>
      </w:r>
      <w:hyperlink r:id="rId38" w:anchor="refbody8" w:history="1">
        <w:r w:rsidRPr="00D8141B">
          <w:rPr>
            <w:rFonts w:eastAsia="Times New Roman" w:cs="Arial"/>
            <w:color w:val="0000FF"/>
            <w:szCs w:val="20"/>
            <w:u w:val="single"/>
            <w:vertAlign w:val="superscript"/>
            <w:lang w:val="en-US"/>
          </w:rPr>
          <w:t>8</w:t>
        </w:r>
      </w:hyperlink>
      <w:r w:rsidRPr="00D8141B">
        <w:rPr>
          <w:rFonts w:eastAsia="Times New Roman" w:cs="Arial"/>
          <w:szCs w:val="20"/>
          <w:lang w:val="en-US"/>
        </w:rPr>
        <w:t xml:space="preserve"> </w:t>
      </w:r>
    </w:p>
    <w:p w:rsidR="00D8141B" w:rsidRPr="003E5811" w:rsidRDefault="00D8141B" w:rsidP="003E5811">
      <w:pPr>
        <w:pStyle w:val="BodyText13"/>
        <w:numPr>
          <w:ilvl w:val="0"/>
          <w:numId w:val="0"/>
        </w:numPr>
        <w:spacing w:before="240" w:after="120"/>
        <w:ind w:left="709" w:hanging="709"/>
        <w:rPr>
          <w:b/>
          <w:sz w:val="24"/>
          <w:szCs w:val="24"/>
        </w:rPr>
      </w:pPr>
      <w:bookmarkStart w:id="358" w:name="_Toc144874776"/>
      <w:bookmarkStart w:id="359" w:name="_Toc144875365"/>
      <w:r w:rsidRPr="003E5811">
        <w:rPr>
          <w:b/>
          <w:sz w:val="24"/>
          <w:szCs w:val="24"/>
        </w:rPr>
        <w:t>How has the classification of diabetes changed?</w:t>
      </w:r>
      <w:bookmarkEnd w:id="358"/>
      <w:bookmarkEnd w:id="359"/>
      <w:r w:rsidRPr="003E5811">
        <w:rPr>
          <w:b/>
          <w:sz w:val="24"/>
          <w:szCs w:val="24"/>
        </w:rPr>
        <w:t xml:space="preserve"> </w:t>
      </w:r>
    </w:p>
    <w:p w:rsidR="00D8141B" w:rsidRPr="00D8141B" w:rsidRDefault="00D8141B" w:rsidP="00D8141B">
      <w:pPr>
        <w:spacing w:after="0" w:line="240" w:lineRule="auto"/>
        <w:rPr>
          <w:rFonts w:eastAsia="Times New Roman" w:cs="Arial"/>
          <w:szCs w:val="20"/>
          <w:lang w:val="en-US"/>
        </w:rPr>
      </w:pPr>
      <w:r w:rsidRPr="00D8141B">
        <w:rPr>
          <w:rFonts w:eastAsia="Times New Roman" w:cs="Arial"/>
          <w:szCs w:val="20"/>
          <w:lang w:val="en-US"/>
        </w:rPr>
        <w:t xml:space="preserve">The proposed new classification encompasses both clinical stages and aetiological types of hyperglycaemia and is supported by numerous epidemiological studies. The classification by aetiological type </w:t>
      </w:r>
      <w:r w:rsidRPr="00D8141B">
        <w:rPr>
          <w:rFonts w:eastAsia="Times New Roman" w:cs="Arial"/>
          <w:b/>
          <w:bCs/>
          <w:szCs w:val="20"/>
          <w:lang w:val="en-US"/>
        </w:rPr>
        <w:t>(</w:t>
      </w:r>
      <w:r w:rsidRPr="00D8141B">
        <w:rPr>
          <w:rFonts w:eastAsia="Times New Roman" w:cs="Arial"/>
          <w:bCs/>
          <w:szCs w:val="20"/>
          <w:lang w:val="en-US"/>
        </w:rPr>
        <w:t>box 2</w:t>
      </w:r>
      <w:r w:rsidRPr="00D8141B">
        <w:rPr>
          <w:rFonts w:eastAsia="Times New Roman" w:cs="Arial"/>
          <w:b/>
          <w:bCs/>
          <w:szCs w:val="20"/>
          <w:lang w:val="en-US"/>
        </w:rPr>
        <w:t xml:space="preserve">) </w:t>
      </w:r>
      <w:r w:rsidRPr="00D8141B">
        <w:rPr>
          <w:rFonts w:eastAsia="Times New Roman" w:cs="Arial"/>
          <w:szCs w:val="20"/>
          <w:lang w:val="en-US"/>
        </w:rPr>
        <w:t>results from new knowledge of the causes of hyperglycaemia, including diabetes. The terms insulin-dependent and non-insulin­ dependent diabetes (lOOM and NIDDM) are eliminated and the terms type 1 and type 2 diabetes retained. Other aetiological types, such as diabetes arising from genetic defects of  -cell function or insulin action, are grouped as 'other specific types', with gestational diabetes as a fourth category.</w:t>
      </w:r>
    </w:p>
    <w:p w:rsidR="00D8141B" w:rsidRPr="00D8141B" w:rsidRDefault="00D8141B" w:rsidP="00D8141B">
      <w:pPr>
        <w:spacing w:after="0" w:line="240" w:lineRule="auto"/>
        <w:rPr>
          <w:rFonts w:eastAsia="Times New Roman" w:cs="Arial"/>
          <w:szCs w:val="20"/>
          <w:lang w:val="en-US"/>
        </w:rPr>
      </w:pPr>
      <w:r w:rsidRPr="00D8141B">
        <w:rPr>
          <w:rFonts w:eastAsia="Times New Roman" w:cs="Arial"/>
          <w:szCs w:val="20"/>
          <w:lang w:val="en-US"/>
        </w:rPr>
        <w:lastRenderedPageBreak/>
        <w:t xml:space="preserve">The proposed staging </w:t>
      </w:r>
      <w:r w:rsidRPr="00D8141B">
        <w:rPr>
          <w:rFonts w:eastAsia="Times New Roman" w:cs="Arial"/>
          <w:bCs/>
          <w:szCs w:val="20"/>
          <w:lang w:val="en-US"/>
        </w:rPr>
        <w:t>(box 3)</w:t>
      </w:r>
      <w:r w:rsidRPr="00D8141B">
        <w:rPr>
          <w:rFonts w:eastAsia="Times New Roman" w:cs="Arial"/>
          <w:b/>
          <w:bCs/>
          <w:szCs w:val="20"/>
          <w:lang w:val="en-US"/>
        </w:rPr>
        <w:t xml:space="preserve"> </w:t>
      </w:r>
      <w:r w:rsidRPr="00D8141B">
        <w:rPr>
          <w:rFonts w:eastAsia="Times New Roman" w:cs="Arial"/>
          <w:szCs w:val="20"/>
          <w:lang w:val="en-US"/>
        </w:rPr>
        <w:t>reflects the fact that any aetiological type of diabetes can pass or progress through several clinical phases (both asymptomatic and symptomatic) during its natural history. Moreover, individuals may move in either direction between stages.</w:t>
      </w:r>
    </w:p>
    <w:p w:rsidR="00D8141B" w:rsidRPr="003E5811" w:rsidRDefault="00D8141B" w:rsidP="003E5811">
      <w:pPr>
        <w:pStyle w:val="BodyText13"/>
        <w:numPr>
          <w:ilvl w:val="0"/>
          <w:numId w:val="0"/>
        </w:numPr>
        <w:spacing w:before="240" w:after="120"/>
        <w:ind w:left="709" w:hanging="709"/>
        <w:rPr>
          <w:b/>
          <w:sz w:val="24"/>
          <w:szCs w:val="24"/>
        </w:rPr>
      </w:pPr>
      <w:bookmarkStart w:id="360" w:name="_Toc144874777"/>
      <w:bookmarkStart w:id="361" w:name="_Toc144875366"/>
      <w:r w:rsidRPr="003E5811">
        <w:rPr>
          <w:b/>
          <w:sz w:val="24"/>
          <w:szCs w:val="24"/>
        </w:rPr>
        <w:t>Impaired glucose tolerance and impaired fasting glycaemia</w:t>
      </w:r>
      <w:bookmarkEnd w:id="360"/>
      <w:bookmarkEnd w:id="361"/>
      <w:r w:rsidRPr="003E5811">
        <w:rPr>
          <w:b/>
          <w:sz w:val="24"/>
          <w:szCs w:val="24"/>
        </w:rPr>
        <w:t xml:space="preserve"> </w:t>
      </w:r>
    </w:p>
    <w:p w:rsidR="00D8141B" w:rsidRPr="00D8141B" w:rsidRDefault="00EC3105" w:rsidP="003E5811">
      <w:pPr>
        <w:spacing w:line="240" w:lineRule="auto"/>
        <w:rPr>
          <w:rFonts w:eastAsia="Times New Roman" w:cs="Arial"/>
          <w:szCs w:val="20"/>
          <w:lang w:val="en-US"/>
        </w:rPr>
      </w:pPr>
      <w:r>
        <w:rPr>
          <w:rFonts w:eastAsia="Times New Roman" w:cs="Arial"/>
          <w:noProof/>
          <w:szCs w:val="20"/>
          <w:lang w:eastAsia="en-AU"/>
        </w:rPr>
        <mc:AlternateContent>
          <mc:Choice Requires="wps">
            <w:drawing>
              <wp:anchor distT="152400" distB="152400" distL="152400" distR="152400" simplePos="0" relativeHeight="251662336" behindDoc="0" locked="1" layoutInCell="0" allowOverlap="1" wp14:anchorId="5F6FE356" wp14:editId="627133C8">
                <wp:simplePos x="0" y="0"/>
                <wp:positionH relativeFrom="margin">
                  <wp:posOffset>0</wp:posOffset>
                </wp:positionH>
                <wp:positionV relativeFrom="paragraph">
                  <wp:posOffset>2926080</wp:posOffset>
                </wp:positionV>
                <wp:extent cx="6081395" cy="2743200"/>
                <wp:effectExtent l="0" t="0" r="14605" b="1905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2743200"/>
                        </a:xfrm>
                        <a:prstGeom prst="rect">
                          <a:avLst/>
                        </a:prstGeom>
                        <a:solidFill>
                          <a:srgbClr val="FFFFFF"/>
                        </a:solidFill>
                        <a:ln w="9525">
                          <a:solidFill>
                            <a:srgbClr val="000000"/>
                          </a:solidFill>
                          <a:miter lim="800000"/>
                          <a:headEnd/>
                          <a:tailEnd/>
                        </a:ln>
                      </wps:spPr>
                      <wps:txbx>
                        <w:txbxContent>
                          <w:p w:rsidR="006215EF" w:rsidRDefault="006215EF" w:rsidP="00D8141B">
                            <w:r>
                              <w:rPr>
                                <w:noProof/>
                                <w:lang w:eastAsia="en-AU"/>
                              </w:rPr>
                              <w:drawing>
                                <wp:inline distT="0" distB="0" distL="0" distR="0" wp14:anchorId="20DA3699" wp14:editId="6E6D480C">
                                  <wp:extent cx="5924550" cy="2514600"/>
                                  <wp:effectExtent l="19050" t="0" r="0" b="0"/>
                                  <wp:docPr id="8" name="Picture 8" descr="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betes"/>
                                          <pic:cNvPicPr>
                                            <a:picLocks noChangeAspect="1" noChangeArrowheads="1"/>
                                          </pic:cNvPicPr>
                                        </pic:nvPicPr>
                                        <pic:blipFill>
                                          <a:blip r:embed="rId39"/>
                                          <a:srcRect/>
                                          <a:stretch>
                                            <a:fillRect/>
                                          </a:stretch>
                                        </pic:blipFill>
                                        <pic:spPr bwMode="auto">
                                          <a:xfrm>
                                            <a:off x="0" y="0"/>
                                            <a:ext cx="5924550" cy="2514600"/>
                                          </a:xfrm>
                                          <a:prstGeom prst="rect">
                                            <a:avLst/>
                                          </a:prstGeom>
                                          <a:noFill/>
                                          <a:ln w="9525">
                                            <a:noFill/>
                                            <a:miter lim="800000"/>
                                            <a:headEnd/>
                                            <a:tailEnd/>
                                          </a:ln>
                                        </pic:spPr>
                                      </pic:pic>
                                    </a:graphicData>
                                  </a:graphic>
                                </wp:inline>
                              </w:drawing>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E356" id="Text Box 6" o:spid="_x0000_s1035" type="#_x0000_t202" style="position:absolute;margin-left:0;margin-top:230.4pt;width:478.85pt;height:3in;z-index:251662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" o:allowincell="f">
                <v:textbox inset="6pt,6pt,6pt,6pt">
                  <w:txbxContent>
                    <w:p w:rsidR="006215EF" w:rsidRDefault="006215EF" w:rsidP="00D8141B">
                      <w:r>
                        <w:rPr>
                          <w:noProof/>
                          <w:lang w:eastAsia="en-AU"/>
                        </w:rPr>
                        <w:drawing>
                          <wp:inline distT="0" distB="0" distL="0" distR="0" wp14:anchorId="20DA3699" wp14:editId="6E6D480C">
                            <wp:extent cx="5924550" cy="2514600"/>
                            <wp:effectExtent l="19050" t="0" r="0" b="0"/>
                            <wp:docPr id="8" name="Picture 8" descr="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betes"/>
                                    <pic:cNvPicPr>
                                      <a:picLocks noChangeAspect="1" noChangeArrowheads="1"/>
                                    </pic:cNvPicPr>
                                  </pic:nvPicPr>
                                  <pic:blipFill>
                                    <a:blip r:embed="rId40"/>
                                    <a:srcRect/>
                                    <a:stretch>
                                      <a:fillRect/>
                                    </a:stretch>
                                  </pic:blipFill>
                                  <pic:spPr bwMode="auto">
                                    <a:xfrm>
                                      <a:off x="0" y="0"/>
                                      <a:ext cx="5924550" cy="2514600"/>
                                    </a:xfrm>
                                    <a:prstGeom prst="rect">
                                      <a:avLst/>
                                    </a:prstGeom>
                                    <a:noFill/>
                                    <a:ln w="9525">
                                      <a:noFill/>
                                      <a:miter lim="800000"/>
                                      <a:headEnd/>
                                      <a:tailEnd/>
                                    </a:ln>
                                  </pic:spPr>
                                </pic:pic>
                              </a:graphicData>
                            </a:graphic>
                          </wp:inline>
                        </w:drawing>
                      </w:r>
                    </w:p>
                  </w:txbxContent>
                </v:textbox>
                <w10:wrap type="square" anchorx="margin"/>
                <w10:anchorlock/>
              </v:shape>
            </w:pict>
          </mc:Fallback>
        </mc:AlternateContent>
      </w:r>
      <w:r w:rsidR="00D8141B" w:rsidRPr="00D8141B">
        <w:rPr>
          <w:rFonts w:eastAsia="Times New Roman" w:cs="Arial"/>
          <w:szCs w:val="20"/>
          <w:lang w:val="en-US"/>
        </w:rPr>
        <w:t>Impaired glucose tolerance (IGT).a discrete class in the previous classification, is now categorised as a stage in the natural history of disordered carbohydrate metabolism. Individuals with IGT are at increased risk of cardiovascular disease, and not all will be i dentified by fasting glucose level.</w:t>
      </w:r>
    </w:p>
    <w:p w:rsidR="00D8141B" w:rsidRPr="00D8141B" w:rsidRDefault="00D8141B" w:rsidP="003E5811">
      <w:pPr>
        <w:spacing w:line="240" w:lineRule="auto"/>
        <w:rPr>
          <w:rFonts w:eastAsia="Times New Roman" w:cs="Arial"/>
          <w:szCs w:val="20"/>
          <w:lang w:val="en-US"/>
        </w:rPr>
      </w:pPr>
      <w:r w:rsidRPr="00D8141B">
        <w:rPr>
          <w:rFonts w:eastAsia="Times New Roman" w:cs="Arial"/>
          <w:szCs w:val="20"/>
          <w:lang w:val="en-US"/>
        </w:rPr>
        <w:t>In reducing the use of the OGTT. the ADA recommended  a new category- impaired fasting glycaemia (IFG)- when fasting plasma glucose level is lower than that required to diagnose diabetes but higher than the reference range (&lt; 7.0 mmoi/L  but ≥ 6.1 mmoi/U. Limited data on this category show that it increases both risk of progressing to diabetes9  and cardiovascular risk5 . However, data are as yet insufficient to determine whether IFG has the same status as IGT as a risk factor for developing diabetes and cardiovascular disease and as strong an association with the metabolic syndrome (insulin resistance syndrome)</w:t>
      </w:r>
    </w:p>
    <w:p w:rsidR="00D8141B" w:rsidRPr="00D8141B" w:rsidRDefault="00D8141B" w:rsidP="003E5811">
      <w:pPr>
        <w:spacing w:line="240" w:lineRule="auto"/>
        <w:rPr>
          <w:rFonts w:eastAsia="Times New Roman" w:cs="Arial"/>
          <w:szCs w:val="20"/>
          <w:lang w:val="en-US"/>
        </w:rPr>
      </w:pPr>
      <w:r w:rsidRPr="00D8141B">
        <w:rPr>
          <w:rFonts w:eastAsia="Times New Roman" w:cs="Arial"/>
          <w:szCs w:val="20"/>
          <w:lang w:val="en-US"/>
        </w:rPr>
        <w:t>IFG can be diagnosed by fasting glucose level alone, but if 2 h glucose level is also measured some individuals with IFG will have IGT and some may have diabetes. In addition, the number of people with OGTT results indicating diabetes but fasting</w:t>
      </w:r>
      <w:r w:rsidRPr="00D8141B">
        <w:rPr>
          <w:rFonts w:eastAsia="Times New Roman" w:cs="Arial"/>
          <w:sz w:val="24"/>
          <w:szCs w:val="20"/>
          <w:lang w:val="en-US"/>
        </w:rPr>
        <w:t xml:space="preserve"> </w:t>
      </w:r>
      <w:r w:rsidRPr="00D8141B">
        <w:rPr>
          <w:rFonts w:eastAsia="Times New Roman" w:cs="Arial"/>
          <w:szCs w:val="20"/>
          <w:lang w:val="en-US"/>
        </w:rPr>
        <w:t>plasma glucose level &lt; 7.0 mmol/L is unknown, but early data suggest there may be major variation across different populations.</w:t>
      </w:r>
      <w:hyperlink r:id="rId41" w:anchor="refbody10" w:history="1">
        <w:r w:rsidRPr="00D8141B">
          <w:rPr>
            <w:rFonts w:eastAsia="Times New Roman" w:cs="Arial"/>
            <w:color w:val="0000FF"/>
            <w:szCs w:val="20"/>
            <w:u w:val="single"/>
            <w:vertAlign w:val="superscript"/>
            <w:lang w:val="en-US"/>
          </w:rPr>
          <w:t>10</w:t>
        </w:r>
      </w:hyperlink>
      <w:r w:rsidRPr="00D8141B">
        <w:rPr>
          <w:rFonts w:eastAsia="Times New Roman" w:cs="Arial"/>
          <w:szCs w:val="20"/>
          <w:lang w:val="en-US"/>
        </w:rPr>
        <w:t xml:space="preserve"> A number of studies, including the DECODE initiative</w:t>
      </w:r>
      <w:r w:rsidRPr="00D8141B">
        <w:rPr>
          <w:rFonts w:eastAsia="Times New Roman" w:cs="Arial"/>
          <w:sz w:val="24"/>
          <w:szCs w:val="20"/>
          <w:lang w:val="en-US"/>
        </w:rPr>
        <w:t xml:space="preserve"> </w:t>
      </w:r>
      <w:r w:rsidRPr="00D8141B">
        <w:rPr>
          <w:rFonts w:eastAsia="Times New Roman" w:cs="Arial"/>
          <w:szCs w:val="20"/>
          <w:lang w:val="en-US"/>
        </w:rPr>
        <w:t>of the European Diabetes Epidemiology Group, have reported that individuals classified</w:t>
      </w:r>
      <w:r w:rsidRPr="00D8141B">
        <w:rPr>
          <w:rFonts w:eastAsia="Times New Roman" w:cs="Arial"/>
          <w:sz w:val="24"/>
          <w:szCs w:val="20"/>
          <w:lang w:val="en-US"/>
        </w:rPr>
        <w:t xml:space="preserve"> </w:t>
      </w:r>
      <w:r w:rsidRPr="00D8141B">
        <w:rPr>
          <w:rFonts w:eastAsia="Times New Roman" w:cs="Arial"/>
          <w:szCs w:val="20"/>
          <w:lang w:val="en-US"/>
        </w:rPr>
        <w:t>with IFG</w:t>
      </w:r>
      <w:r w:rsidRPr="00D8141B">
        <w:rPr>
          <w:rFonts w:eastAsia="Times New Roman" w:cs="Arial"/>
          <w:sz w:val="24"/>
          <w:szCs w:val="20"/>
          <w:lang w:val="en-US"/>
        </w:rPr>
        <w:t xml:space="preserve"> </w:t>
      </w:r>
      <w:r w:rsidRPr="00D8141B">
        <w:rPr>
          <w:rFonts w:eastAsia="Times New Roman" w:cs="Arial"/>
          <w:szCs w:val="20"/>
          <w:lang w:val="en-US"/>
        </w:rPr>
        <w:t>are not the same as the IGT group.</w:t>
      </w:r>
      <w:hyperlink r:id="rId42" w:anchor="refbody11" w:history="1">
        <w:r w:rsidRPr="00D8141B">
          <w:rPr>
            <w:rFonts w:eastAsia="Times New Roman" w:cs="Arial"/>
            <w:color w:val="0000FF"/>
            <w:szCs w:val="20"/>
            <w:u w:val="single"/>
            <w:vertAlign w:val="superscript"/>
            <w:lang w:val="en-US"/>
          </w:rPr>
          <w:t>11-15</w:t>
        </w:r>
      </w:hyperlink>
      <w:r w:rsidRPr="00D8141B">
        <w:rPr>
          <w:rFonts w:eastAsia="Times New Roman" w:cs="Arial"/>
          <w:szCs w:val="20"/>
          <w:lang w:val="en-US"/>
        </w:rPr>
        <w:t xml:space="preserve"> The European Group believes that, on available European evidence, the ADA decision to rely solely on fasting glucose level would be unwise. </w:t>
      </w:r>
    </w:p>
    <w:p w:rsidR="00D8141B" w:rsidRPr="00D8141B" w:rsidRDefault="00D8141B" w:rsidP="003E5811">
      <w:pPr>
        <w:spacing w:line="240" w:lineRule="auto"/>
        <w:rPr>
          <w:rFonts w:eastAsia="Times New Roman" w:cs="Arial"/>
          <w:i/>
          <w:szCs w:val="20"/>
          <w:lang w:val="en-US"/>
        </w:rPr>
      </w:pPr>
      <w:r w:rsidRPr="00D8141B">
        <w:rPr>
          <w:rFonts w:eastAsia="Times New Roman" w:cs="Arial"/>
          <w:b/>
          <w:bCs/>
          <w:szCs w:val="20"/>
          <w:lang w:val="en-US"/>
        </w:rPr>
        <w:t>Recommendation:</w:t>
      </w:r>
      <w:r w:rsidRPr="00D8141B">
        <w:rPr>
          <w:rFonts w:eastAsia="Times New Roman" w:cs="Arial"/>
          <w:b/>
          <w:bCs/>
          <w:i/>
          <w:szCs w:val="20"/>
          <w:lang w:val="en-US"/>
        </w:rPr>
        <w:t xml:space="preserve"> </w:t>
      </w:r>
      <w:r w:rsidRPr="00D8141B">
        <w:rPr>
          <w:rFonts w:eastAsia="Times New Roman" w:cs="Arial"/>
          <w:bCs/>
          <w:szCs w:val="20"/>
          <w:lang w:val="en-US"/>
        </w:rPr>
        <w:t>The Australasian Working Party on Diagnostic Criteria recommends immediate adoption of the new classification. However, clinicians should be aware that some cases of diabetes will be missed unless an OGTT is performed.  Thus, if there is any suspicion or other risk factor suggesting glucose intolerance, the working party continues to recommend use of an OGTT pending the final WHO recommendation</w:t>
      </w:r>
      <w:r w:rsidRPr="00D8141B">
        <w:rPr>
          <w:rFonts w:eastAsia="Times New Roman" w:cs="Arial"/>
          <w:szCs w:val="20"/>
          <w:lang w:val="en-US"/>
        </w:rPr>
        <w:t>.</w:t>
      </w:r>
      <w:r w:rsidRPr="00D8141B">
        <w:rPr>
          <w:rFonts w:eastAsia="Times New Roman" w:cs="Arial"/>
          <w:i/>
          <w:szCs w:val="20"/>
          <w:lang w:val="en-US"/>
        </w:rPr>
        <w:t xml:space="preserve"> </w:t>
      </w:r>
    </w:p>
    <w:p w:rsidR="00D8141B" w:rsidRPr="003E5811" w:rsidRDefault="00D8141B" w:rsidP="00D8141B">
      <w:pPr>
        <w:keepNext/>
        <w:spacing w:after="0" w:line="240" w:lineRule="auto"/>
        <w:outlineLvl w:val="2"/>
        <w:rPr>
          <w:rFonts w:eastAsia="Times New Roman" w:cs="Arial"/>
          <w:b/>
          <w:bCs/>
          <w:sz w:val="24"/>
          <w:szCs w:val="24"/>
          <w:lang w:val="en-US"/>
        </w:rPr>
      </w:pPr>
      <w:bookmarkStart w:id="362" w:name="_Toc144874778"/>
      <w:bookmarkStart w:id="363" w:name="_Toc144875367"/>
      <w:r w:rsidRPr="003E5811">
        <w:rPr>
          <w:rFonts w:eastAsia="Times New Roman" w:cs="Arial"/>
          <w:b/>
          <w:bCs/>
          <w:sz w:val="24"/>
          <w:szCs w:val="24"/>
          <w:lang w:val="en-US"/>
        </w:rPr>
        <w:t>References</w:t>
      </w:r>
      <w:bookmarkEnd w:id="362"/>
      <w:bookmarkEnd w:id="363"/>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Expert Committee on the Diagnosis and Classification of Diabetes Mellitus. Report of the Expert Committee on the Diagnosis and Classification of Diabetes Mellitus. </w:t>
      </w:r>
      <w:r w:rsidRPr="00D8141B">
        <w:rPr>
          <w:rFonts w:eastAsia="Times New Roman" w:cs="Arial"/>
          <w:i/>
          <w:sz w:val="20"/>
          <w:szCs w:val="20"/>
          <w:lang w:val="en-US"/>
        </w:rPr>
        <w:t xml:space="preserve">Diabetes Care </w:t>
      </w:r>
      <w:r w:rsidRPr="00D8141B">
        <w:rPr>
          <w:rFonts w:eastAsia="Times New Roman" w:cs="Arial"/>
          <w:sz w:val="20"/>
          <w:szCs w:val="20"/>
          <w:lang w:val="en-US"/>
        </w:rPr>
        <w:t xml:space="preserve">1997; 20: 1183-1197.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lastRenderedPageBreak/>
        <w:t xml:space="preserve">Alberti KGMM, Zimmet PZ. Definition, diagnosis and classification of diabetes mellitus and its complications. Part 1: diagnosis and classification of diabetes mellitus. Provisional Report of a WHO Consultation. </w:t>
      </w:r>
      <w:r w:rsidRPr="00D8141B">
        <w:rPr>
          <w:rFonts w:eastAsia="Times New Roman" w:cs="Arial"/>
          <w:i/>
          <w:sz w:val="20"/>
          <w:szCs w:val="20"/>
          <w:lang w:val="en-US"/>
        </w:rPr>
        <w:t xml:space="preserve">Diabet Med </w:t>
      </w:r>
      <w:r w:rsidRPr="00D8141B">
        <w:rPr>
          <w:rFonts w:eastAsia="Times New Roman" w:cs="Arial"/>
          <w:sz w:val="20"/>
          <w:szCs w:val="20"/>
          <w:lang w:val="en-US"/>
        </w:rPr>
        <w:t xml:space="preserve">1998; 15: 539-553.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World Health Organization. Diabetes mellitus. Report of a WHO study group. Technical report series 727. Geneva: WHO, 1985.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McCance DR, Hanson RL, Charles MA, et al. Comparison of tests for glycated haemoglobin and fasting and two hour plasma glucose concentrations as diagnostic methods for diabetes. </w:t>
      </w:r>
      <w:r w:rsidRPr="00D8141B">
        <w:rPr>
          <w:rFonts w:eastAsia="Times New Roman" w:cs="Arial"/>
          <w:i/>
          <w:sz w:val="20"/>
          <w:szCs w:val="20"/>
          <w:lang w:val="en-US"/>
        </w:rPr>
        <w:t xml:space="preserve">BMJ </w:t>
      </w:r>
      <w:r w:rsidRPr="00D8141B">
        <w:rPr>
          <w:rFonts w:eastAsia="Times New Roman" w:cs="Arial"/>
          <w:sz w:val="20"/>
          <w:szCs w:val="20"/>
          <w:lang w:val="en-US"/>
        </w:rPr>
        <w:t xml:space="preserve">1994; 308: 1323-1328.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Charles MA, Balkau B, Vauzelle-Kervoeden F, et al. Revision of diagnostic criteria for diabetes [letter]. </w:t>
      </w:r>
      <w:r w:rsidRPr="00D8141B">
        <w:rPr>
          <w:rFonts w:eastAsia="Times New Roman" w:cs="Arial"/>
          <w:i/>
          <w:sz w:val="20"/>
          <w:szCs w:val="20"/>
          <w:lang w:val="en-US"/>
        </w:rPr>
        <w:t xml:space="preserve">Lancet </w:t>
      </w:r>
      <w:r w:rsidRPr="00D8141B">
        <w:rPr>
          <w:rFonts w:eastAsia="Times New Roman" w:cs="Arial"/>
          <w:sz w:val="20"/>
          <w:szCs w:val="20"/>
          <w:lang w:val="en-US"/>
        </w:rPr>
        <w:t xml:space="preserve">1996; 348: 1657-1658.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Finch CF, Zimmet PZ, Alberti KGMM. Determining diabetes prevalence: a rational basis for the use of fasting plasma glucose concentrations? </w:t>
      </w:r>
      <w:r w:rsidRPr="00D8141B">
        <w:rPr>
          <w:rFonts w:eastAsia="Times New Roman" w:cs="Arial"/>
          <w:i/>
          <w:sz w:val="20"/>
          <w:szCs w:val="20"/>
          <w:lang w:val="en-US"/>
        </w:rPr>
        <w:t xml:space="preserve">Diabet Med </w:t>
      </w:r>
      <w:r w:rsidRPr="00D8141B">
        <w:rPr>
          <w:rFonts w:eastAsia="Times New Roman" w:cs="Arial"/>
          <w:sz w:val="20"/>
          <w:szCs w:val="20"/>
          <w:lang w:val="en-US"/>
        </w:rPr>
        <w:t xml:space="preserve">1990; 7: 603-610.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Colagiuri S, Colagiuri R, Ward J. National diabetes strategy and implementation plan. Canberra: Diabetes Australia, 1998.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Hoffman L, Nolan C, Wilson D, et al. Gestational diabetes mellitus -- management guidelines. The Australasian Diabetes in Pregnancy Society. </w:t>
      </w:r>
      <w:r w:rsidRPr="00D8141B">
        <w:rPr>
          <w:rFonts w:eastAsia="Times New Roman" w:cs="Arial"/>
          <w:i/>
          <w:sz w:val="20"/>
          <w:szCs w:val="20"/>
          <w:lang w:val="en-US"/>
        </w:rPr>
        <w:t xml:space="preserve">Med J Aust </w:t>
      </w:r>
      <w:r w:rsidRPr="00D8141B">
        <w:rPr>
          <w:rFonts w:eastAsia="Times New Roman" w:cs="Arial"/>
          <w:sz w:val="20"/>
          <w:szCs w:val="20"/>
          <w:lang w:val="en-US"/>
        </w:rPr>
        <w:t xml:space="preserve">1998; 169: 93-97.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Charles MA, Fontbonne A, Thibult N, et al. Risk factors for NIDDM in white population. </w:t>
      </w:r>
      <w:r w:rsidRPr="00D8141B">
        <w:rPr>
          <w:rFonts w:eastAsia="Times New Roman" w:cs="Arial"/>
          <w:i/>
          <w:sz w:val="20"/>
          <w:szCs w:val="20"/>
          <w:lang w:val="en-US"/>
        </w:rPr>
        <w:t xml:space="preserve">Diabetes </w:t>
      </w:r>
      <w:r w:rsidRPr="00D8141B">
        <w:rPr>
          <w:rFonts w:eastAsia="Times New Roman" w:cs="Arial"/>
          <w:sz w:val="20"/>
          <w:szCs w:val="20"/>
          <w:lang w:val="en-US"/>
        </w:rPr>
        <w:t xml:space="preserve">1991; 40: 796-799.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Keen H. Impact of new criteria for diabetes on pattern of disease. </w:t>
      </w:r>
      <w:r w:rsidRPr="00D8141B">
        <w:rPr>
          <w:rFonts w:eastAsia="Times New Roman" w:cs="Arial"/>
          <w:i/>
          <w:sz w:val="20"/>
          <w:szCs w:val="20"/>
          <w:lang w:val="en-US"/>
        </w:rPr>
        <w:t xml:space="preserve">Lancet </w:t>
      </w:r>
      <w:r w:rsidRPr="00D8141B">
        <w:rPr>
          <w:rFonts w:eastAsia="Times New Roman" w:cs="Arial"/>
          <w:sz w:val="20"/>
          <w:szCs w:val="20"/>
          <w:lang w:val="en-US"/>
        </w:rPr>
        <w:t xml:space="preserve">1998; 352: 1000-1001.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DECODE Study Group on behalf of the European Diabetes Epidemiology Study Group. Will new diagnostic criteria for diabetes mellitus change phenotype of patients with diabetes? Reanalysis of European epidemiological data. </w:t>
      </w:r>
      <w:r w:rsidRPr="00D8141B">
        <w:rPr>
          <w:rFonts w:eastAsia="Times New Roman" w:cs="Arial"/>
          <w:i/>
          <w:sz w:val="20"/>
          <w:szCs w:val="20"/>
          <w:lang w:val="en-US"/>
        </w:rPr>
        <w:t xml:space="preserve">BMJ </w:t>
      </w:r>
      <w:r w:rsidRPr="00D8141B">
        <w:rPr>
          <w:rFonts w:eastAsia="Times New Roman" w:cs="Arial"/>
          <w:sz w:val="20"/>
          <w:szCs w:val="20"/>
          <w:lang w:val="en-US"/>
        </w:rPr>
        <w:t xml:space="preserve">1998; 317: 371-375.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De Vegt F, Dekker JM, Stehouwer CDA, et al. The 1997 American Diabetes Association criteria versus the 1985 World Health Organization criteria for the diagnosis of abnormal glucose tolerance. </w:t>
      </w:r>
      <w:r w:rsidRPr="00D8141B">
        <w:rPr>
          <w:rFonts w:eastAsia="Times New Roman" w:cs="Arial"/>
          <w:i/>
          <w:sz w:val="20"/>
          <w:szCs w:val="20"/>
          <w:lang w:val="en-US"/>
        </w:rPr>
        <w:t xml:space="preserve">Diabetes Care </w:t>
      </w:r>
      <w:r w:rsidRPr="00D8141B">
        <w:rPr>
          <w:rFonts w:eastAsia="Times New Roman" w:cs="Arial"/>
          <w:sz w:val="20"/>
          <w:szCs w:val="20"/>
          <w:lang w:val="en-US"/>
        </w:rPr>
        <w:t xml:space="preserve">1998; 21: 1686-1690.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Harris MI, Eastman RC, Cowie CC, et al. Comparison of diabetes diagnostic categories in the US population according to 1997 American Diabetes Association and 1980-1985 World Health Organization diagnostic criteria. </w:t>
      </w:r>
      <w:r w:rsidRPr="00D8141B">
        <w:rPr>
          <w:rFonts w:eastAsia="Times New Roman" w:cs="Arial"/>
          <w:i/>
          <w:sz w:val="20"/>
          <w:szCs w:val="20"/>
          <w:lang w:val="en-US"/>
        </w:rPr>
        <w:t xml:space="preserve">Diabetes Care </w:t>
      </w:r>
      <w:r w:rsidRPr="00D8141B">
        <w:rPr>
          <w:rFonts w:eastAsia="Times New Roman" w:cs="Arial"/>
          <w:sz w:val="20"/>
          <w:szCs w:val="20"/>
          <w:lang w:val="en-US"/>
        </w:rPr>
        <w:t xml:space="preserve">1997; 20: 1859-1862.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0"/>
          <w:szCs w:val="20"/>
          <w:lang w:val="en-US"/>
        </w:rPr>
      </w:pPr>
      <w:r w:rsidRPr="00D8141B">
        <w:rPr>
          <w:rFonts w:eastAsia="Times New Roman" w:cs="Arial"/>
          <w:sz w:val="20"/>
          <w:szCs w:val="20"/>
          <w:lang w:val="en-US"/>
        </w:rPr>
        <w:t xml:space="preserve">Unwin N, Alberti KGMM, Bhopal R, et al. Comparison of the current WHO and new ADA criteria for the diagnosis of diabetes mellitus in three ethnic groups in the UK. </w:t>
      </w:r>
      <w:r w:rsidRPr="00D8141B">
        <w:rPr>
          <w:rFonts w:eastAsia="Times New Roman" w:cs="Arial"/>
          <w:i/>
          <w:sz w:val="20"/>
          <w:szCs w:val="20"/>
          <w:lang w:val="en-US"/>
        </w:rPr>
        <w:t xml:space="preserve">Diabet Med </w:t>
      </w:r>
      <w:r w:rsidRPr="00D8141B">
        <w:rPr>
          <w:rFonts w:eastAsia="Times New Roman" w:cs="Arial"/>
          <w:sz w:val="20"/>
          <w:szCs w:val="20"/>
          <w:lang w:val="en-US"/>
        </w:rPr>
        <w:t xml:space="preserve">1998; 15: 554-557. </w:t>
      </w:r>
    </w:p>
    <w:p w:rsidR="00D8141B" w:rsidRPr="00D8141B" w:rsidRDefault="00D8141B" w:rsidP="0081060E">
      <w:pPr>
        <w:numPr>
          <w:ilvl w:val="0"/>
          <w:numId w:val="9"/>
        </w:numPr>
        <w:tabs>
          <w:tab w:val="clear" w:pos="720"/>
          <w:tab w:val="num" w:pos="567"/>
        </w:tabs>
        <w:spacing w:after="80" w:line="240" w:lineRule="auto"/>
        <w:ind w:left="567" w:hanging="567"/>
        <w:rPr>
          <w:rFonts w:eastAsia="Times New Roman" w:cs="Arial"/>
          <w:sz w:val="24"/>
          <w:szCs w:val="20"/>
          <w:lang w:val="en-US"/>
        </w:rPr>
      </w:pPr>
      <w:r w:rsidRPr="00D8141B">
        <w:rPr>
          <w:rFonts w:eastAsia="Times New Roman" w:cs="Arial"/>
          <w:sz w:val="20"/>
          <w:szCs w:val="20"/>
          <w:lang w:val="en-US"/>
        </w:rPr>
        <w:t xml:space="preserve">Chang C-J, Wu J-S, Lu F-H, Lee H-L, et al. Fasting plasma glucose in screening for diabetes in the Taiwanese population. </w:t>
      </w:r>
      <w:r w:rsidRPr="00D8141B">
        <w:rPr>
          <w:rFonts w:eastAsia="Times New Roman" w:cs="Arial"/>
          <w:i/>
          <w:sz w:val="20"/>
          <w:szCs w:val="20"/>
          <w:lang w:val="en-US"/>
        </w:rPr>
        <w:t xml:space="preserve">Diabetes Care </w:t>
      </w:r>
      <w:r w:rsidRPr="00D8141B">
        <w:rPr>
          <w:rFonts w:eastAsia="Times New Roman" w:cs="Arial"/>
          <w:sz w:val="20"/>
          <w:szCs w:val="20"/>
          <w:lang w:val="en-US"/>
        </w:rPr>
        <w:t>1998; 21: 1856-1860.</w:t>
      </w:r>
      <w:r w:rsidRPr="00D8141B">
        <w:rPr>
          <w:rFonts w:eastAsia="Times New Roman" w:cs="Arial"/>
          <w:sz w:val="24"/>
          <w:szCs w:val="20"/>
          <w:lang w:val="en-US"/>
        </w:rPr>
        <w:t xml:space="preserve"> </w:t>
      </w:r>
    </w:p>
    <w:p w:rsidR="003E5811" w:rsidRDefault="003E5811" w:rsidP="003E5811">
      <w:pPr>
        <w:pStyle w:val="Heading1"/>
        <w:numPr>
          <w:ilvl w:val="0"/>
          <w:numId w:val="0"/>
        </w:numPr>
        <w:rPr>
          <w:b w:val="0"/>
        </w:rPr>
        <w:sectPr w:rsidR="003E5811" w:rsidSect="002947BC">
          <w:pgSz w:w="11906" w:h="16838" w:code="9"/>
          <w:pgMar w:top="1134" w:right="1134" w:bottom="1134" w:left="1134" w:header="0" w:footer="720" w:gutter="0"/>
          <w:cols w:space="720"/>
          <w:titlePg/>
        </w:sectPr>
      </w:pPr>
      <w:bookmarkStart w:id="364" w:name="c14"/>
      <w:bookmarkStart w:id="365" w:name="_Toc529598388"/>
      <w:bookmarkStart w:id="366" w:name="_Toc144874779"/>
      <w:bookmarkStart w:id="367" w:name="_Toc422836870"/>
      <w:bookmarkStart w:id="368" w:name="_Hlt529258652"/>
      <w:bookmarkStart w:id="369" w:name="OLE_LINK5"/>
      <w:bookmarkEnd w:id="364"/>
    </w:p>
    <w:p w:rsidR="00D8141B" w:rsidRPr="00D8141B" w:rsidRDefault="00D8141B" w:rsidP="003E5811">
      <w:pPr>
        <w:pStyle w:val="Heading1"/>
        <w:tabs>
          <w:tab w:val="clear" w:pos="567"/>
          <w:tab w:val="left" w:pos="709"/>
        </w:tabs>
        <w:ind w:hanging="720"/>
        <w:rPr>
          <w:bCs/>
        </w:rPr>
      </w:pPr>
      <w:bookmarkStart w:id="370" w:name="_Toc487809957"/>
      <w:r w:rsidRPr="00551741">
        <w:lastRenderedPageBreak/>
        <w:t>The skin</w:t>
      </w:r>
      <w:bookmarkEnd w:id="365"/>
      <w:bookmarkEnd w:id="366"/>
      <w:bookmarkEnd w:id="367"/>
      <w:bookmarkEnd w:id="370"/>
    </w:p>
    <w:bookmarkEnd w:id="368"/>
    <w:p w:rsidR="00D8141B" w:rsidRPr="00187696" w:rsidRDefault="00D8141B" w:rsidP="000E15A2">
      <w:pPr>
        <w:pStyle w:val="BodyText14"/>
        <w:numPr>
          <w:ilvl w:val="0"/>
          <w:numId w:val="0"/>
        </w:numPr>
        <w:tabs>
          <w:tab w:val="clear" w:pos="709"/>
        </w:tabs>
        <w:spacing w:after="80"/>
        <w:rPr>
          <w:rFonts w:cs="Times New Roman"/>
          <w:b/>
        </w:rPr>
      </w:pPr>
      <w:r w:rsidRPr="00187696">
        <w:rPr>
          <w:b/>
        </w:rPr>
        <w:t>Chapter 8, AMA5 (page 173) applies to the assessment of permanent impairment of the skin, subject to the modifications set out below. Before undertaking an impai</w:t>
      </w:r>
      <w:r w:rsidR="004A5BE6" w:rsidRPr="00187696">
        <w:rPr>
          <w:b/>
        </w:rPr>
        <w:t>rment assessment, users of the</w:t>
      </w:r>
      <w:r w:rsidRPr="00187696">
        <w:rPr>
          <w:b/>
        </w:rPr>
        <w:t xml:space="preserve"> Guidelines must be familiar with the</w:t>
      </w:r>
      <w:r w:rsidRPr="00187696">
        <w:rPr>
          <w:rFonts w:cs="Times New Roman"/>
          <w:b/>
        </w:rPr>
        <w:t xml:space="preserve"> following:</w:t>
      </w:r>
    </w:p>
    <w:p w:rsidR="00D8141B" w:rsidRPr="00D1454D" w:rsidRDefault="004A5BE6" w:rsidP="000E15A2">
      <w:pPr>
        <w:pStyle w:val="Bulletpoint"/>
        <w:tabs>
          <w:tab w:val="left" w:pos="1134"/>
        </w:tabs>
        <w:spacing w:after="80"/>
        <w:ind w:left="1134"/>
        <w:rPr>
          <w:rFonts w:eastAsia="Calibri"/>
          <w:lang w:val="en-US"/>
        </w:rPr>
      </w:pPr>
      <w:r>
        <w:rPr>
          <w:rFonts w:eastAsia="Calibri"/>
          <w:lang w:val="en-US"/>
        </w:rPr>
        <w:t>The Introduction in the</w:t>
      </w:r>
      <w:r w:rsidR="00D8141B" w:rsidRPr="00D1454D">
        <w:rPr>
          <w:rFonts w:eastAsia="Calibri"/>
          <w:lang w:val="en-US"/>
        </w:rPr>
        <w:t xml:space="preserve"> Guidelines</w:t>
      </w:r>
    </w:p>
    <w:p w:rsidR="00D8141B" w:rsidRPr="00D1454D" w:rsidRDefault="00D8141B" w:rsidP="000E15A2">
      <w:pPr>
        <w:pStyle w:val="Bulletpoint"/>
        <w:tabs>
          <w:tab w:val="left" w:pos="1134"/>
        </w:tabs>
        <w:spacing w:after="80"/>
        <w:ind w:left="1134"/>
        <w:rPr>
          <w:rFonts w:eastAsia="Calibri"/>
          <w:lang w:val="en-US"/>
        </w:rPr>
      </w:pPr>
      <w:r w:rsidRPr="00D1454D">
        <w:rPr>
          <w:rFonts w:eastAsia="Calibri"/>
          <w:lang w:val="en-US"/>
        </w:rPr>
        <w:t>Chapters 1 and 2 of AMA5</w:t>
      </w:r>
    </w:p>
    <w:p w:rsidR="00D8141B" w:rsidRPr="00D1454D" w:rsidRDefault="00D8141B" w:rsidP="000E15A2">
      <w:pPr>
        <w:pStyle w:val="Bulletpoint"/>
        <w:tabs>
          <w:tab w:val="left" w:pos="1134"/>
        </w:tabs>
        <w:spacing w:after="80"/>
        <w:ind w:left="1134"/>
        <w:rPr>
          <w:rFonts w:eastAsia="Calibri"/>
          <w:lang w:val="en-US"/>
        </w:rPr>
      </w:pPr>
      <w:r w:rsidRPr="00D1454D">
        <w:rPr>
          <w:rFonts w:eastAsia="Calibri"/>
          <w:lang w:val="en-US"/>
        </w:rPr>
        <w:t>Th</w:t>
      </w:r>
      <w:r w:rsidR="004A5BE6">
        <w:rPr>
          <w:rFonts w:eastAsia="Calibri"/>
          <w:lang w:val="en-US"/>
        </w:rPr>
        <w:t>e appropriate chapter/s of the</w:t>
      </w:r>
      <w:r w:rsidRPr="00D1454D">
        <w:rPr>
          <w:rFonts w:eastAsia="Calibri"/>
          <w:lang w:val="en-US"/>
        </w:rPr>
        <w:t xml:space="preserve"> Guidelines for the body system they are assessing.</w:t>
      </w:r>
    </w:p>
    <w:p w:rsidR="00D8141B" w:rsidRPr="00D1454D" w:rsidRDefault="00D8141B" w:rsidP="00187696">
      <w:pPr>
        <w:pStyle w:val="Bulletpoint"/>
        <w:tabs>
          <w:tab w:val="left" w:pos="1134"/>
        </w:tabs>
        <w:ind w:left="1134"/>
        <w:rPr>
          <w:rFonts w:eastAsia="Calibri"/>
          <w:lang w:val="en-US"/>
        </w:rPr>
      </w:pPr>
      <w:r w:rsidRPr="00D1454D">
        <w:rPr>
          <w:rFonts w:eastAsia="Calibri"/>
          <w:lang w:val="en-US"/>
        </w:rPr>
        <w:t>The appropriate chapter/s of AMA5 for the body system they are assessing.</w:t>
      </w:r>
    </w:p>
    <w:p w:rsidR="00D8141B" w:rsidRDefault="004A5BE6" w:rsidP="000E15A2">
      <w:pPr>
        <w:pStyle w:val="BodyText14"/>
        <w:numPr>
          <w:ilvl w:val="0"/>
          <w:numId w:val="0"/>
        </w:numPr>
        <w:spacing w:before="200"/>
        <w:ind w:left="709" w:hanging="709"/>
        <w:rPr>
          <w:rFonts w:ascii="Calibri" w:eastAsia="Calibri" w:hAnsi="Calibri" w:cs="Calibri"/>
          <w:sz w:val="20"/>
        </w:rPr>
      </w:pPr>
      <w:r>
        <w:rPr>
          <w:rFonts w:eastAsia="Calibri"/>
        </w:rPr>
        <w:t>The</w:t>
      </w:r>
      <w:r w:rsidR="00D8141B" w:rsidRPr="00D1454D">
        <w:rPr>
          <w:rFonts w:eastAsia="Calibri"/>
        </w:rPr>
        <w:t xml:space="preserve"> Guidelines take precedence over AMA5</w:t>
      </w:r>
      <w:r w:rsidR="00D8141B" w:rsidRPr="00D1454D">
        <w:rPr>
          <w:rFonts w:ascii="Calibri" w:eastAsia="Calibri" w:hAnsi="Calibri" w:cs="Calibri"/>
          <w:sz w:val="20"/>
        </w:rPr>
        <w:t>.</w:t>
      </w:r>
    </w:p>
    <w:p w:rsidR="00D8141B" w:rsidRPr="00D1454D" w:rsidRDefault="00D1454D" w:rsidP="000E15A2">
      <w:pPr>
        <w:pStyle w:val="Heading3"/>
        <w:spacing w:after="120"/>
      </w:pPr>
      <w:r w:rsidRPr="00D8141B">
        <w:t>Introduction</w:t>
      </w:r>
    </w:p>
    <w:p w:rsidR="00D8141B" w:rsidRPr="00D8141B" w:rsidRDefault="00D8141B" w:rsidP="000E15A2">
      <w:pPr>
        <w:pStyle w:val="BodyText14"/>
        <w:spacing w:after="120"/>
      </w:pPr>
      <w:r w:rsidRPr="00D8141B">
        <w:t>AMA5 chapter 8 (pp 173-190) refers to skin diseases generally rather than work-related skin diseases alone. This chapter has been adopted for measuring impairment of the skin system, with the following variations.</w:t>
      </w:r>
    </w:p>
    <w:p w:rsidR="00D8141B" w:rsidRPr="00D8141B" w:rsidRDefault="00D8141B" w:rsidP="000E15A2">
      <w:pPr>
        <w:pStyle w:val="BodyText14"/>
        <w:spacing w:after="120"/>
        <w:rPr>
          <w:szCs w:val="20"/>
        </w:rPr>
      </w:pPr>
      <w:r w:rsidRPr="00D8141B">
        <w:rPr>
          <w:szCs w:val="20"/>
        </w:rPr>
        <w:t>Disfigurement, scars and skin grafts may be assessed as causing significant permanent impairment  when the skin condition causes limitation in the performance of ADL</w:t>
      </w:r>
    </w:p>
    <w:p w:rsidR="00D8141B" w:rsidRPr="00D8141B" w:rsidRDefault="00D8141B" w:rsidP="000E15A2">
      <w:pPr>
        <w:pStyle w:val="BodyText14"/>
        <w:spacing w:after="120"/>
        <w:rPr>
          <w:szCs w:val="20"/>
        </w:rPr>
      </w:pPr>
      <w:r w:rsidRPr="00D8141B">
        <w:rPr>
          <w:szCs w:val="20"/>
        </w:rPr>
        <w:t>For cases of facial disfigurement, refer to table 6.1 in the Guidelines.</w:t>
      </w:r>
    </w:p>
    <w:p w:rsidR="00D8141B" w:rsidRPr="00D8141B" w:rsidRDefault="00D8141B" w:rsidP="000E15A2">
      <w:pPr>
        <w:pStyle w:val="BodyText14"/>
        <w:spacing w:after="120"/>
        <w:rPr>
          <w:szCs w:val="20"/>
        </w:rPr>
      </w:pPr>
      <w:r w:rsidRPr="00D8141B">
        <w:rPr>
          <w:szCs w:val="20"/>
        </w:rPr>
        <w:t>AMA5 table 8-2 (p 178) provides the method of classification of impairment due to skin disorders. Three components- signs and symptoms of skin disorder, limitations in ADL and requirements for treatment­ define five classes of permanent impairment. The assessing specialist should derive a specific percentage impairment within the range for the class that best describes the clinical status of the claimant.</w:t>
      </w:r>
    </w:p>
    <w:p w:rsidR="00D8141B" w:rsidRPr="000E15A2" w:rsidRDefault="00D8141B" w:rsidP="000E15A2">
      <w:pPr>
        <w:pStyle w:val="BodyText14"/>
        <w:spacing w:after="120"/>
        <w:rPr>
          <w:spacing w:val="-4"/>
          <w:szCs w:val="20"/>
        </w:rPr>
      </w:pPr>
      <w:r w:rsidRPr="000E15A2">
        <w:rPr>
          <w:spacing w:val="-4"/>
          <w:szCs w:val="20"/>
        </w:rPr>
        <w:t>The skin is regarded as a single organ and all non-facial scarring is measured together as one overall impairment rather than assessing individual scars separately and combining the results.</w:t>
      </w:r>
    </w:p>
    <w:p w:rsidR="00D8141B" w:rsidRPr="000E15A2" w:rsidRDefault="00D8141B" w:rsidP="000E15A2">
      <w:pPr>
        <w:pStyle w:val="BodyText14"/>
        <w:spacing w:after="120"/>
        <w:rPr>
          <w:szCs w:val="20"/>
        </w:rPr>
      </w:pPr>
      <w:r w:rsidRPr="00D8141B">
        <w:rPr>
          <w:szCs w:val="20"/>
        </w:rPr>
        <w:t xml:space="preserve">A scar may be present </w:t>
      </w:r>
      <w:r w:rsidR="000E15A2">
        <w:rPr>
          <w:szCs w:val="20"/>
        </w:rPr>
        <w:t>and rated as zero per cent WPI.</w:t>
      </w:r>
    </w:p>
    <w:p w:rsidR="00D8141B" w:rsidRPr="00D8141B" w:rsidRDefault="00D8141B" w:rsidP="000E15A2">
      <w:pPr>
        <w:pStyle w:val="BodyText14"/>
        <w:numPr>
          <w:ilvl w:val="0"/>
          <w:numId w:val="0"/>
        </w:numPr>
        <w:spacing w:after="120"/>
        <w:ind w:left="709"/>
      </w:pPr>
      <w:r w:rsidRPr="00D8141B">
        <w:t>Note that uncomplicated scars for standard surgical procedures do not of themselves rate an impairment.</w:t>
      </w:r>
    </w:p>
    <w:p w:rsidR="00D8141B" w:rsidRPr="000E15A2" w:rsidRDefault="00D8141B" w:rsidP="000E15A2">
      <w:pPr>
        <w:pStyle w:val="BodyText14"/>
        <w:spacing w:after="120"/>
        <w:rPr>
          <w:spacing w:val="-4"/>
          <w:szCs w:val="20"/>
        </w:rPr>
      </w:pPr>
      <w:bookmarkStart w:id="371" w:name="OLE_LINK3"/>
      <w:r w:rsidRPr="000E15A2">
        <w:rPr>
          <w:spacing w:val="-4"/>
          <w:szCs w:val="20"/>
        </w:rPr>
        <w:t>The table tor the evaluation of minor skin impairment (TEMSKI) (see table 14.1) is an extension of table 8-2 in AMA5. The TEMSKI divides class 1 of permanent impairment (zero to nine per cent) due to skin disorders into five categories of impairment. The TEMSKI may be used by trained assessors (who are not trained in the skin body system), for determining impairment from zero to four per cent in the class 1 category, that has been caused by minor scarring following surgery. Impairment greater than tour per cent must be assessed by a specialist who has undertaken the requisite training in the assessment of the skin body system.</w:t>
      </w:r>
    </w:p>
    <w:p w:rsidR="00D8141B" w:rsidRPr="00D8141B" w:rsidRDefault="00D8141B" w:rsidP="000E15A2">
      <w:pPr>
        <w:pStyle w:val="BodyText14"/>
        <w:spacing w:after="120"/>
        <w:rPr>
          <w:szCs w:val="20"/>
        </w:rPr>
      </w:pPr>
      <w:r w:rsidRPr="00D8141B">
        <w:rPr>
          <w:szCs w:val="20"/>
        </w:rPr>
        <w:t>The TEMSKI is to be used in accordance with the principle of 'best fit'. The assessor must be satisfied that the criteria within the chosen category of impairment best reflect the skin disorder being assessed. If the skin disorder does not meet all of the criteria within the impairment category, the assessor must provide detailed reasons as to why this category has been chosen over other categories.</w:t>
      </w:r>
    </w:p>
    <w:p w:rsidR="000E15A2" w:rsidRDefault="00D8141B" w:rsidP="000E15A2">
      <w:pPr>
        <w:pStyle w:val="BodyText14"/>
        <w:spacing w:after="120"/>
        <w:rPr>
          <w:szCs w:val="20"/>
        </w:rPr>
      </w:pPr>
      <w:r w:rsidRPr="00D8141B">
        <w:rPr>
          <w:szCs w:val="20"/>
        </w:rPr>
        <w:t xml:space="preserve">Where there is a range of values in the TEMSKI categories, the assessor should use clinical judgement to determine the exact impairment value.  </w:t>
      </w:r>
      <w:bookmarkEnd w:id="371"/>
    </w:p>
    <w:p w:rsidR="00D8141B" w:rsidRPr="000E15A2" w:rsidRDefault="00D8141B" w:rsidP="000E15A2">
      <w:pPr>
        <w:pStyle w:val="BodyText14"/>
        <w:spacing w:after="120"/>
        <w:rPr>
          <w:szCs w:val="20"/>
        </w:rPr>
      </w:pPr>
      <w:r w:rsidRPr="000E15A2">
        <w:rPr>
          <w:szCs w:val="20"/>
        </w:rPr>
        <w:t>The case examples provided in AMA5 chapter 8 do not, in most cases, relate to permanent impairment that results from a work-related injury. The following NSW examples are provided for information.</w:t>
      </w:r>
    </w:p>
    <w:p w:rsidR="00D8141B" w:rsidRPr="00D8141B" w:rsidRDefault="00D8141B" w:rsidP="000E15A2">
      <w:pPr>
        <w:pStyle w:val="BodyText14"/>
        <w:spacing w:after="120"/>
        <w:rPr>
          <w:szCs w:val="20"/>
        </w:rPr>
      </w:pPr>
      <w:r w:rsidRPr="00D8141B">
        <w:rPr>
          <w:szCs w:val="20"/>
        </w:rPr>
        <w:t xml:space="preserve">Work-related case study examples 14.1, 14.2, 14.3, 14.4, 14.5, and 14.6 are included below, in addition to AMA5 examples 8.1-8.22  (pp 178-187). </w:t>
      </w:r>
    </w:p>
    <w:p w:rsidR="00D8141B" w:rsidRPr="00D8141B" w:rsidRDefault="00D8141B" w:rsidP="000E15A2">
      <w:pPr>
        <w:spacing w:before="100" w:after="120" w:line="260" w:lineRule="exact"/>
        <w:jc w:val="both"/>
        <w:rPr>
          <w:rFonts w:eastAsia="Times New Roman" w:cs="Arial"/>
          <w:b/>
          <w:color w:val="000000"/>
          <w:szCs w:val="20"/>
        </w:rPr>
        <w:sectPr w:rsidR="00D8141B" w:rsidRPr="00D8141B" w:rsidSect="002947BC">
          <w:pgSz w:w="11906" w:h="16838" w:code="9"/>
          <w:pgMar w:top="1134" w:right="1134" w:bottom="1134" w:left="1134" w:header="0" w:footer="720" w:gutter="0"/>
          <w:cols w:space="720"/>
          <w:titlePg/>
        </w:sectPr>
      </w:pPr>
    </w:p>
    <w:p w:rsidR="00D8141B" w:rsidRPr="000E15A2" w:rsidRDefault="00D8141B" w:rsidP="000E15A2">
      <w:pPr>
        <w:keepNext/>
        <w:spacing w:after="120" w:line="240" w:lineRule="auto"/>
        <w:outlineLvl w:val="2"/>
        <w:rPr>
          <w:rFonts w:eastAsia="Times New Roman" w:cs="Times New Roman"/>
          <w:b/>
          <w:bCs/>
          <w:sz w:val="24"/>
          <w:szCs w:val="24"/>
          <w:lang w:val="en-US"/>
        </w:rPr>
      </w:pPr>
      <w:r w:rsidRPr="000E15A2">
        <w:rPr>
          <w:rFonts w:eastAsia="Times New Roman" w:cs="Times New Roman"/>
          <w:b/>
          <w:sz w:val="24"/>
          <w:szCs w:val="24"/>
          <w:lang w:val="en-US"/>
        </w:rPr>
        <w:lastRenderedPageBreak/>
        <w:t xml:space="preserve">Table 14.1 Table for the Evaluation of Minor Skin Impairment (TEMSKI)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2565"/>
        <w:gridCol w:w="2508"/>
        <w:gridCol w:w="2508"/>
        <w:gridCol w:w="2592"/>
        <w:gridCol w:w="2838"/>
      </w:tblGrid>
      <w:tr w:rsidR="00D8141B" w:rsidRPr="00D8141B" w:rsidTr="003F702E">
        <w:tc>
          <w:tcPr>
            <w:tcW w:w="2217" w:type="dxa"/>
            <w:tcMar>
              <w:top w:w="142" w:type="dxa"/>
              <w:bottom w:w="142" w:type="dxa"/>
            </w:tcMar>
            <w:vAlign w:val="cente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b/>
                <w:sz w:val="16"/>
                <w:szCs w:val="17"/>
                <w:lang w:val="en-US"/>
              </w:rPr>
              <w:t>Criteria</w:t>
            </w:r>
          </w:p>
        </w:tc>
        <w:tc>
          <w:tcPr>
            <w:tcW w:w="2565" w:type="dxa"/>
            <w:tcMar>
              <w:top w:w="142" w:type="dxa"/>
              <w:bottom w:w="142" w:type="dxa"/>
            </w:tcMar>
            <w:vAlign w:val="cente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b/>
                <w:sz w:val="16"/>
                <w:szCs w:val="17"/>
                <w:lang w:val="en-US"/>
              </w:rPr>
              <w:t>0% WPI</w:t>
            </w:r>
          </w:p>
        </w:tc>
        <w:tc>
          <w:tcPr>
            <w:tcW w:w="2508" w:type="dxa"/>
            <w:tcMar>
              <w:top w:w="142" w:type="dxa"/>
              <w:bottom w:w="142" w:type="dxa"/>
            </w:tcMar>
            <w:vAlign w:val="cente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b/>
                <w:sz w:val="16"/>
                <w:szCs w:val="17"/>
                <w:lang w:val="en-US"/>
              </w:rPr>
              <w:t>1% WPI</w:t>
            </w:r>
          </w:p>
        </w:tc>
        <w:tc>
          <w:tcPr>
            <w:tcW w:w="2508" w:type="dxa"/>
            <w:tcMar>
              <w:top w:w="142" w:type="dxa"/>
              <w:bottom w:w="142" w:type="dxa"/>
            </w:tcMar>
            <w:vAlign w:val="cente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b/>
                <w:sz w:val="16"/>
                <w:szCs w:val="17"/>
                <w:lang w:val="en-US"/>
              </w:rPr>
              <w:t>2% WPI</w:t>
            </w:r>
          </w:p>
        </w:tc>
        <w:tc>
          <w:tcPr>
            <w:tcW w:w="2592" w:type="dxa"/>
            <w:tcMar>
              <w:top w:w="142" w:type="dxa"/>
              <w:bottom w:w="142" w:type="dxa"/>
            </w:tcMa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b/>
                <w:sz w:val="16"/>
                <w:szCs w:val="17"/>
                <w:lang w:val="en-US"/>
              </w:rPr>
              <w:t>3 - 4% WPI</w:t>
            </w:r>
          </w:p>
        </w:tc>
        <w:tc>
          <w:tcPr>
            <w:tcW w:w="2838" w:type="dxa"/>
            <w:shd w:val="clear" w:color="auto" w:fill="CCCCCC"/>
            <w:tcMar>
              <w:top w:w="142" w:type="dxa"/>
              <w:bottom w:w="142" w:type="dxa"/>
            </w:tcMa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b/>
                <w:sz w:val="16"/>
                <w:szCs w:val="17"/>
                <w:lang w:val="en-US"/>
              </w:rPr>
              <w:t>5 - 9% WPI*</w:t>
            </w:r>
          </w:p>
        </w:tc>
      </w:tr>
      <w:tr w:rsidR="00D8141B" w:rsidRPr="00D8141B" w:rsidTr="003F702E">
        <w:trPr>
          <w:trHeight w:val="1462"/>
        </w:trPr>
        <w:tc>
          <w:tcPr>
            <w:tcW w:w="2217" w:type="dxa"/>
            <w:tcMar>
              <w:top w:w="142" w:type="dxa"/>
              <w:bottom w:w="142" w:type="dxa"/>
            </w:tcMa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b/>
                <w:sz w:val="16"/>
                <w:szCs w:val="17"/>
                <w:lang w:val="en-US"/>
              </w:rPr>
              <w:t>Description of the scar(s) and/or skin condition(s)</w:t>
            </w:r>
          </w:p>
          <w:p w:rsidR="00D8141B" w:rsidRPr="00D8141B" w:rsidRDefault="00D8141B" w:rsidP="00D8141B">
            <w:pPr>
              <w:spacing w:after="0" w:line="240" w:lineRule="auto"/>
              <w:rPr>
                <w:rFonts w:eastAsia="Times New Roman" w:cs="Arial"/>
                <w:bCs/>
                <w:sz w:val="16"/>
                <w:szCs w:val="17"/>
                <w:lang w:val="en-US"/>
              </w:rPr>
            </w:pPr>
          </w:p>
          <w:p w:rsidR="00D8141B" w:rsidRPr="00D8141B" w:rsidRDefault="00D8141B" w:rsidP="00D8141B">
            <w:pPr>
              <w:spacing w:after="0" w:line="240" w:lineRule="auto"/>
              <w:rPr>
                <w:rFonts w:eastAsia="Times New Roman" w:cs="Arial"/>
                <w:bCs/>
                <w:sz w:val="16"/>
                <w:szCs w:val="17"/>
                <w:lang w:val="en-US"/>
              </w:rPr>
            </w:pPr>
            <w:r w:rsidRPr="00D8141B">
              <w:rPr>
                <w:rFonts w:eastAsia="Times New Roman" w:cs="Arial"/>
                <w:bCs/>
                <w:sz w:val="16"/>
                <w:szCs w:val="17"/>
                <w:lang w:val="en-US"/>
              </w:rPr>
              <w:t>(shape, texture, colour)</w:t>
            </w:r>
          </w:p>
        </w:tc>
        <w:tc>
          <w:tcPr>
            <w:tcW w:w="2565" w:type="dxa"/>
            <w:tcMar>
              <w:top w:w="142" w:type="dxa"/>
              <w:bottom w:w="142" w:type="dxa"/>
            </w:tcMa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sz w:val="16"/>
                <w:szCs w:val="17"/>
                <w:lang w:val="en-US"/>
              </w:rPr>
              <w:t>Claimant is not conscious or is barely conscious of the scar(s) or skin condition</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Good colour match with surrounding skin and the scar(s) or skin condition is barely distinguishable.Claimant is unable to easily locate the scar(s) or skin condition</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No trophic changes</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 xml:space="preserve">Any staple or suture marks are barely visible </w:t>
            </w:r>
          </w:p>
        </w:tc>
        <w:tc>
          <w:tcPr>
            <w:tcW w:w="2508" w:type="dxa"/>
            <w:tcMar>
              <w:top w:w="142" w:type="dxa"/>
              <w:bottom w:w="142" w:type="dxa"/>
            </w:tcMar>
          </w:tcPr>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bCs/>
                <w:sz w:val="16"/>
                <w:szCs w:val="17"/>
                <w:lang w:val="en-US"/>
              </w:rPr>
              <w:t>Claimant is</w:t>
            </w:r>
            <w:r w:rsidRPr="00D8141B">
              <w:rPr>
                <w:rFonts w:eastAsia="Times New Roman" w:cs="Arial"/>
                <w:sz w:val="16"/>
                <w:szCs w:val="17"/>
                <w:lang w:val="en-US"/>
              </w:rPr>
              <w:t xml:space="preserve"> conscious of the scar(s) or skin condition</w:t>
            </w:r>
          </w:p>
          <w:p w:rsidR="00D8141B" w:rsidRPr="00D8141B" w:rsidRDefault="00D8141B" w:rsidP="00D8141B">
            <w:pPr>
              <w:spacing w:after="0" w:line="240" w:lineRule="auto"/>
              <w:rPr>
                <w:rFonts w:eastAsia="Times New Roman" w:cs="Arial"/>
                <w:b/>
                <w:sz w:val="16"/>
                <w:szCs w:val="17"/>
                <w:lang w:val="en-US"/>
              </w:rPr>
            </w:pPr>
          </w:p>
          <w:p w:rsidR="00D8141B" w:rsidRPr="00D8141B" w:rsidRDefault="00D8141B" w:rsidP="00D8141B">
            <w:pPr>
              <w:spacing w:after="0" w:line="240" w:lineRule="auto"/>
              <w:rPr>
                <w:rFonts w:eastAsia="Times New Roman" w:cs="Arial"/>
                <w:b/>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Some parts of the scar(s) or skin condition colour contrast with the surrounding skin as a result of pigmentary or other changes.</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Claimant is able to locate the scar(s) or skin condition</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Minimal trophic changes</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Any staple or suture marks are visible</w:t>
            </w:r>
          </w:p>
        </w:tc>
        <w:tc>
          <w:tcPr>
            <w:tcW w:w="2508" w:type="dxa"/>
            <w:tcMar>
              <w:top w:w="142" w:type="dxa"/>
              <w:bottom w:w="142" w:type="dxa"/>
            </w:tcMar>
          </w:tcPr>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Claimant is conscious of the scar(s) or skin condition</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Noticeable colour contrast of scar(s) or skin condition with surrounding skin as a result of pigmentary or other changes.</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Claimant is able to easily locate the scar(s) or skin condition</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Trophic changes evident to touch</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Any staple or suture marks are clearly visible</w:t>
            </w:r>
          </w:p>
        </w:tc>
        <w:tc>
          <w:tcPr>
            <w:tcW w:w="2592" w:type="dxa"/>
            <w:tcMar>
              <w:top w:w="142" w:type="dxa"/>
              <w:bottom w:w="142" w:type="dxa"/>
            </w:tcMar>
          </w:tcPr>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Claimant is conscious of the scar(s) or skin condition</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 xml:space="preserve">Easily identifiable colour contrast of scar(s) or skin condition with surrounding skin as a result of pigmentary or other changes. </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Claimant is able to easily locate the scar(s) or skin condition.</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Trophic changes evident to touch</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Any staple or suture marks are clearly visible</w:t>
            </w:r>
          </w:p>
        </w:tc>
        <w:tc>
          <w:tcPr>
            <w:tcW w:w="2838" w:type="dxa"/>
            <w:shd w:val="clear" w:color="auto" w:fill="CCCCCC"/>
            <w:tcMar>
              <w:top w:w="142" w:type="dxa"/>
              <w:bottom w:w="142" w:type="dxa"/>
            </w:tcMar>
          </w:tcPr>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Claimant is conscious of the scar(s) or skin condition</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 xml:space="preserve">Distinct </w:t>
            </w:r>
            <w:r w:rsidRPr="00D8141B">
              <w:rPr>
                <w:rFonts w:eastAsia="Times New Roman" w:cs="Arial"/>
                <w:bCs/>
                <w:sz w:val="16"/>
                <w:szCs w:val="17"/>
                <w:lang w:val="en-US"/>
              </w:rPr>
              <w:t>colour contrast of scar(s) of skin condition with surrounding skin as a result of pigmentary or other changes</w:t>
            </w:r>
            <w:r w:rsidRPr="00D8141B">
              <w:rPr>
                <w:rFonts w:eastAsia="Times New Roman" w:cs="Arial"/>
                <w:sz w:val="16"/>
                <w:szCs w:val="17"/>
                <w:lang w:val="en-US"/>
              </w:rPr>
              <w:t xml:space="preserve"> </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Claimant is able to easily locate the scar(s) or skin condition</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Trophic changes are visible</w:t>
            </w: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Any staple or suture marks are clearly visible</w:t>
            </w:r>
          </w:p>
        </w:tc>
      </w:tr>
      <w:tr w:rsidR="00D8141B" w:rsidRPr="00D8141B" w:rsidTr="003F702E">
        <w:tc>
          <w:tcPr>
            <w:tcW w:w="2217" w:type="dxa"/>
            <w:tcMar>
              <w:top w:w="142" w:type="dxa"/>
              <w:bottom w:w="142" w:type="dxa"/>
            </w:tcMar>
          </w:tcPr>
          <w:p w:rsidR="00D8141B" w:rsidRPr="00D8141B" w:rsidRDefault="00D8141B" w:rsidP="00D8141B">
            <w:pPr>
              <w:spacing w:after="160" w:line="360" w:lineRule="auto"/>
              <w:rPr>
                <w:rFonts w:eastAsia="Times New Roman" w:cs="Arial"/>
                <w:b/>
                <w:bCs/>
                <w:sz w:val="16"/>
                <w:szCs w:val="17"/>
                <w:lang w:val="en-GB"/>
              </w:rPr>
            </w:pPr>
            <w:r w:rsidRPr="00D8141B">
              <w:rPr>
                <w:rFonts w:eastAsia="Times New Roman" w:cs="Arial"/>
                <w:b/>
                <w:bCs/>
                <w:sz w:val="16"/>
                <w:szCs w:val="17"/>
                <w:lang w:val="en-GB"/>
              </w:rPr>
              <w:t>Location</w:t>
            </w:r>
          </w:p>
        </w:tc>
        <w:tc>
          <w:tcPr>
            <w:tcW w:w="2565" w:type="dxa"/>
            <w:tcMar>
              <w:top w:w="142" w:type="dxa"/>
              <w:bottom w:w="142" w:type="dxa"/>
            </w:tcMa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sz w:val="16"/>
                <w:szCs w:val="17"/>
                <w:lang w:val="en-US"/>
              </w:rPr>
              <w:t>Anatomic location of the scar(s) or skin condition</w:t>
            </w: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not clearly visible with usual clothing/hairstyle</w:t>
            </w:r>
          </w:p>
        </w:tc>
        <w:tc>
          <w:tcPr>
            <w:tcW w:w="2508" w:type="dxa"/>
            <w:tcMar>
              <w:top w:w="142" w:type="dxa"/>
              <w:bottom w:w="142" w:type="dxa"/>
            </w:tcMa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sz w:val="16"/>
                <w:szCs w:val="17"/>
                <w:lang w:val="en-US"/>
              </w:rPr>
              <w:t>Anatomic location of the scar(s) or skin condition</w:t>
            </w: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is not usually visible with usual clothing/hairstyle.</w:t>
            </w:r>
          </w:p>
        </w:tc>
        <w:tc>
          <w:tcPr>
            <w:tcW w:w="2508" w:type="dxa"/>
            <w:tcMar>
              <w:top w:w="142" w:type="dxa"/>
              <w:bottom w:w="142" w:type="dxa"/>
            </w:tcMa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sz w:val="16"/>
                <w:szCs w:val="17"/>
                <w:lang w:val="en-US"/>
              </w:rPr>
              <w:t>Anatomic location of the scar(s) or skin condition</w:t>
            </w: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is usually visible with usual clothing/hairstyle.</w:t>
            </w:r>
          </w:p>
        </w:tc>
        <w:tc>
          <w:tcPr>
            <w:tcW w:w="2592" w:type="dxa"/>
            <w:tcMar>
              <w:top w:w="142" w:type="dxa"/>
              <w:bottom w:w="142" w:type="dxa"/>
            </w:tcMar>
          </w:tcPr>
          <w:p w:rsidR="00D8141B" w:rsidRPr="00D8141B" w:rsidRDefault="00D8141B" w:rsidP="00D8141B">
            <w:pPr>
              <w:spacing w:after="0" w:line="240" w:lineRule="auto"/>
              <w:rPr>
                <w:rFonts w:eastAsia="Times New Roman" w:cs="Arial"/>
                <w:b/>
                <w:sz w:val="16"/>
                <w:szCs w:val="17"/>
                <w:lang w:val="en-US"/>
              </w:rPr>
            </w:pPr>
            <w:r w:rsidRPr="00D8141B">
              <w:rPr>
                <w:rFonts w:eastAsia="Times New Roman" w:cs="Arial"/>
                <w:sz w:val="16"/>
                <w:szCs w:val="17"/>
                <w:lang w:val="en-US"/>
              </w:rPr>
              <w:t>Anatomic location of the scar(s) or skin condition</w:t>
            </w:r>
          </w:p>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is visible with usual clothing/hairstyle.</w:t>
            </w:r>
          </w:p>
        </w:tc>
        <w:tc>
          <w:tcPr>
            <w:tcW w:w="2838" w:type="dxa"/>
            <w:shd w:val="clear" w:color="auto" w:fill="CCCCCC"/>
            <w:tcMar>
              <w:top w:w="142" w:type="dxa"/>
              <w:bottom w:w="142" w:type="dxa"/>
            </w:tcMar>
          </w:tcPr>
          <w:p w:rsidR="00D8141B" w:rsidRPr="00D8141B" w:rsidRDefault="00D8141B" w:rsidP="00D8141B">
            <w:pPr>
              <w:spacing w:after="0" w:line="240" w:lineRule="auto"/>
              <w:rPr>
                <w:rFonts w:eastAsia="Times New Roman" w:cs="Arial"/>
                <w:sz w:val="16"/>
                <w:szCs w:val="17"/>
                <w:lang w:val="en-US"/>
              </w:rPr>
            </w:pPr>
            <w:r w:rsidRPr="00D8141B">
              <w:rPr>
                <w:rFonts w:eastAsia="Times New Roman" w:cs="Arial"/>
                <w:sz w:val="16"/>
                <w:szCs w:val="17"/>
                <w:lang w:val="en-US"/>
              </w:rPr>
              <w:t>Anatomic location of the scar(s) or skin condition is usually and clearly visible with usual clothing/hairstyle</w:t>
            </w:r>
          </w:p>
        </w:tc>
      </w:tr>
      <w:tr w:rsidR="00D8141B" w:rsidRPr="00D8141B" w:rsidTr="003F702E">
        <w:trPr>
          <w:trHeight w:val="314"/>
        </w:trPr>
        <w:tc>
          <w:tcPr>
            <w:tcW w:w="2217"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GB"/>
              </w:rPr>
            </w:pPr>
            <w:r w:rsidRPr="00D8141B">
              <w:rPr>
                <w:rFonts w:eastAsia="Times New Roman" w:cs="Arial"/>
                <w:b/>
                <w:bCs/>
                <w:sz w:val="16"/>
                <w:szCs w:val="17"/>
                <w:lang w:val="en-GB"/>
              </w:rPr>
              <w:t>Contour</w:t>
            </w:r>
          </w:p>
        </w:tc>
        <w:tc>
          <w:tcPr>
            <w:tcW w:w="2565"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No contour defect</w:t>
            </w:r>
          </w:p>
        </w:tc>
        <w:tc>
          <w:tcPr>
            <w:tcW w:w="2508"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Minor contour defect</w:t>
            </w:r>
          </w:p>
        </w:tc>
        <w:tc>
          <w:tcPr>
            <w:tcW w:w="2508"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Contour defect visible</w:t>
            </w:r>
          </w:p>
        </w:tc>
        <w:tc>
          <w:tcPr>
            <w:tcW w:w="2592"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Contour defect easily visible</w:t>
            </w:r>
          </w:p>
        </w:tc>
        <w:tc>
          <w:tcPr>
            <w:tcW w:w="2838" w:type="dxa"/>
            <w:shd w:val="clear" w:color="auto" w:fill="CCCCCC"/>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bCs/>
                <w:sz w:val="16"/>
                <w:szCs w:val="17"/>
                <w:lang w:val="en-US"/>
              </w:rPr>
              <w:t>Contour defect</w:t>
            </w:r>
            <w:r w:rsidRPr="00D8141B">
              <w:rPr>
                <w:rFonts w:eastAsia="Times New Roman" w:cs="Arial"/>
                <w:sz w:val="16"/>
                <w:szCs w:val="17"/>
                <w:lang w:val="en-US"/>
              </w:rPr>
              <w:t xml:space="preserve"> easily visible</w:t>
            </w:r>
          </w:p>
        </w:tc>
      </w:tr>
      <w:tr w:rsidR="00D8141B" w:rsidRPr="00D8141B" w:rsidTr="003F702E">
        <w:tc>
          <w:tcPr>
            <w:tcW w:w="2217" w:type="dxa"/>
            <w:tcMar>
              <w:top w:w="142" w:type="dxa"/>
              <w:bottom w:w="142" w:type="dxa"/>
            </w:tcMar>
          </w:tcPr>
          <w:p w:rsidR="00D8141B" w:rsidRPr="00D8141B" w:rsidRDefault="00D8141B" w:rsidP="00D8141B">
            <w:pPr>
              <w:keepLines/>
              <w:spacing w:after="160" w:line="360" w:lineRule="auto"/>
              <w:rPr>
                <w:rFonts w:eastAsia="Times New Roman" w:cs="Arial"/>
                <w:sz w:val="16"/>
                <w:szCs w:val="17"/>
                <w:lang w:val="en-GB"/>
              </w:rPr>
            </w:pPr>
            <w:r w:rsidRPr="00D8141B">
              <w:rPr>
                <w:rFonts w:eastAsia="Times New Roman" w:cs="Arial"/>
                <w:b/>
                <w:bCs/>
                <w:sz w:val="16"/>
                <w:szCs w:val="17"/>
                <w:lang w:val="en-GB"/>
              </w:rPr>
              <w:t>ADL / Treatment</w:t>
            </w:r>
          </w:p>
        </w:tc>
        <w:tc>
          <w:tcPr>
            <w:tcW w:w="2565"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No effect on any ADL.</w:t>
            </w: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No treatment, or intermittent treatment only, required</w:t>
            </w:r>
          </w:p>
        </w:tc>
        <w:tc>
          <w:tcPr>
            <w:tcW w:w="2508"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Negligible effect on any ADL.</w:t>
            </w: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No treatment, or intermittent treatment only, required</w:t>
            </w:r>
          </w:p>
        </w:tc>
        <w:tc>
          <w:tcPr>
            <w:tcW w:w="2508"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Minor limitation in the performance of few ADL.</w:t>
            </w:r>
          </w:p>
          <w:p w:rsidR="00D8141B" w:rsidRPr="00D8141B" w:rsidRDefault="00D8141B" w:rsidP="00D8141B">
            <w:pPr>
              <w:keepLines/>
              <w:spacing w:after="0" w:line="240" w:lineRule="auto"/>
              <w:rPr>
                <w:rFonts w:eastAsia="Times New Roman" w:cs="Arial"/>
                <w:b/>
                <w:sz w:val="16"/>
                <w:szCs w:val="17"/>
                <w:lang w:val="en-US"/>
              </w:rPr>
            </w:pPr>
          </w:p>
          <w:p w:rsidR="00D8141B" w:rsidRPr="00D8141B" w:rsidRDefault="00D8141B" w:rsidP="00D8141B">
            <w:pPr>
              <w:keepLines/>
              <w:spacing w:after="0" w:line="240" w:lineRule="auto"/>
              <w:rPr>
                <w:rFonts w:eastAsia="Times New Roman" w:cs="Arial"/>
                <w:b/>
                <w:sz w:val="16"/>
                <w:szCs w:val="17"/>
                <w:lang w:val="en-US"/>
              </w:rPr>
            </w:pPr>
          </w:p>
          <w:p w:rsidR="00D8141B" w:rsidRPr="00D8141B" w:rsidRDefault="00D8141B" w:rsidP="00D8141B">
            <w:pPr>
              <w:keepLines/>
              <w:spacing w:after="0" w:line="240" w:lineRule="auto"/>
              <w:rPr>
                <w:rFonts w:eastAsia="Times New Roman" w:cs="Arial"/>
                <w:b/>
                <w:sz w:val="16"/>
                <w:szCs w:val="17"/>
                <w:lang w:val="en-US"/>
              </w:rPr>
            </w:pPr>
          </w:p>
          <w:p w:rsidR="00D8141B" w:rsidRPr="00D8141B" w:rsidRDefault="00D8141B" w:rsidP="00D8141B">
            <w:pPr>
              <w:keepLines/>
              <w:spacing w:after="0" w:line="240" w:lineRule="auto"/>
              <w:rPr>
                <w:rFonts w:eastAsia="Times New Roman" w:cs="Arial"/>
                <w:b/>
                <w:sz w:val="16"/>
                <w:szCs w:val="17"/>
                <w:lang w:val="en-US"/>
              </w:rPr>
            </w:pPr>
          </w:p>
          <w:p w:rsidR="00D8141B" w:rsidRPr="00D8141B" w:rsidRDefault="00D8141B" w:rsidP="00D8141B">
            <w:pPr>
              <w:keepLines/>
              <w:spacing w:after="0" w:line="240" w:lineRule="auto"/>
              <w:rPr>
                <w:rFonts w:eastAsia="Times New Roman" w:cs="Arial"/>
                <w:b/>
                <w:sz w:val="16"/>
                <w:szCs w:val="17"/>
                <w:lang w:val="en-US"/>
              </w:rPr>
            </w:pPr>
          </w:p>
          <w:p w:rsidR="00D8141B" w:rsidRPr="00D8141B" w:rsidRDefault="00D8141B" w:rsidP="00D8141B">
            <w:pPr>
              <w:keepLines/>
              <w:spacing w:after="0" w:line="240" w:lineRule="auto"/>
              <w:rPr>
                <w:rFonts w:eastAsia="Times New Roman" w:cs="Arial"/>
                <w:b/>
                <w:sz w:val="16"/>
                <w:szCs w:val="17"/>
                <w:lang w:val="en-US"/>
              </w:rPr>
            </w:pPr>
          </w:p>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bCs/>
                <w:sz w:val="16"/>
                <w:szCs w:val="17"/>
                <w:lang w:val="en-US"/>
              </w:rPr>
              <w:t xml:space="preserve">No treatment, or intermittent treatment </w:t>
            </w:r>
            <w:r w:rsidRPr="00D8141B">
              <w:rPr>
                <w:rFonts w:eastAsia="Times New Roman" w:cs="Arial"/>
                <w:sz w:val="16"/>
                <w:szCs w:val="17"/>
                <w:lang w:val="en-US"/>
              </w:rPr>
              <w:t>only, required</w:t>
            </w:r>
          </w:p>
        </w:tc>
        <w:tc>
          <w:tcPr>
            <w:tcW w:w="2592"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 xml:space="preserve">Minor limitation in the performance of few ADL </w:t>
            </w:r>
            <w:r w:rsidRPr="00D8141B">
              <w:rPr>
                <w:rFonts w:eastAsia="Times New Roman" w:cs="Arial"/>
                <w:b/>
                <w:sz w:val="16"/>
                <w:szCs w:val="17"/>
                <w:lang w:val="en-US"/>
              </w:rPr>
              <w:t>AND</w:t>
            </w:r>
            <w:r w:rsidRPr="00D8141B">
              <w:rPr>
                <w:rFonts w:eastAsia="Times New Roman" w:cs="Arial"/>
                <w:sz w:val="16"/>
                <w:szCs w:val="17"/>
                <w:lang w:val="en-US"/>
              </w:rPr>
              <w:t xml:space="preserve"> exposure to chemical or physical agents (for example, sunlight, heat, cold etc.)</w:t>
            </w:r>
          </w:p>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may temporarily increase limitation.</w:t>
            </w: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bCs/>
                <w:sz w:val="16"/>
                <w:szCs w:val="17"/>
                <w:lang w:val="en-US"/>
              </w:rPr>
              <w:t xml:space="preserve">No treatment, or intermittent treatment </w:t>
            </w:r>
            <w:r w:rsidRPr="00D8141B">
              <w:rPr>
                <w:rFonts w:eastAsia="Times New Roman" w:cs="Arial"/>
                <w:sz w:val="16"/>
                <w:szCs w:val="17"/>
                <w:lang w:val="en-US"/>
              </w:rPr>
              <w:t>only, required</w:t>
            </w:r>
          </w:p>
        </w:tc>
        <w:tc>
          <w:tcPr>
            <w:tcW w:w="2838" w:type="dxa"/>
            <w:shd w:val="clear" w:color="auto" w:fill="CCCCCC"/>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Limitation in the performance of few ADL (</w:t>
            </w:r>
            <w:r w:rsidRPr="00D8141B">
              <w:rPr>
                <w:rFonts w:eastAsia="Times New Roman" w:cs="Arial"/>
                <w:b/>
                <w:bCs/>
                <w:sz w:val="16"/>
                <w:szCs w:val="17"/>
                <w:lang w:val="en-US"/>
              </w:rPr>
              <w:t>INCLUDING</w:t>
            </w:r>
            <w:r w:rsidRPr="00D8141B">
              <w:rPr>
                <w:rFonts w:eastAsia="Times New Roman" w:cs="Arial"/>
                <w:b/>
                <w:sz w:val="16"/>
                <w:szCs w:val="17"/>
                <w:lang w:val="en-US"/>
              </w:rPr>
              <w:t xml:space="preserve"> </w:t>
            </w:r>
            <w:r w:rsidRPr="00D8141B">
              <w:rPr>
                <w:rFonts w:eastAsia="Times New Roman" w:cs="Arial"/>
                <w:sz w:val="16"/>
                <w:szCs w:val="17"/>
                <w:lang w:val="en-US"/>
              </w:rPr>
              <w:t>restriction in grooming or dressing)</w:t>
            </w:r>
            <w:r w:rsidRPr="00D8141B">
              <w:rPr>
                <w:rFonts w:eastAsia="Times New Roman" w:cs="Arial"/>
                <w:b/>
                <w:sz w:val="16"/>
                <w:szCs w:val="17"/>
                <w:lang w:val="en-US"/>
              </w:rPr>
              <w:t xml:space="preserve"> AND</w:t>
            </w:r>
            <w:r w:rsidRPr="00D8141B">
              <w:rPr>
                <w:rFonts w:eastAsia="Times New Roman" w:cs="Arial"/>
                <w:sz w:val="16"/>
                <w:szCs w:val="17"/>
                <w:lang w:val="en-US"/>
              </w:rPr>
              <w:t xml:space="preserve"> exposure to chemical or physical agents (for example, sunlight, heat, cold etc.) may temporarily increase limitation or restriction.</w:t>
            </w:r>
          </w:p>
          <w:p w:rsidR="00D8141B" w:rsidRPr="00D8141B" w:rsidRDefault="00D8141B" w:rsidP="00D8141B">
            <w:pPr>
              <w:keepLines/>
              <w:spacing w:after="0" w:line="240" w:lineRule="auto"/>
              <w:rPr>
                <w:rFonts w:eastAsia="Times New Roman" w:cs="Arial"/>
                <w:sz w:val="16"/>
                <w:szCs w:val="17"/>
                <w:lang w:val="en-US"/>
              </w:rPr>
            </w:pPr>
          </w:p>
          <w:p w:rsidR="00D8141B" w:rsidRPr="00D8141B" w:rsidRDefault="00D8141B" w:rsidP="00D8141B">
            <w:pPr>
              <w:keepLines/>
              <w:spacing w:after="0" w:line="240" w:lineRule="auto"/>
              <w:rPr>
                <w:rFonts w:eastAsia="Times New Roman" w:cs="Arial"/>
                <w:b/>
                <w:sz w:val="16"/>
                <w:szCs w:val="17"/>
                <w:lang w:val="en-US"/>
              </w:rPr>
            </w:pPr>
            <w:r w:rsidRPr="00D8141B">
              <w:rPr>
                <w:rFonts w:eastAsia="Times New Roman" w:cs="Arial"/>
                <w:bCs/>
                <w:sz w:val="16"/>
                <w:szCs w:val="17"/>
                <w:lang w:val="en-US"/>
              </w:rPr>
              <w:t xml:space="preserve">No treatment, or intermittent treatment </w:t>
            </w:r>
            <w:r w:rsidRPr="00D8141B">
              <w:rPr>
                <w:rFonts w:eastAsia="Times New Roman" w:cs="Arial"/>
                <w:sz w:val="16"/>
                <w:szCs w:val="17"/>
                <w:lang w:val="en-US"/>
              </w:rPr>
              <w:t>only, required</w:t>
            </w:r>
          </w:p>
        </w:tc>
      </w:tr>
      <w:tr w:rsidR="00D8141B" w:rsidRPr="00D8141B" w:rsidTr="003F702E">
        <w:tc>
          <w:tcPr>
            <w:tcW w:w="2217" w:type="dxa"/>
            <w:tcMar>
              <w:top w:w="142" w:type="dxa"/>
              <w:bottom w:w="142" w:type="dxa"/>
            </w:tcMar>
          </w:tcPr>
          <w:p w:rsidR="00D8141B" w:rsidRPr="00D8141B" w:rsidRDefault="00D8141B" w:rsidP="00D8141B">
            <w:pPr>
              <w:keepLines/>
              <w:spacing w:after="0" w:line="240" w:lineRule="auto"/>
              <w:rPr>
                <w:rFonts w:eastAsia="Times New Roman" w:cs="Arial"/>
                <w:b/>
                <w:sz w:val="16"/>
                <w:szCs w:val="17"/>
                <w:lang w:val="en-US"/>
              </w:rPr>
            </w:pPr>
            <w:r w:rsidRPr="00D8141B">
              <w:rPr>
                <w:rFonts w:eastAsia="Times New Roman" w:cs="Arial"/>
                <w:b/>
                <w:sz w:val="16"/>
                <w:szCs w:val="17"/>
                <w:lang w:val="en-US"/>
              </w:rPr>
              <w:t>Adherence to underlying structures</w:t>
            </w:r>
          </w:p>
        </w:tc>
        <w:tc>
          <w:tcPr>
            <w:tcW w:w="2565"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 xml:space="preserve">No adherence </w:t>
            </w:r>
          </w:p>
        </w:tc>
        <w:tc>
          <w:tcPr>
            <w:tcW w:w="2508"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 xml:space="preserve">No adherence </w:t>
            </w:r>
          </w:p>
        </w:tc>
        <w:tc>
          <w:tcPr>
            <w:tcW w:w="2508"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 xml:space="preserve">No adherence </w:t>
            </w:r>
          </w:p>
        </w:tc>
        <w:tc>
          <w:tcPr>
            <w:tcW w:w="2592" w:type="dxa"/>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Some adherence</w:t>
            </w:r>
          </w:p>
        </w:tc>
        <w:tc>
          <w:tcPr>
            <w:tcW w:w="2838" w:type="dxa"/>
            <w:shd w:val="clear" w:color="auto" w:fill="CCCCCC"/>
            <w:tcMar>
              <w:top w:w="142" w:type="dxa"/>
              <w:bottom w:w="142" w:type="dxa"/>
            </w:tcMar>
          </w:tcPr>
          <w:p w:rsidR="00D8141B" w:rsidRPr="00D8141B" w:rsidRDefault="00D8141B" w:rsidP="00D8141B">
            <w:pPr>
              <w:keepLines/>
              <w:spacing w:after="0" w:line="240" w:lineRule="auto"/>
              <w:rPr>
                <w:rFonts w:eastAsia="Times New Roman" w:cs="Arial"/>
                <w:sz w:val="16"/>
                <w:szCs w:val="17"/>
                <w:lang w:val="en-US"/>
              </w:rPr>
            </w:pPr>
            <w:r w:rsidRPr="00D8141B">
              <w:rPr>
                <w:rFonts w:eastAsia="Times New Roman" w:cs="Arial"/>
                <w:sz w:val="16"/>
                <w:szCs w:val="17"/>
                <w:lang w:val="en-US"/>
              </w:rPr>
              <w:t>Some adherence</w:t>
            </w:r>
          </w:p>
        </w:tc>
      </w:tr>
    </w:tbl>
    <w:p w:rsidR="00D8141B" w:rsidRPr="00D8141B" w:rsidRDefault="00D8141B" w:rsidP="00D8141B">
      <w:pPr>
        <w:keepLines/>
        <w:spacing w:after="0" w:line="240" w:lineRule="auto"/>
        <w:ind w:right="941"/>
        <w:rPr>
          <w:rFonts w:eastAsia="Times New Roman" w:cs="Arial"/>
          <w:szCs w:val="20"/>
          <w:lang w:val="en-US"/>
        </w:rPr>
        <w:sectPr w:rsidR="00D8141B" w:rsidRPr="00D8141B" w:rsidSect="00427669">
          <w:headerReference w:type="first" r:id="rId43"/>
          <w:pgSz w:w="16838" w:h="11906" w:orient="landscape" w:code="9"/>
          <w:pgMar w:top="1134" w:right="1134" w:bottom="1134" w:left="1134" w:header="0" w:footer="624" w:gutter="0"/>
          <w:cols w:space="720"/>
          <w:titlePg/>
          <w:docGrid w:linePitch="326"/>
        </w:sectPr>
      </w:pPr>
      <w:bookmarkStart w:id="372" w:name="OLE_LINK4"/>
      <w:r w:rsidRPr="00D8141B">
        <w:rPr>
          <w:rFonts w:eastAsia="Times New Roman" w:cs="Arial"/>
          <w:b/>
          <w:sz w:val="16"/>
          <w:szCs w:val="18"/>
          <w:lang w:val="en-US"/>
        </w:rPr>
        <w:t>This table uses the principle of ‘best fit’.</w:t>
      </w:r>
      <w:r w:rsidRPr="00D8141B">
        <w:rPr>
          <w:rFonts w:eastAsia="Times New Roman" w:cs="Arial"/>
          <w:sz w:val="16"/>
          <w:szCs w:val="18"/>
          <w:lang w:val="en-US"/>
        </w:rPr>
        <w:t xml:space="preserve">  You should assess the impairment to the whole skin system against each criteria and then determine which impairment category best fits (or describes) the impairment.  Refer to 14.8 regarding application of this table.  </w:t>
      </w:r>
      <w:bookmarkEnd w:id="372"/>
    </w:p>
    <w:p w:rsidR="00D8141B" w:rsidRPr="000E15A2" w:rsidRDefault="00D8141B" w:rsidP="00781113">
      <w:pPr>
        <w:tabs>
          <w:tab w:val="left" w:pos="2552"/>
        </w:tabs>
        <w:spacing w:after="100" w:line="240" w:lineRule="auto"/>
        <w:ind w:left="2552" w:hanging="2552"/>
        <w:outlineLvl w:val="2"/>
        <w:rPr>
          <w:rFonts w:eastAsia="Times New Roman" w:cs="Arial"/>
          <w:b/>
          <w:bCs/>
          <w:sz w:val="24"/>
          <w:szCs w:val="24"/>
          <w:lang w:val="en-US"/>
        </w:rPr>
      </w:pPr>
      <w:bookmarkStart w:id="373" w:name="_Toc144874781"/>
      <w:bookmarkStart w:id="374" w:name="_Toc144875370"/>
      <w:bookmarkEnd w:id="369"/>
      <w:r w:rsidRPr="000E15A2">
        <w:rPr>
          <w:rFonts w:eastAsia="Times New Roman" w:cs="Arial"/>
          <w:b/>
          <w:bCs/>
          <w:sz w:val="24"/>
          <w:szCs w:val="24"/>
          <w:lang w:val="en-US"/>
        </w:rPr>
        <w:lastRenderedPageBreak/>
        <w:t>Example 14.1:</w:t>
      </w:r>
      <w:bookmarkStart w:id="375" w:name="_Hlt529258531"/>
      <w:r w:rsidR="000E15A2" w:rsidRPr="000E15A2">
        <w:rPr>
          <w:rFonts w:eastAsia="Times New Roman" w:cs="Arial"/>
          <w:b/>
          <w:bCs/>
          <w:sz w:val="24"/>
          <w:szCs w:val="24"/>
          <w:lang w:val="en-US"/>
        </w:rPr>
        <w:t xml:space="preserve"> </w:t>
      </w:r>
      <w:r w:rsidRPr="000E15A2">
        <w:rPr>
          <w:rFonts w:eastAsia="Times New Roman" w:cs="Arial"/>
          <w:b/>
          <w:bCs/>
          <w:sz w:val="24"/>
          <w:szCs w:val="24"/>
          <w:lang w:val="en-US"/>
        </w:rPr>
        <w:t>Cumulative irritant dermatitis</w:t>
      </w:r>
      <w:bookmarkEnd w:id="373"/>
      <w:bookmarkEnd w:id="374"/>
    </w:p>
    <w:bookmarkEnd w:id="375"/>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Subject:</w:t>
      </w:r>
      <w:r w:rsidR="000E15A2">
        <w:rPr>
          <w:rFonts w:eastAsia="Times New Roman" w:cs="Arial"/>
          <w:szCs w:val="20"/>
          <w:lang w:val="en-US"/>
        </w:rPr>
        <w:t xml:space="preserve"> </w:t>
      </w:r>
      <w:r w:rsidRPr="00D8141B">
        <w:rPr>
          <w:rFonts w:eastAsia="Times New Roman" w:cs="Arial"/>
          <w:szCs w:val="20"/>
          <w:lang w:val="en-US"/>
        </w:rPr>
        <w:tab/>
        <w:t>42-year-old man.</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History:</w:t>
      </w:r>
      <w:r w:rsidR="000E15A2">
        <w:rPr>
          <w:rFonts w:eastAsia="Times New Roman" w:cs="Arial"/>
          <w:szCs w:val="20"/>
          <w:lang w:val="en-US"/>
        </w:rPr>
        <w:tab/>
      </w:r>
      <w:r w:rsidRPr="00D8141B">
        <w:rPr>
          <w:rFonts w:eastAsia="Times New Roman" w:cs="Arial"/>
          <w:szCs w:val="20"/>
          <w:lang w:val="en-US"/>
        </w:rPr>
        <w:t xml:space="preserve">Spray painter working on ships in dry dock. Not required to prepare surface but required to mix paints (including epoxy and polyurethane) with 'thinners' (solvents) and spray metal ships' surface. At end of each session, required to clean equipment with solvent. Not supplied with gloves or other personal protective equipment until after onset of symptoms. Gradual increase in severity in spite of commencing to wear gloves. Off work two months leading to clearance, but frequent recurrence, especially if the subject attempted prolonged work wearing latex or PVC gloves or wet work without gloves. </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Current:</w:t>
      </w:r>
      <w:r w:rsidRPr="00D8141B">
        <w:rPr>
          <w:rFonts w:eastAsia="Times New Roman" w:cs="Arial"/>
          <w:szCs w:val="20"/>
          <w:lang w:val="en-US"/>
        </w:rPr>
        <w:tab/>
        <w:t>Returned to dry duties only at work. Mostly clear of dermatitis, but flares.</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Physical examination</w:t>
      </w:r>
      <w:r w:rsidRPr="00D8141B">
        <w:rPr>
          <w:rFonts w:eastAsia="Times New Roman" w:cs="Arial"/>
          <w:szCs w:val="20"/>
          <w:lang w:val="en-US"/>
        </w:rPr>
        <w:t>:</w:t>
      </w:r>
      <w:r w:rsidRPr="00D8141B">
        <w:rPr>
          <w:rFonts w:eastAsia="Times New Roman" w:cs="Arial"/>
          <w:szCs w:val="20"/>
          <w:lang w:val="en-US"/>
        </w:rPr>
        <w:tab/>
        <w:t>Varies between no abnormality detected to mild dermatitis of the dorsum of hands.</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Investigations:</w:t>
      </w:r>
      <w:r w:rsidRPr="00D8141B">
        <w:rPr>
          <w:rFonts w:eastAsia="Times New Roman" w:cs="Arial"/>
          <w:b/>
          <w:szCs w:val="20"/>
          <w:lang w:val="en-US"/>
        </w:rPr>
        <w:tab/>
      </w:r>
      <w:r w:rsidRPr="00D8141B">
        <w:rPr>
          <w:rFonts w:eastAsia="Times New Roman" w:cs="Arial"/>
          <w:szCs w:val="20"/>
          <w:lang w:val="en-US"/>
        </w:rPr>
        <w:t>Patch test standard + epoxy + isocyanates (polyurethanes). No reactions.</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Impairment:</w:t>
      </w:r>
      <w:r w:rsidR="00781113">
        <w:rPr>
          <w:rFonts w:eastAsia="Times New Roman" w:cs="Arial"/>
          <w:szCs w:val="20"/>
          <w:lang w:val="en-US"/>
        </w:rPr>
        <w:tab/>
      </w:r>
      <w:r w:rsidRPr="00D8141B">
        <w:rPr>
          <w:rFonts w:eastAsia="Times New Roman" w:cs="Arial"/>
          <w:szCs w:val="20"/>
          <w:lang w:val="en-US"/>
        </w:rPr>
        <w:t>Zero per cent.</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Comment:</w:t>
      </w:r>
      <w:r w:rsidR="00781113">
        <w:rPr>
          <w:rFonts w:eastAsia="Times New Roman" w:cs="Arial"/>
          <w:szCs w:val="20"/>
          <w:lang w:val="en-US"/>
        </w:rPr>
        <w:tab/>
      </w:r>
      <w:r w:rsidRPr="00D8141B">
        <w:rPr>
          <w:rFonts w:eastAsia="Times New Roman" w:cs="Arial"/>
          <w:szCs w:val="20"/>
          <w:lang w:val="en-US"/>
        </w:rPr>
        <w:t>No interference with ADL.</w:t>
      </w:r>
    </w:p>
    <w:p w:rsidR="00D8141B" w:rsidRPr="000E15A2" w:rsidRDefault="000E15A2" w:rsidP="00781113">
      <w:pPr>
        <w:tabs>
          <w:tab w:val="left" w:pos="2268"/>
          <w:tab w:val="left" w:pos="2552"/>
        </w:tabs>
        <w:spacing w:before="360" w:after="100" w:line="240" w:lineRule="auto"/>
        <w:ind w:left="2552" w:hanging="2552"/>
        <w:outlineLvl w:val="2"/>
        <w:rPr>
          <w:rFonts w:eastAsia="Times New Roman" w:cs="Arial"/>
          <w:b/>
          <w:bCs/>
          <w:sz w:val="24"/>
          <w:szCs w:val="24"/>
          <w:lang w:val="en-US"/>
        </w:rPr>
      </w:pPr>
      <w:bookmarkStart w:id="376" w:name="_Toc144874782"/>
      <w:bookmarkStart w:id="377" w:name="_Toc144875371"/>
      <w:r w:rsidRPr="000E15A2">
        <w:rPr>
          <w:rFonts w:eastAsia="Times New Roman" w:cs="Arial"/>
          <w:b/>
          <w:bCs/>
          <w:sz w:val="24"/>
          <w:szCs w:val="24"/>
          <w:lang w:val="en-US"/>
        </w:rPr>
        <w:t>Example 14.2:</w:t>
      </w:r>
      <w:r w:rsidR="00781113">
        <w:rPr>
          <w:rFonts w:eastAsia="Times New Roman" w:cs="Arial"/>
          <w:b/>
          <w:bCs/>
          <w:sz w:val="24"/>
          <w:szCs w:val="24"/>
          <w:lang w:val="en-US"/>
        </w:rPr>
        <w:t xml:space="preserve"> </w:t>
      </w:r>
      <w:r w:rsidR="00D8141B" w:rsidRPr="000E15A2">
        <w:rPr>
          <w:rFonts w:eastAsia="Times New Roman" w:cs="Arial"/>
          <w:b/>
          <w:bCs/>
          <w:sz w:val="24"/>
          <w:szCs w:val="24"/>
          <w:lang w:val="en-US"/>
        </w:rPr>
        <w:t>Allergic contact dermatitis to hair dye</w:t>
      </w:r>
      <w:bookmarkEnd w:id="376"/>
      <w:bookmarkEnd w:id="377"/>
    </w:p>
    <w:p w:rsidR="00D8141B" w:rsidRPr="00D8141B" w:rsidRDefault="00D8141B" w:rsidP="00781113">
      <w:pPr>
        <w:tabs>
          <w:tab w:val="left" w:pos="2410"/>
        </w:tabs>
        <w:spacing w:after="100" w:line="240" w:lineRule="auto"/>
        <w:ind w:left="2410" w:hanging="2410"/>
        <w:rPr>
          <w:rFonts w:eastAsia="Times New Roman" w:cs="Arial"/>
          <w:szCs w:val="20"/>
          <w:vertAlign w:val="superscript"/>
          <w:lang w:val="en-US"/>
        </w:rPr>
      </w:pPr>
      <w:r w:rsidRPr="00D8141B">
        <w:rPr>
          <w:rFonts w:eastAsia="Times New Roman" w:cs="Arial"/>
          <w:b/>
          <w:bCs/>
          <w:szCs w:val="20"/>
          <w:lang w:val="en-US"/>
        </w:rPr>
        <w:t>Subject:</w:t>
      </w:r>
      <w:r w:rsidR="00781113">
        <w:rPr>
          <w:rFonts w:eastAsia="Times New Roman" w:cs="Arial"/>
          <w:b/>
          <w:szCs w:val="20"/>
          <w:lang w:val="en-US"/>
        </w:rPr>
        <w:tab/>
      </w:r>
      <w:r w:rsidRPr="00D8141B">
        <w:rPr>
          <w:rFonts w:eastAsia="Times New Roman" w:cs="Arial"/>
          <w:szCs w:val="20"/>
          <w:lang w:val="en-US"/>
        </w:rPr>
        <w:t>30-year-old woman.</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History:</w:t>
      </w:r>
      <w:r w:rsidRPr="00D8141B">
        <w:rPr>
          <w:rFonts w:eastAsia="Times New Roman" w:cs="Arial"/>
          <w:szCs w:val="20"/>
          <w:lang w:val="en-US"/>
        </w:rPr>
        <w:tab/>
        <w:t>Hairdresser 15 years, with six month history of hand dermatitis, increasing despite beginning to wear latex gloves after onset. Dermatitis settled to very mild after four weeks off work, but not clear. As the condition flared whenever the subject returned to hairdressing, she ceased and is now a computer operator.</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Current:</w:t>
      </w:r>
      <w:r w:rsidR="00781113">
        <w:rPr>
          <w:rFonts w:eastAsia="Times New Roman" w:cs="Arial"/>
          <w:b/>
          <w:szCs w:val="20"/>
          <w:lang w:val="en-US"/>
        </w:rPr>
        <w:tab/>
      </w:r>
      <w:r w:rsidRPr="00D8141B">
        <w:rPr>
          <w:rFonts w:eastAsia="Times New Roman" w:cs="Arial"/>
          <w:szCs w:val="20"/>
          <w:lang w:val="en-US"/>
        </w:rPr>
        <w:t>Mild continuing dermatitis of the hands which flares when doing wet work (without gloves) or when wears latex or PVC gloves. Has three young children and impossible to avoid wet work.</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Investigation:</w:t>
      </w:r>
      <w:r w:rsidR="00781113">
        <w:rPr>
          <w:rFonts w:eastAsia="Times New Roman" w:cs="Arial"/>
          <w:b/>
          <w:szCs w:val="20"/>
          <w:lang w:val="en-US"/>
        </w:rPr>
        <w:tab/>
      </w:r>
      <w:r w:rsidRPr="00D8141B">
        <w:rPr>
          <w:rFonts w:eastAsia="Times New Roman" w:cs="Arial"/>
          <w:szCs w:val="20"/>
          <w:lang w:val="en-US"/>
        </w:rPr>
        <w:t>Patch test standard + hairdressing series. Possible reaction to paraphenylene diamine.</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Impairment:</w:t>
      </w:r>
      <w:r w:rsidR="00781113">
        <w:rPr>
          <w:rFonts w:eastAsia="Times New Roman" w:cs="Arial"/>
          <w:szCs w:val="20"/>
          <w:lang w:val="en-US"/>
        </w:rPr>
        <w:tab/>
      </w:r>
      <w:r w:rsidRPr="00D8141B">
        <w:rPr>
          <w:rFonts w:eastAsia="Times New Roman" w:cs="Arial"/>
          <w:szCs w:val="20"/>
          <w:lang w:val="en-US"/>
        </w:rPr>
        <w:t>Five per cent.</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Comment:</w:t>
      </w:r>
      <w:r w:rsidR="00781113">
        <w:rPr>
          <w:rFonts w:eastAsia="Times New Roman" w:cs="Arial"/>
          <w:b/>
          <w:szCs w:val="20"/>
          <w:lang w:val="en-US"/>
        </w:rPr>
        <w:tab/>
      </w:r>
      <w:r w:rsidRPr="00D8141B">
        <w:rPr>
          <w:rFonts w:eastAsia="Times New Roman" w:cs="Arial"/>
          <w:szCs w:val="20"/>
          <w:lang w:val="en-US"/>
        </w:rPr>
        <w:t>Able to carry out ADL with difficulty, therefore limited performance of some ADL</w:t>
      </w:r>
    </w:p>
    <w:p w:rsidR="00D8141B" w:rsidRPr="000E15A2" w:rsidRDefault="000E15A2" w:rsidP="00781113">
      <w:pPr>
        <w:tabs>
          <w:tab w:val="left" w:pos="2552"/>
        </w:tabs>
        <w:spacing w:before="360" w:after="100" w:line="240" w:lineRule="auto"/>
        <w:outlineLvl w:val="2"/>
        <w:rPr>
          <w:rFonts w:eastAsia="Times New Roman" w:cs="Arial"/>
          <w:b/>
          <w:bCs/>
          <w:sz w:val="24"/>
          <w:szCs w:val="24"/>
          <w:lang w:val="en-US"/>
        </w:rPr>
      </w:pPr>
      <w:bookmarkStart w:id="378" w:name="_Toc144874783"/>
      <w:bookmarkStart w:id="379" w:name="_Toc144875372"/>
      <w:r>
        <w:rPr>
          <w:rFonts w:eastAsia="Times New Roman" w:cs="Arial"/>
          <w:b/>
          <w:bCs/>
          <w:sz w:val="24"/>
          <w:szCs w:val="24"/>
          <w:lang w:val="en-US"/>
        </w:rPr>
        <w:t>Example 14.3:</w:t>
      </w:r>
      <w:r w:rsidR="00781113">
        <w:rPr>
          <w:rFonts w:eastAsia="Times New Roman" w:cs="Arial"/>
          <w:b/>
          <w:bCs/>
          <w:sz w:val="24"/>
          <w:szCs w:val="24"/>
          <w:lang w:val="en-US"/>
        </w:rPr>
        <w:t xml:space="preserve"> </w:t>
      </w:r>
      <w:r w:rsidR="00D8141B" w:rsidRPr="000E15A2">
        <w:rPr>
          <w:rFonts w:eastAsia="Times New Roman" w:cs="Arial"/>
          <w:b/>
          <w:bCs/>
          <w:sz w:val="24"/>
          <w:szCs w:val="24"/>
          <w:lang w:val="en-US"/>
        </w:rPr>
        <w:t>“Cement dermatitis” due to chromate in cement</w:t>
      </w:r>
      <w:bookmarkEnd w:id="378"/>
      <w:bookmarkEnd w:id="379"/>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Subject:</w:t>
      </w:r>
      <w:r w:rsidR="00781113">
        <w:rPr>
          <w:rFonts w:eastAsia="Times New Roman" w:cs="Arial"/>
          <w:szCs w:val="20"/>
          <w:lang w:val="en-US"/>
        </w:rPr>
        <w:tab/>
      </w:r>
      <w:r w:rsidRPr="00D8141B">
        <w:rPr>
          <w:rFonts w:eastAsia="Times New Roman" w:cs="Arial"/>
          <w:szCs w:val="20"/>
          <w:lang w:val="en-US"/>
        </w:rPr>
        <w:t>43-year-old man.</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History:</w:t>
      </w:r>
      <w:r w:rsidR="00781113">
        <w:rPr>
          <w:rFonts w:eastAsia="Times New Roman" w:cs="Arial"/>
          <w:szCs w:val="20"/>
          <w:lang w:val="en-US"/>
        </w:rPr>
        <w:tab/>
      </w:r>
      <w:r w:rsidRPr="00D8141B">
        <w:rPr>
          <w:rFonts w:eastAsia="Times New Roman" w:cs="Arial"/>
          <w:szCs w:val="20"/>
          <w:lang w:val="en-US"/>
        </w:rPr>
        <w:t>Concreter since age 16. Eighteen month history of increasing hand dermatitis eventually on dorsal and palmar surface of hands and fingers. Off work and treatment led to limited improvement only.</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Physical examination:</w:t>
      </w:r>
      <w:r w:rsidRPr="00D8141B">
        <w:rPr>
          <w:rFonts w:eastAsia="Times New Roman" w:cs="Arial"/>
          <w:b/>
          <w:bCs/>
          <w:szCs w:val="20"/>
          <w:lang w:val="en-US"/>
        </w:rPr>
        <w:tab/>
      </w:r>
      <w:r w:rsidRPr="00D8141B">
        <w:rPr>
          <w:rFonts w:eastAsia="Times New Roman" w:cs="Arial"/>
          <w:szCs w:val="20"/>
          <w:lang w:val="en-US"/>
        </w:rPr>
        <w:t>Fissured skin, hyperkeratotic chronic dermatitis.</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Investigation:</w:t>
      </w:r>
      <w:r w:rsidR="00781113">
        <w:rPr>
          <w:rFonts w:eastAsia="Times New Roman" w:cs="Arial"/>
          <w:szCs w:val="20"/>
          <w:lang w:val="en-US"/>
        </w:rPr>
        <w:tab/>
      </w:r>
      <w:r w:rsidRPr="00D8141B">
        <w:rPr>
          <w:rFonts w:eastAsia="Times New Roman" w:cs="Arial"/>
          <w:szCs w:val="20"/>
          <w:lang w:val="en-US"/>
        </w:rPr>
        <w:t>Patch test. Positive reaction to dichromate.</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Current:</w:t>
      </w:r>
      <w:r w:rsidR="00781113">
        <w:rPr>
          <w:rFonts w:eastAsia="Times New Roman" w:cs="Arial"/>
          <w:szCs w:val="20"/>
          <w:lang w:val="en-US"/>
        </w:rPr>
        <w:tab/>
      </w:r>
      <w:r w:rsidRPr="00D8141B">
        <w:rPr>
          <w:rFonts w:eastAsia="Times New Roman" w:cs="Arial"/>
          <w:szCs w:val="20"/>
          <w:lang w:val="en-US"/>
        </w:rPr>
        <w:t>Intractable, chronic, fissured dermatitis.</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Impairment:</w:t>
      </w:r>
      <w:r w:rsidR="00781113">
        <w:rPr>
          <w:rFonts w:eastAsia="Times New Roman" w:cs="Arial"/>
          <w:szCs w:val="20"/>
          <w:lang w:val="en-US"/>
        </w:rPr>
        <w:t xml:space="preserve"> </w:t>
      </w:r>
      <w:r w:rsidR="00781113">
        <w:rPr>
          <w:rFonts w:eastAsia="Times New Roman" w:cs="Arial"/>
          <w:szCs w:val="20"/>
          <w:lang w:val="en-US"/>
        </w:rPr>
        <w:tab/>
      </w:r>
      <w:r w:rsidRPr="00D8141B">
        <w:rPr>
          <w:rFonts w:eastAsia="Times New Roman" w:cs="Arial"/>
          <w:szCs w:val="20"/>
          <w:lang w:val="en-US"/>
        </w:rPr>
        <w:t>12 per cent.</w:t>
      </w:r>
    </w:p>
    <w:p w:rsidR="00D8141B" w:rsidRPr="00D8141B" w:rsidRDefault="00D8141B" w:rsidP="00781113">
      <w:pPr>
        <w:tabs>
          <w:tab w:val="left" w:pos="2410"/>
        </w:tabs>
        <w:spacing w:after="100" w:line="240" w:lineRule="auto"/>
        <w:ind w:left="2410" w:hanging="2410"/>
        <w:rPr>
          <w:rFonts w:eastAsia="Times New Roman" w:cs="Arial"/>
          <w:szCs w:val="20"/>
          <w:lang w:val="en-US"/>
        </w:rPr>
      </w:pPr>
      <w:r w:rsidRPr="00D8141B">
        <w:rPr>
          <w:rFonts w:eastAsia="Times New Roman" w:cs="Arial"/>
          <w:b/>
          <w:bCs/>
          <w:szCs w:val="20"/>
          <w:lang w:val="en-US"/>
        </w:rPr>
        <w:t>Comment:</w:t>
      </w:r>
      <w:r w:rsidR="00781113">
        <w:rPr>
          <w:rFonts w:eastAsia="Times New Roman" w:cs="Arial"/>
          <w:szCs w:val="20"/>
          <w:lang w:val="en-US"/>
        </w:rPr>
        <w:tab/>
      </w:r>
      <w:r w:rsidRPr="00D8141B">
        <w:rPr>
          <w:rFonts w:eastAsia="Times New Roman" w:cs="Arial"/>
          <w:szCs w:val="20"/>
          <w:lang w:val="en-US"/>
        </w:rPr>
        <w:t>Unable to obtain any employment because has chronic dermatitis and on disability support pension. Difficulty gripping items including steering wheel,hammer and other tools. Unable to do any wet work (eg painting).</w:t>
      </w:r>
      <w:r w:rsidR="00781113">
        <w:rPr>
          <w:rFonts w:eastAsia="Times New Roman" w:cs="Arial"/>
          <w:szCs w:val="20"/>
          <w:lang w:val="en-US"/>
        </w:rPr>
        <w:t xml:space="preserve"> </w:t>
      </w:r>
      <w:r w:rsidRPr="00D8141B">
        <w:rPr>
          <w:rFonts w:eastAsia="Times New Roman" w:cs="Arial"/>
          <w:szCs w:val="20"/>
          <w:lang w:val="en-US"/>
        </w:rPr>
        <w:t xml:space="preserve">Former home handyman, now calls in tradesman to do any repairs and maintenance. Limited performance in some ADL </w:t>
      </w:r>
    </w:p>
    <w:p w:rsidR="00D8141B" w:rsidRPr="000E15A2" w:rsidRDefault="000E15A2" w:rsidP="00DC2B23">
      <w:pPr>
        <w:tabs>
          <w:tab w:val="left" w:pos="2552"/>
        </w:tabs>
        <w:spacing w:before="120" w:after="96" w:line="240" w:lineRule="auto"/>
        <w:ind w:left="2552" w:hanging="2552"/>
        <w:outlineLvl w:val="2"/>
        <w:rPr>
          <w:rFonts w:eastAsia="Times New Roman" w:cs="Arial"/>
          <w:b/>
          <w:bCs/>
          <w:sz w:val="24"/>
          <w:szCs w:val="24"/>
          <w:lang w:val="en-US"/>
        </w:rPr>
      </w:pPr>
      <w:bookmarkStart w:id="380" w:name="_Toc144874784"/>
      <w:bookmarkStart w:id="381" w:name="_Toc144875373"/>
      <w:r w:rsidRPr="000E15A2">
        <w:rPr>
          <w:rFonts w:eastAsia="Times New Roman" w:cs="Arial"/>
          <w:b/>
          <w:bCs/>
          <w:sz w:val="24"/>
          <w:szCs w:val="24"/>
          <w:lang w:val="en-US"/>
        </w:rPr>
        <w:lastRenderedPageBreak/>
        <w:t>Example 14.4:</w:t>
      </w:r>
      <w:r w:rsidR="00781113">
        <w:rPr>
          <w:rFonts w:eastAsia="Times New Roman" w:cs="Arial"/>
          <w:b/>
          <w:bCs/>
          <w:sz w:val="24"/>
          <w:szCs w:val="24"/>
          <w:lang w:val="en-US"/>
        </w:rPr>
        <w:t xml:space="preserve"> </w:t>
      </w:r>
      <w:r w:rsidR="00D8141B" w:rsidRPr="000E15A2">
        <w:rPr>
          <w:rFonts w:eastAsia="Times New Roman" w:cs="Arial"/>
          <w:b/>
          <w:bCs/>
          <w:sz w:val="24"/>
          <w:szCs w:val="24"/>
          <w:lang w:val="en-US"/>
        </w:rPr>
        <w:t>Latex contact urticaria/angioedema with cross reactions</w:t>
      </w:r>
      <w:bookmarkEnd w:id="380"/>
      <w:bookmarkEnd w:id="381"/>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Subject:</w:t>
      </w:r>
      <w:r w:rsidR="00781113">
        <w:rPr>
          <w:rFonts w:eastAsia="Times New Roman" w:cs="Arial"/>
          <w:szCs w:val="20"/>
          <w:lang w:val="en-US"/>
        </w:rPr>
        <w:tab/>
      </w:r>
      <w:r w:rsidRPr="00D8141B">
        <w:rPr>
          <w:rFonts w:eastAsia="Times New Roman" w:cs="Arial"/>
          <w:szCs w:val="20"/>
          <w:lang w:val="en-US"/>
        </w:rPr>
        <w:t>Female nurse, age 40.</w:t>
      </w:r>
    </w:p>
    <w:p w:rsidR="00D8141B" w:rsidRPr="00D8141B" w:rsidRDefault="00D8141B" w:rsidP="00DC2B23">
      <w:pPr>
        <w:tabs>
          <w:tab w:val="left" w:pos="2410"/>
        </w:tabs>
        <w:spacing w:after="96" w:line="240" w:lineRule="auto"/>
        <w:ind w:left="2410" w:right="-143" w:hanging="2410"/>
        <w:rPr>
          <w:rFonts w:eastAsia="Times New Roman" w:cs="Arial"/>
          <w:szCs w:val="20"/>
          <w:lang w:val="en-US"/>
        </w:rPr>
      </w:pPr>
      <w:r w:rsidRPr="00D8141B">
        <w:rPr>
          <w:rFonts w:eastAsia="Times New Roman" w:cs="Arial"/>
          <w:b/>
          <w:bCs/>
          <w:szCs w:val="20"/>
          <w:lang w:val="en-US"/>
        </w:rPr>
        <w:t>History:</w:t>
      </w:r>
      <w:r w:rsidR="00781113">
        <w:rPr>
          <w:rFonts w:eastAsia="Times New Roman" w:cs="Arial"/>
          <w:szCs w:val="20"/>
          <w:lang w:val="en-US"/>
        </w:rPr>
        <w:tab/>
      </w:r>
      <w:r w:rsidRPr="00DC2B23">
        <w:rPr>
          <w:rFonts w:eastAsia="Times New Roman" w:cs="Arial"/>
          <w:spacing w:val="-6"/>
          <w:szCs w:val="20"/>
          <w:lang w:val="en-US"/>
        </w:rPr>
        <w:t>Six month history of itchy hands minutes after applying latex gloves at work. Later swelling and redness associated with itchy hands and wrists and subsequently widespread urticaria. One week off led to immediate clearance. On return to work wearing PVC gloves, developed anaphylaxis on first day back.</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Physical examination:</w:t>
      </w:r>
      <w:r w:rsidRPr="00D8141B">
        <w:rPr>
          <w:rFonts w:eastAsia="Times New Roman" w:cs="Arial"/>
          <w:b/>
          <w:bCs/>
          <w:szCs w:val="20"/>
          <w:lang w:val="en-US"/>
        </w:rPr>
        <w:tab/>
      </w:r>
      <w:r w:rsidRPr="00D8141B">
        <w:rPr>
          <w:rFonts w:eastAsia="Times New Roman" w:cs="Arial"/>
          <w:szCs w:val="20"/>
          <w:lang w:val="en-US"/>
        </w:rPr>
        <w:t>No abnormality detected or generalised urticaria/angioedema.</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Investigation:</w:t>
      </w:r>
      <w:r w:rsidR="00781113">
        <w:rPr>
          <w:rFonts w:eastAsia="Times New Roman" w:cs="Arial"/>
          <w:b/>
          <w:szCs w:val="20"/>
          <w:lang w:val="en-US"/>
        </w:rPr>
        <w:tab/>
      </w:r>
      <w:r w:rsidRPr="00D8141B">
        <w:rPr>
          <w:rFonts w:eastAsia="Times New Roman" w:cs="Arial"/>
          <w:szCs w:val="20"/>
          <w:lang w:val="en-US"/>
        </w:rPr>
        <w:t>Latex radioallergosorbent test, strong positive response.</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Current:</w:t>
      </w:r>
      <w:r w:rsidR="00781113">
        <w:rPr>
          <w:rFonts w:eastAsia="Times New Roman" w:cs="Arial"/>
          <w:szCs w:val="20"/>
          <w:lang w:val="en-US"/>
        </w:rPr>
        <w:tab/>
      </w:r>
      <w:r w:rsidRPr="00D8141B">
        <w:rPr>
          <w:rFonts w:eastAsia="Times New Roman" w:cs="Arial"/>
          <w:szCs w:val="20"/>
          <w:lang w:val="en-US"/>
        </w:rPr>
        <w:t>The subject experiences urticaria and mild anaphylaxis if she enters a hospital, some supermarkets or other stores (especially if latex items are stocked), at children's parties or in other situations where balloons are present, or on inadvertent contact with latex items including sport goods handles, some clothing, and many shoes (latex based glues). Also has restricted diet (must avoid bananas, avocados and kiwi fruit).</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Impairment:</w:t>
      </w:r>
      <w:r w:rsidR="00781113">
        <w:rPr>
          <w:rFonts w:eastAsia="Times New Roman" w:cs="Arial"/>
          <w:szCs w:val="20"/>
          <w:lang w:val="en-US"/>
        </w:rPr>
        <w:tab/>
      </w:r>
      <w:r w:rsidRPr="00D8141B">
        <w:rPr>
          <w:rFonts w:eastAsia="Times New Roman" w:cs="Arial"/>
          <w:szCs w:val="20"/>
          <w:lang w:val="en-US"/>
        </w:rPr>
        <w:t>17 per cent.</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Comment:</w:t>
      </w:r>
      <w:r w:rsidR="00781113">
        <w:rPr>
          <w:rFonts w:eastAsia="Times New Roman" w:cs="Arial"/>
          <w:b/>
          <w:szCs w:val="20"/>
          <w:lang w:val="en-US"/>
        </w:rPr>
        <w:tab/>
      </w:r>
      <w:r w:rsidRPr="00D8141B">
        <w:rPr>
          <w:rFonts w:eastAsia="Times New Roman" w:cs="Arial"/>
          <w:szCs w:val="20"/>
          <w:lang w:val="en-US"/>
        </w:rPr>
        <w:t>Severe limitation in some ADL in spite of intermittent activity.</w:t>
      </w:r>
    </w:p>
    <w:p w:rsidR="00D8141B" w:rsidRPr="000E15A2" w:rsidRDefault="00D8141B" w:rsidP="00DC2B23">
      <w:pPr>
        <w:tabs>
          <w:tab w:val="left" w:pos="2552"/>
        </w:tabs>
        <w:spacing w:before="360" w:after="96" w:line="240" w:lineRule="auto"/>
        <w:ind w:left="2552" w:hanging="2552"/>
        <w:outlineLvl w:val="2"/>
        <w:rPr>
          <w:rFonts w:eastAsia="Times New Roman" w:cs="Arial"/>
          <w:b/>
          <w:bCs/>
          <w:sz w:val="24"/>
          <w:szCs w:val="24"/>
          <w:lang w:val="en-US"/>
        </w:rPr>
      </w:pPr>
      <w:bookmarkStart w:id="382" w:name="_Hlt529258655"/>
      <w:bookmarkStart w:id="383" w:name="_Toc144874785"/>
      <w:bookmarkStart w:id="384" w:name="_Toc144875374"/>
      <w:r w:rsidRPr="000E15A2">
        <w:rPr>
          <w:rFonts w:eastAsia="Times New Roman" w:cs="Arial"/>
          <w:b/>
          <w:bCs/>
          <w:sz w:val="24"/>
          <w:szCs w:val="24"/>
          <w:lang w:val="en-US"/>
        </w:rPr>
        <w:t>Example 14.5:</w:t>
      </w:r>
      <w:bookmarkStart w:id="385" w:name="_Hlt529258538"/>
      <w:bookmarkEnd w:id="382"/>
      <w:r w:rsidR="00781113">
        <w:rPr>
          <w:rFonts w:eastAsia="Times New Roman" w:cs="Arial"/>
          <w:b/>
          <w:bCs/>
          <w:sz w:val="24"/>
          <w:szCs w:val="24"/>
          <w:lang w:val="en-US"/>
        </w:rPr>
        <w:t xml:space="preserve"> </w:t>
      </w:r>
      <w:r w:rsidRPr="000E15A2">
        <w:rPr>
          <w:rFonts w:eastAsia="Times New Roman" w:cs="Arial"/>
          <w:b/>
          <w:bCs/>
          <w:sz w:val="24"/>
          <w:szCs w:val="24"/>
          <w:lang w:val="en-US"/>
        </w:rPr>
        <w:t>Non-melanoma skin cancer</w:t>
      </w:r>
      <w:bookmarkEnd w:id="383"/>
      <w:bookmarkEnd w:id="384"/>
      <w:bookmarkEnd w:id="385"/>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Subject:</w:t>
      </w:r>
      <w:r w:rsidR="00781113">
        <w:rPr>
          <w:rFonts w:eastAsia="Times New Roman" w:cs="Arial"/>
          <w:szCs w:val="20"/>
          <w:lang w:val="en-US"/>
        </w:rPr>
        <w:t xml:space="preserve"> </w:t>
      </w:r>
      <w:r w:rsidR="00781113">
        <w:rPr>
          <w:rFonts w:eastAsia="Times New Roman" w:cs="Arial"/>
          <w:szCs w:val="20"/>
          <w:lang w:val="en-US"/>
        </w:rPr>
        <w:tab/>
      </w:r>
      <w:r w:rsidRPr="00D8141B">
        <w:rPr>
          <w:rFonts w:eastAsia="Times New Roman" w:cs="Arial"/>
          <w:szCs w:val="20"/>
          <w:lang w:val="en-US"/>
        </w:rPr>
        <w:t>53-year-old married man.</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History:</w:t>
      </w:r>
      <w:r w:rsidRPr="00D8141B">
        <w:rPr>
          <w:rFonts w:eastAsia="Times New Roman" w:cs="Arial"/>
          <w:szCs w:val="20"/>
          <w:lang w:val="en-US"/>
        </w:rPr>
        <w:t xml:space="preserve"> </w:t>
      </w:r>
      <w:r w:rsidRPr="00D8141B">
        <w:rPr>
          <w:rFonts w:eastAsia="Times New Roman" w:cs="Arial"/>
          <w:szCs w:val="20"/>
          <w:lang w:val="en-US"/>
        </w:rPr>
        <w:tab/>
      </w:r>
      <w:r w:rsidRPr="00781113">
        <w:rPr>
          <w:rFonts w:eastAsia="Times New Roman" w:cs="Arial"/>
          <w:szCs w:val="20"/>
          <w:lang w:val="en-US"/>
        </w:rPr>
        <w:t>Road worker since 17 years of age. Has had a basal cell carcinoma on the left forehead, squamous cell carcinoma on the right forehead (graft), basal cell carcinoma on the left ear (wedge resection) and squamous cell carcinoma on the lower lip (wedge resection) excised since 45 years of age. No history of loco-regional recurrences. Multiple actinic keratoses treated with cryotherapy or Efudix over 20 years (forearms, dorsum of hands, head and neck).</w:t>
      </w:r>
    </w:p>
    <w:p w:rsidR="00D8141B" w:rsidRPr="00D8141B" w:rsidRDefault="00D8141B" w:rsidP="00DC2B23">
      <w:pPr>
        <w:tabs>
          <w:tab w:val="left" w:pos="2410"/>
        </w:tabs>
        <w:spacing w:after="96" w:line="240" w:lineRule="auto"/>
        <w:ind w:left="2410" w:right="-143" w:hanging="2410"/>
        <w:rPr>
          <w:rFonts w:eastAsia="Times New Roman" w:cs="Arial"/>
          <w:szCs w:val="20"/>
          <w:lang w:val="en-US"/>
        </w:rPr>
      </w:pPr>
      <w:r w:rsidRPr="00D8141B">
        <w:rPr>
          <w:rFonts w:eastAsia="Times New Roman" w:cs="Arial"/>
          <w:b/>
          <w:bCs/>
          <w:szCs w:val="20"/>
          <w:lang w:val="en-US"/>
        </w:rPr>
        <w:t>Current:</w:t>
      </w:r>
      <w:r w:rsidR="00781113">
        <w:rPr>
          <w:rFonts w:eastAsia="Times New Roman" w:cs="Arial"/>
          <w:szCs w:val="20"/>
          <w:lang w:val="en-US"/>
        </w:rPr>
        <w:tab/>
      </w:r>
      <w:r w:rsidRPr="00781113">
        <w:rPr>
          <w:rFonts w:eastAsia="Times New Roman" w:cs="Arial"/>
          <w:spacing w:val="-6"/>
          <w:szCs w:val="20"/>
          <w:lang w:val="en-US"/>
        </w:rPr>
        <w:t>New lesion right preauricular area. Concerned over appearance 'I look a mess.'</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Physical examination:</w:t>
      </w:r>
      <w:r w:rsidRPr="00D8141B">
        <w:rPr>
          <w:rFonts w:eastAsia="Times New Roman" w:cs="Arial"/>
          <w:szCs w:val="20"/>
          <w:lang w:val="en-US"/>
        </w:rPr>
        <w:t xml:space="preserve"> </w:t>
      </w:r>
      <w:r w:rsidRPr="00D8141B">
        <w:rPr>
          <w:rFonts w:eastAsia="Times New Roman" w:cs="Arial"/>
          <w:szCs w:val="20"/>
          <w:lang w:val="en-US"/>
        </w:rPr>
        <w:tab/>
        <w:t>Multiple actinic keratoses forearms, dorsum of hands, head and neck. Five millimetre diameter nodular basal cell carcinoma right preauricular area, hypertrophic red scar 3cm length left forehead, 2cm diameter graft site (hypopigmented with 2mm contour deformity) right temple, non-hypertrophic scar left lower lip (vermilion) with slight step deformity and non-hypertrophic pale wedge resection scar left pinna leading to 30 per cent reduction in size of the pinna. Graft sites taken from right post auricular area. No regional lymphadenopathy.</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Impairment rating:</w:t>
      </w:r>
      <w:r w:rsidR="00781113">
        <w:rPr>
          <w:rFonts w:eastAsia="Times New Roman" w:cs="Arial"/>
          <w:szCs w:val="20"/>
          <w:lang w:val="en-US"/>
        </w:rPr>
        <w:t xml:space="preserve"> </w:t>
      </w:r>
      <w:r w:rsidR="00781113">
        <w:rPr>
          <w:rFonts w:eastAsia="Times New Roman" w:cs="Arial"/>
          <w:szCs w:val="20"/>
          <w:lang w:val="en-US"/>
        </w:rPr>
        <w:tab/>
      </w:r>
      <w:r w:rsidRPr="00D8141B">
        <w:rPr>
          <w:rFonts w:eastAsia="Times New Roman" w:cs="Arial"/>
          <w:szCs w:val="20"/>
          <w:lang w:val="en-US"/>
        </w:rPr>
        <w:t>Six per cent.</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Comment:</w:t>
      </w:r>
      <w:r w:rsidR="00781113">
        <w:rPr>
          <w:rFonts w:eastAsia="Times New Roman" w:cs="Arial"/>
          <w:szCs w:val="20"/>
          <w:lang w:val="en-US"/>
        </w:rPr>
        <w:tab/>
      </w:r>
      <w:r w:rsidRPr="00D8141B">
        <w:rPr>
          <w:rFonts w:eastAsia="Times New Roman" w:cs="Arial"/>
          <w:szCs w:val="20"/>
          <w:lang w:val="en-US"/>
        </w:rPr>
        <w:t>Refer to table 6.1 (facial disfigurement)</w:t>
      </w:r>
    </w:p>
    <w:p w:rsidR="00D8141B" w:rsidRPr="000E15A2" w:rsidRDefault="000E15A2" w:rsidP="00DC2B23">
      <w:pPr>
        <w:tabs>
          <w:tab w:val="left" w:pos="2552"/>
        </w:tabs>
        <w:spacing w:before="360" w:after="96" w:line="240" w:lineRule="auto"/>
        <w:ind w:left="2552" w:hanging="2552"/>
        <w:outlineLvl w:val="2"/>
        <w:rPr>
          <w:rFonts w:eastAsia="Times New Roman" w:cs="Arial"/>
          <w:b/>
          <w:bCs/>
          <w:sz w:val="24"/>
          <w:szCs w:val="24"/>
          <w:lang w:val="en-US"/>
        </w:rPr>
      </w:pPr>
      <w:bookmarkStart w:id="386" w:name="_Toc144874786"/>
      <w:bookmarkStart w:id="387" w:name="_Toc144875375"/>
      <w:r>
        <w:rPr>
          <w:rFonts w:eastAsia="Times New Roman" w:cs="Arial"/>
          <w:b/>
          <w:bCs/>
          <w:sz w:val="24"/>
          <w:szCs w:val="24"/>
          <w:lang w:val="en-US"/>
        </w:rPr>
        <w:t xml:space="preserve">Example 14.6: </w:t>
      </w:r>
      <w:r w:rsidR="00781113">
        <w:rPr>
          <w:rFonts w:eastAsia="Times New Roman" w:cs="Arial"/>
          <w:b/>
          <w:bCs/>
          <w:sz w:val="24"/>
          <w:szCs w:val="24"/>
          <w:lang w:val="en-US"/>
        </w:rPr>
        <w:t xml:space="preserve"> </w:t>
      </w:r>
      <w:r w:rsidR="00D8141B" w:rsidRPr="000E15A2">
        <w:rPr>
          <w:rFonts w:eastAsia="Times New Roman" w:cs="Arial"/>
          <w:b/>
          <w:bCs/>
          <w:sz w:val="24"/>
          <w:szCs w:val="24"/>
          <w:lang w:val="en-US"/>
        </w:rPr>
        <w:t>Non-melanoma skin cancer</w:t>
      </w:r>
      <w:bookmarkEnd w:id="386"/>
      <w:bookmarkEnd w:id="387"/>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Subject:</w:t>
      </w:r>
      <w:r w:rsidR="00781113">
        <w:rPr>
          <w:rFonts w:eastAsia="Times New Roman" w:cs="Arial"/>
          <w:szCs w:val="20"/>
          <w:lang w:val="en-US"/>
        </w:rPr>
        <w:t xml:space="preserve"> </w:t>
      </w:r>
      <w:r w:rsidR="00781113">
        <w:rPr>
          <w:rFonts w:eastAsia="Times New Roman" w:cs="Arial"/>
          <w:szCs w:val="20"/>
          <w:lang w:val="en-US"/>
        </w:rPr>
        <w:tab/>
      </w:r>
      <w:r w:rsidRPr="00D8141B">
        <w:rPr>
          <w:rFonts w:eastAsia="Times New Roman" w:cs="Arial"/>
          <w:szCs w:val="20"/>
          <w:lang w:val="en-US"/>
        </w:rPr>
        <w:t xml:space="preserve">35-year-old single female professional surf life-saver. </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History:</w:t>
      </w:r>
      <w:r w:rsidR="00781113">
        <w:rPr>
          <w:rFonts w:eastAsia="Times New Roman" w:cs="Arial"/>
          <w:szCs w:val="20"/>
          <w:lang w:val="en-US"/>
        </w:rPr>
        <w:t xml:space="preserve"> </w:t>
      </w:r>
      <w:r w:rsidR="00781113">
        <w:rPr>
          <w:rFonts w:eastAsia="Times New Roman" w:cs="Arial"/>
          <w:szCs w:val="20"/>
          <w:lang w:val="en-US"/>
        </w:rPr>
        <w:tab/>
      </w:r>
      <w:r w:rsidRPr="00D8141B">
        <w:rPr>
          <w:rFonts w:eastAsia="Times New Roman" w:cs="Arial"/>
          <w:szCs w:val="20"/>
          <w:lang w:val="en-US"/>
        </w:rPr>
        <w:t>Occupational outdoor exposure since 19 years of age. Basal cell carcinoma on tip of nose excised three years ago with full thickness graft following failed intralesional interferon treatment.</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Current:</w:t>
      </w:r>
      <w:r w:rsidRPr="00D8141B">
        <w:rPr>
          <w:rFonts w:eastAsia="Times New Roman" w:cs="Arial"/>
          <w:szCs w:val="20"/>
          <w:lang w:val="en-US"/>
        </w:rPr>
        <w:t xml:space="preserve"> </w:t>
      </w:r>
      <w:r w:rsidR="00781113">
        <w:rPr>
          <w:rFonts w:eastAsia="Times New Roman" w:cs="Arial"/>
          <w:b/>
          <w:szCs w:val="20"/>
          <w:lang w:val="en-US"/>
        </w:rPr>
        <w:tab/>
      </w:r>
      <w:r w:rsidRPr="00D8141B">
        <w:rPr>
          <w:rFonts w:eastAsia="Times New Roman" w:cs="Arial"/>
          <w:szCs w:val="20"/>
          <w:lang w:val="en-US"/>
        </w:rPr>
        <w:t>Poor self-esteem because of cosmetic result of surgery.</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Physical examination:</w:t>
      </w:r>
      <w:r w:rsidRPr="00D8141B">
        <w:rPr>
          <w:rFonts w:eastAsia="Times New Roman" w:cs="Arial"/>
          <w:szCs w:val="20"/>
          <w:lang w:val="en-US"/>
        </w:rPr>
        <w:t xml:space="preserve"> </w:t>
      </w:r>
      <w:r w:rsidRPr="00D8141B">
        <w:rPr>
          <w:rFonts w:eastAsia="Times New Roman" w:cs="Arial"/>
          <w:szCs w:val="20"/>
          <w:lang w:val="en-US"/>
        </w:rPr>
        <w:tab/>
        <w:t>One centimetre diameter graft site on the tip of nose (hypopigmented with 2mm depth contour deformity, cartilage not involved). Graft site taken from right post-auricular area.</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Impairment rating:</w:t>
      </w:r>
      <w:r w:rsidR="00781113">
        <w:rPr>
          <w:rFonts w:eastAsia="Times New Roman" w:cs="Arial"/>
          <w:szCs w:val="20"/>
          <w:lang w:val="en-US"/>
        </w:rPr>
        <w:t xml:space="preserve"> </w:t>
      </w:r>
      <w:r w:rsidR="00781113">
        <w:rPr>
          <w:rFonts w:eastAsia="Times New Roman" w:cs="Arial"/>
          <w:szCs w:val="20"/>
          <w:lang w:val="en-US"/>
        </w:rPr>
        <w:tab/>
      </w:r>
      <w:r w:rsidRPr="00D8141B">
        <w:rPr>
          <w:rFonts w:eastAsia="Times New Roman" w:cs="Arial"/>
          <w:szCs w:val="20"/>
          <w:lang w:val="en-US"/>
        </w:rPr>
        <w:t>10 per cent.</w:t>
      </w:r>
    </w:p>
    <w:p w:rsidR="00D8141B" w:rsidRPr="00D8141B" w:rsidRDefault="00D8141B" w:rsidP="00DC2B23">
      <w:pPr>
        <w:tabs>
          <w:tab w:val="left" w:pos="2410"/>
        </w:tabs>
        <w:spacing w:after="96" w:line="240" w:lineRule="auto"/>
        <w:ind w:left="2410" w:hanging="2410"/>
        <w:rPr>
          <w:rFonts w:eastAsia="Times New Roman" w:cs="Arial"/>
          <w:szCs w:val="20"/>
          <w:lang w:val="en-US"/>
        </w:rPr>
      </w:pPr>
      <w:r w:rsidRPr="00D8141B">
        <w:rPr>
          <w:rFonts w:eastAsia="Times New Roman" w:cs="Arial"/>
          <w:b/>
          <w:bCs/>
          <w:szCs w:val="20"/>
          <w:lang w:val="en-US"/>
        </w:rPr>
        <w:t>Comment:</w:t>
      </w:r>
      <w:r w:rsidR="00781113">
        <w:rPr>
          <w:rFonts w:eastAsia="Times New Roman" w:cs="Arial"/>
          <w:szCs w:val="20"/>
          <w:lang w:val="en-US"/>
        </w:rPr>
        <w:tab/>
      </w:r>
      <w:r w:rsidRPr="00D8141B">
        <w:rPr>
          <w:rFonts w:eastAsia="Times New Roman" w:cs="Arial"/>
          <w:szCs w:val="20"/>
          <w:lang w:val="en-US"/>
        </w:rPr>
        <w:t>Refer to table 6.1 (facial disfigurement)</w:t>
      </w:r>
    </w:p>
    <w:p w:rsidR="000E15A2" w:rsidRDefault="000E15A2" w:rsidP="000E15A2">
      <w:pPr>
        <w:pStyle w:val="Heading1"/>
        <w:numPr>
          <w:ilvl w:val="0"/>
          <w:numId w:val="0"/>
        </w:numPr>
        <w:rPr>
          <w:b w:val="0"/>
        </w:rPr>
        <w:sectPr w:rsidR="000E15A2" w:rsidSect="00427669">
          <w:pgSz w:w="11906" w:h="16838"/>
          <w:pgMar w:top="1134" w:right="1134" w:bottom="1134" w:left="1134" w:header="708" w:footer="708" w:gutter="0"/>
          <w:cols w:space="708"/>
          <w:docGrid w:linePitch="360"/>
        </w:sectPr>
      </w:pPr>
      <w:bookmarkStart w:id="388" w:name="c15"/>
      <w:bookmarkStart w:id="389" w:name="_Toc529598389"/>
      <w:bookmarkStart w:id="390" w:name="_Toc144874787"/>
      <w:bookmarkStart w:id="391" w:name="_Toc422836871"/>
      <w:bookmarkEnd w:id="388"/>
    </w:p>
    <w:p w:rsidR="00D8141B" w:rsidRPr="00D8141B" w:rsidRDefault="00D8141B" w:rsidP="000E15A2">
      <w:pPr>
        <w:pStyle w:val="Heading1"/>
        <w:tabs>
          <w:tab w:val="clear" w:pos="567"/>
          <w:tab w:val="left" w:pos="709"/>
        </w:tabs>
        <w:ind w:hanging="720"/>
        <w:rPr>
          <w:bCs/>
        </w:rPr>
      </w:pPr>
      <w:bookmarkStart w:id="392" w:name="_Toc487809958"/>
      <w:r w:rsidRPr="000E15A2">
        <w:lastRenderedPageBreak/>
        <w:t>Cardiovascular</w:t>
      </w:r>
      <w:r w:rsidRPr="00551741">
        <w:t xml:space="preserve"> system</w:t>
      </w:r>
      <w:bookmarkEnd w:id="389"/>
      <w:bookmarkEnd w:id="390"/>
      <w:bookmarkEnd w:id="391"/>
      <w:bookmarkEnd w:id="392"/>
    </w:p>
    <w:p w:rsidR="00D8141B" w:rsidRPr="00DC2B23" w:rsidRDefault="00D8141B" w:rsidP="00DC2B23">
      <w:pPr>
        <w:pStyle w:val="BodyText15"/>
        <w:numPr>
          <w:ilvl w:val="0"/>
          <w:numId w:val="0"/>
        </w:numPr>
        <w:tabs>
          <w:tab w:val="clear" w:pos="709"/>
        </w:tabs>
        <w:spacing w:after="80"/>
        <w:rPr>
          <w:rFonts w:cs="Times New Roman"/>
          <w:b/>
        </w:rPr>
      </w:pPr>
      <w:bookmarkStart w:id="393" w:name="_Toc144874788"/>
      <w:bookmarkStart w:id="394" w:name="_Toc144875377"/>
      <w:r w:rsidRPr="00DC2B23">
        <w:rPr>
          <w:b/>
        </w:rPr>
        <w:t>Chapters 3 and 4 AMA5 (page 2</w:t>
      </w:r>
      <w:r w:rsidR="00D1454D" w:rsidRPr="00DC2B23">
        <w:rPr>
          <w:b/>
        </w:rPr>
        <w:t>3 and 65</w:t>
      </w:r>
      <w:r w:rsidRPr="00DC2B23">
        <w:rPr>
          <w:b/>
        </w:rPr>
        <w:t>) apply to the assessment of permanent impairment of the cardiovascular system, subject to the modifications set out below.</w:t>
      </w:r>
      <w:bookmarkEnd w:id="393"/>
      <w:bookmarkEnd w:id="394"/>
      <w:r w:rsidRPr="00DC2B23">
        <w:rPr>
          <w:b/>
        </w:rPr>
        <w:t xml:space="preserve"> Before undertaking an impai</w:t>
      </w:r>
      <w:r w:rsidR="004A5BE6" w:rsidRPr="00DC2B23">
        <w:rPr>
          <w:b/>
        </w:rPr>
        <w:t>rment assessment, users of the</w:t>
      </w:r>
      <w:r w:rsidRPr="00DC2B23">
        <w:rPr>
          <w:b/>
        </w:rPr>
        <w:t xml:space="preserve"> Guidelines must be familiar with the</w:t>
      </w:r>
      <w:r w:rsidRPr="00DC2B23">
        <w:rPr>
          <w:rFonts w:cs="Times New Roman"/>
          <w:b/>
        </w:rPr>
        <w:t xml:space="preserve"> following:</w:t>
      </w:r>
    </w:p>
    <w:p w:rsidR="00D8141B" w:rsidRPr="00D1454D" w:rsidRDefault="004A5BE6" w:rsidP="00DC2B23">
      <w:pPr>
        <w:pStyle w:val="Bulletpoint"/>
        <w:tabs>
          <w:tab w:val="left" w:pos="1134"/>
        </w:tabs>
        <w:spacing w:after="80"/>
        <w:ind w:left="1134"/>
        <w:rPr>
          <w:rFonts w:eastAsia="Calibri"/>
          <w:lang w:val="en-US"/>
        </w:rPr>
      </w:pPr>
      <w:r>
        <w:rPr>
          <w:rFonts w:eastAsia="Calibri"/>
          <w:lang w:val="en-US"/>
        </w:rPr>
        <w:t>The Introduction in the</w:t>
      </w:r>
      <w:r w:rsidR="00D8141B" w:rsidRPr="00D1454D">
        <w:rPr>
          <w:rFonts w:eastAsia="Calibri"/>
          <w:lang w:val="en-US"/>
        </w:rPr>
        <w:t xml:space="preserve"> Guidelines</w:t>
      </w:r>
    </w:p>
    <w:p w:rsidR="00D8141B" w:rsidRPr="00D1454D" w:rsidRDefault="00D8141B" w:rsidP="00DC2B23">
      <w:pPr>
        <w:pStyle w:val="Bulletpoint"/>
        <w:tabs>
          <w:tab w:val="left" w:pos="1134"/>
        </w:tabs>
        <w:spacing w:after="80"/>
        <w:ind w:left="1134"/>
        <w:rPr>
          <w:rFonts w:eastAsia="Calibri"/>
          <w:lang w:val="en-US"/>
        </w:rPr>
      </w:pPr>
      <w:r w:rsidRPr="00D1454D">
        <w:rPr>
          <w:rFonts w:eastAsia="Calibri"/>
          <w:lang w:val="en-US"/>
        </w:rPr>
        <w:t>Chapters 1 and 2 of AMA5</w:t>
      </w:r>
    </w:p>
    <w:p w:rsidR="00D8141B" w:rsidRPr="00D1454D" w:rsidRDefault="00D8141B" w:rsidP="00DC2B23">
      <w:pPr>
        <w:pStyle w:val="Bulletpoint"/>
        <w:tabs>
          <w:tab w:val="left" w:pos="1134"/>
        </w:tabs>
        <w:spacing w:after="80"/>
        <w:ind w:left="1134"/>
        <w:rPr>
          <w:rFonts w:eastAsia="Calibri"/>
          <w:lang w:val="en-US"/>
        </w:rPr>
      </w:pPr>
      <w:r w:rsidRPr="00D1454D">
        <w:rPr>
          <w:rFonts w:eastAsia="Calibri"/>
          <w:lang w:val="en-US"/>
        </w:rPr>
        <w:t>Th</w:t>
      </w:r>
      <w:r w:rsidR="004A5BE6">
        <w:rPr>
          <w:rFonts w:eastAsia="Calibri"/>
          <w:lang w:val="en-US"/>
        </w:rPr>
        <w:t>e appropriate chapter/s of the</w:t>
      </w:r>
      <w:r w:rsidRPr="00D1454D">
        <w:rPr>
          <w:rFonts w:eastAsia="Calibri"/>
          <w:lang w:val="en-US"/>
        </w:rPr>
        <w:t xml:space="preserve"> Guidelines for the body system they are assessing.</w:t>
      </w:r>
    </w:p>
    <w:p w:rsidR="00D8141B" w:rsidRPr="00D1454D" w:rsidRDefault="00D8141B" w:rsidP="00DC2B23">
      <w:pPr>
        <w:pStyle w:val="Bulletpoint"/>
        <w:tabs>
          <w:tab w:val="left" w:pos="1134"/>
        </w:tabs>
        <w:ind w:left="1134"/>
        <w:rPr>
          <w:rFonts w:eastAsia="Calibri"/>
          <w:lang w:val="en-US"/>
        </w:rPr>
      </w:pPr>
      <w:r w:rsidRPr="00D1454D">
        <w:rPr>
          <w:rFonts w:eastAsia="Calibri"/>
          <w:lang w:val="en-US"/>
        </w:rPr>
        <w:t>The appropriate chapter/s of AMA5 for the body system they are assessing.</w:t>
      </w:r>
    </w:p>
    <w:p w:rsidR="00D8141B" w:rsidRPr="00D1454D" w:rsidRDefault="004A5BE6" w:rsidP="00DC2B23">
      <w:pPr>
        <w:pStyle w:val="BodyText15"/>
        <w:numPr>
          <w:ilvl w:val="0"/>
          <w:numId w:val="0"/>
        </w:numPr>
        <w:spacing w:before="160" w:after="120"/>
        <w:ind w:left="709" w:hanging="709"/>
        <w:rPr>
          <w:bCs/>
        </w:rPr>
      </w:pPr>
      <w:r>
        <w:rPr>
          <w:rFonts w:eastAsia="Calibri"/>
        </w:rPr>
        <w:t>The</w:t>
      </w:r>
      <w:r w:rsidR="00D8141B" w:rsidRPr="00D1454D">
        <w:rPr>
          <w:rFonts w:eastAsia="Calibri"/>
        </w:rPr>
        <w:t xml:space="preserve"> Guidelines take precedence over AMA5</w:t>
      </w:r>
      <w:r w:rsidR="00D8141B" w:rsidRPr="00D1454D">
        <w:rPr>
          <w:rFonts w:ascii="Calibri" w:eastAsia="Calibri" w:hAnsi="Calibri" w:cs="Calibri"/>
          <w:sz w:val="20"/>
        </w:rPr>
        <w:t>.</w:t>
      </w:r>
    </w:p>
    <w:p w:rsidR="00D8141B" w:rsidRPr="00D8141B" w:rsidRDefault="00D8141B" w:rsidP="00E67753">
      <w:pPr>
        <w:pStyle w:val="Heading3"/>
        <w:spacing w:before="240" w:after="120"/>
        <w:rPr>
          <w:sz w:val="24"/>
        </w:rPr>
      </w:pPr>
      <w:bookmarkStart w:id="395" w:name="_Toc144874789"/>
      <w:bookmarkStart w:id="396" w:name="_Toc144875378"/>
      <w:r w:rsidRPr="00D8141B">
        <w:t>Introduction</w:t>
      </w:r>
      <w:bookmarkEnd w:id="395"/>
      <w:bookmarkEnd w:id="396"/>
    </w:p>
    <w:p w:rsidR="00D8141B" w:rsidRPr="00D8141B" w:rsidRDefault="00D8141B" w:rsidP="00DC2B23">
      <w:pPr>
        <w:pStyle w:val="BodyText15"/>
      </w:pPr>
      <w:r w:rsidRPr="00D8141B">
        <w:t xml:space="preserve">The cardiovascular system is discussed in AMA5 chapters 3 (Heart and Aorta) and 4 (Systemic and </w:t>
      </w:r>
      <w:r w:rsidRPr="00DC2B23">
        <w:t>Pulmonary</w:t>
      </w:r>
      <w:r w:rsidRPr="00D8141B">
        <w:t xml:space="preserve"> Arteries) (pp 25-85). These chapters can be used to assess permanent impairment of the cardiovascular system with the following minor modifications.</w:t>
      </w:r>
    </w:p>
    <w:p w:rsidR="00D8141B" w:rsidRPr="00D8141B" w:rsidRDefault="00D8141B" w:rsidP="00DC2B23">
      <w:pPr>
        <w:pStyle w:val="BodyText15"/>
        <w:rPr>
          <w:szCs w:val="20"/>
        </w:rPr>
      </w:pPr>
      <w:r w:rsidRPr="00D8141B">
        <w:rPr>
          <w:szCs w:val="20"/>
        </w:rPr>
        <w:t>It is noted that in this chapter there are wide ranges for the impairment values in e</w:t>
      </w:r>
      <w:r w:rsidR="00BD291D">
        <w:rPr>
          <w:szCs w:val="20"/>
        </w:rPr>
        <w:t xml:space="preserve">ach category. When conducting an </w:t>
      </w:r>
      <w:r w:rsidRPr="00D8141B">
        <w:rPr>
          <w:szCs w:val="20"/>
        </w:rPr>
        <w:t>assessment, assessors should use their clinical judgement to express a specific percentage within the range suggested.</w:t>
      </w:r>
    </w:p>
    <w:p w:rsidR="00D8141B" w:rsidRPr="00D8141B" w:rsidRDefault="00D8141B" w:rsidP="00E67753">
      <w:pPr>
        <w:pStyle w:val="Heading3"/>
        <w:spacing w:before="240" w:after="120"/>
        <w:rPr>
          <w:sz w:val="24"/>
        </w:rPr>
      </w:pPr>
      <w:bookmarkStart w:id="397" w:name="_Toc144874790"/>
      <w:bookmarkStart w:id="398" w:name="_Toc144875379"/>
      <w:r w:rsidRPr="00D8141B">
        <w:t>Exercise stress testing</w:t>
      </w:r>
      <w:bookmarkEnd w:id="397"/>
      <w:bookmarkEnd w:id="398"/>
    </w:p>
    <w:p w:rsidR="00D8141B" w:rsidRPr="00D8141B" w:rsidRDefault="00D8141B" w:rsidP="00DC2B23">
      <w:pPr>
        <w:pStyle w:val="BodyText15"/>
      </w:pPr>
      <w:r w:rsidRPr="00D8141B">
        <w:t>As with other investigations, it is not the role of a medical assessor to order exercise stress tests purely for the purpose of evaluating the extent of permanent impairment.</w:t>
      </w:r>
    </w:p>
    <w:p w:rsidR="00D8141B" w:rsidRPr="00D8141B" w:rsidRDefault="00D8141B" w:rsidP="00DC2B23">
      <w:pPr>
        <w:pStyle w:val="BodyText15"/>
      </w:pPr>
      <w:r w:rsidRPr="00D8141B">
        <w:t>If exercise stress testing is available, then it is a useful piece of information in arriving at the overall percentage impairment.</w:t>
      </w:r>
    </w:p>
    <w:p w:rsidR="00D8141B" w:rsidRPr="00D8141B" w:rsidRDefault="00D8141B" w:rsidP="00DC2B23">
      <w:pPr>
        <w:pStyle w:val="BodyText15"/>
      </w:pPr>
      <w:r w:rsidRPr="00D8141B">
        <w:t xml:space="preserve">If previous investigations are inadequate for a proper assessment to be made, the Medical Assessor should consider the value of proceeding with the evaluation of permanent impairment without adequate investigations and data (see </w:t>
      </w:r>
      <w:r w:rsidRPr="00D8141B">
        <w:rPr>
          <w:u w:val="single"/>
        </w:rPr>
        <w:t>chapter 1</w:t>
      </w:r>
      <w:r w:rsidRPr="00D8141B">
        <w:t xml:space="preserve"> -ordering of additional investigations).</w:t>
      </w:r>
    </w:p>
    <w:p w:rsidR="00D8141B" w:rsidRPr="00D8141B" w:rsidRDefault="00D8141B" w:rsidP="00E67753">
      <w:pPr>
        <w:pStyle w:val="Heading3"/>
        <w:spacing w:before="240" w:after="120"/>
        <w:rPr>
          <w:sz w:val="24"/>
        </w:rPr>
      </w:pPr>
      <w:bookmarkStart w:id="399" w:name="_Toc144874791"/>
      <w:bookmarkStart w:id="400" w:name="_Toc144875380"/>
      <w:r w:rsidRPr="00D8141B">
        <w:t>Permanent impairment — maximum medical improvement</w:t>
      </w:r>
      <w:bookmarkEnd w:id="399"/>
      <w:bookmarkEnd w:id="400"/>
    </w:p>
    <w:p w:rsidR="00D8141B" w:rsidRPr="00D8141B" w:rsidRDefault="00D8141B" w:rsidP="00DC2B23">
      <w:pPr>
        <w:pStyle w:val="BodyText15"/>
      </w:pPr>
      <w:r w:rsidRPr="00D8141B">
        <w:t>As for all assessments, maximal medical improvement is considered to have occurred when the worker's condition is well stabilised and unlikely to change substantially in the next year with or without medical treatment.</w:t>
      </w:r>
    </w:p>
    <w:p w:rsidR="00D8141B" w:rsidRPr="00D8141B" w:rsidRDefault="00D8141B" w:rsidP="009B089D">
      <w:pPr>
        <w:pStyle w:val="Heading3"/>
        <w:keepNext w:val="0"/>
        <w:spacing w:before="240" w:after="120"/>
        <w:rPr>
          <w:sz w:val="24"/>
        </w:rPr>
      </w:pPr>
      <w:bookmarkStart w:id="401" w:name="_Toc144874792"/>
      <w:bookmarkStart w:id="402" w:name="_Toc144875381"/>
      <w:r w:rsidRPr="00D8141B">
        <w:t>Vascular diseases affecting the extremities</w:t>
      </w:r>
      <w:bookmarkEnd w:id="401"/>
      <w:bookmarkEnd w:id="402"/>
    </w:p>
    <w:p w:rsidR="00D8141B" w:rsidRPr="00D8141B" w:rsidRDefault="00D8141B" w:rsidP="009B089D">
      <w:pPr>
        <w:pStyle w:val="BodyText15"/>
      </w:pPr>
      <w:r w:rsidRPr="00D8141B">
        <w:t>Note that in this section, AMA5 table 4-4 and table 4-5 (p 76) refer to percentage impairment of the upper or lower extremity. Therefore, an assessment of impairment concerning vascular impairment of the arm or leg requires that the percentages identified in tables 4-4 and 4-5 be converted to WPI. The table for conversion of the upper extremity is AMA5 table 16-3 (p 439) and the table for conversion of the lower extremity is AMA5 table 17-3 (p 527).</w:t>
      </w:r>
    </w:p>
    <w:p w:rsidR="00D8141B" w:rsidRPr="00D8141B" w:rsidRDefault="00D8141B" w:rsidP="009B089D">
      <w:pPr>
        <w:pStyle w:val="Heading3"/>
        <w:keepNext w:val="0"/>
        <w:spacing w:before="240" w:after="120"/>
        <w:rPr>
          <w:sz w:val="24"/>
        </w:rPr>
      </w:pPr>
      <w:bookmarkStart w:id="403" w:name="_Toc144874793"/>
      <w:bookmarkStart w:id="404" w:name="_Toc144875382"/>
      <w:r w:rsidRPr="00D8141B">
        <w:t>Thoracic outlet syndrome</w:t>
      </w:r>
      <w:bookmarkEnd w:id="403"/>
      <w:bookmarkEnd w:id="404"/>
    </w:p>
    <w:p w:rsidR="00E67753" w:rsidRPr="009B089D" w:rsidRDefault="00D8141B" w:rsidP="009B089D">
      <w:pPr>
        <w:pStyle w:val="BodyText15"/>
        <w:spacing w:after="0"/>
        <w:rPr>
          <w:b/>
          <w:bCs/>
        </w:rPr>
      </w:pPr>
      <w:r w:rsidRPr="004C75C9">
        <w:t xml:space="preserve">Impairment due to thoracic outlet syndrome is assessed according to AMA5 chapter 16, the upper extremities and the Guidelines, </w:t>
      </w:r>
      <w:r w:rsidRPr="004C75C9">
        <w:rPr>
          <w:u w:val="single"/>
        </w:rPr>
        <w:t>chapter 2</w:t>
      </w:r>
      <w:bookmarkStart w:id="405" w:name="c16"/>
      <w:bookmarkStart w:id="406" w:name="_Toc144874796"/>
      <w:bookmarkStart w:id="407" w:name="_Toc422836872"/>
      <w:bookmarkStart w:id="408" w:name="_Toc529598390"/>
      <w:bookmarkEnd w:id="405"/>
      <w:r w:rsidR="00E67753">
        <w:t>.</w:t>
      </w:r>
    </w:p>
    <w:p w:rsidR="00E67753" w:rsidRDefault="00E67753" w:rsidP="009B089D">
      <w:pPr>
        <w:pStyle w:val="BodyText15"/>
        <w:numPr>
          <w:ilvl w:val="0"/>
          <w:numId w:val="0"/>
        </w:numPr>
        <w:spacing w:after="0"/>
        <w:rPr>
          <w:b/>
          <w:bCs/>
        </w:rPr>
      </w:pPr>
    </w:p>
    <w:p w:rsidR="009B089D" w:rsidRDefault="009B089D" w:rsidP="009B089D">
      <w:pPr>
        <w:pStyle w:val="BodyText15"/>
        <w:numPr>
          <w:ilvl w:val="0"/>
          <w:numId w:val="0"/>
        </w:numPr>
        <w:spacing w:after="0"/>
        <w:rPr>
          <w:b/>
          <w:bCs/>
        </w:rPr>
        <w:sectPr w:rsidR="009B089D" w:rsidSect="00427669">
          <w:headerReference w:type="even" r:id="rId44"/>
          <w:headerReference w:type="default" r:id="rId45"/>
          <w:pgSz w:w="11906" w:h="16838"/>
          <w:pgMar w:top="1134" w:right="1134" w:bottom="1134" w:left="1134" w:header="708" w:footer="708" w:gutter="0"/>
          <w:cols w:space="708"/>
          <w:docGrid w:linePitch="360"/>
        </w:sectPr>
      </w:pPr>
    </w:p>
    <w:p w:rsidR="009B089D" w:rsidRDefault="009B089D" w:rsidP="009B089D">
      <w:pPr>
        <w:pStyle w:val="Heading1"/>
        <w:keepNext/>
        <w:keepLines/>
        <w:tabs>
          <w:tab w:val="clear" w:pos="567"/>
          <w:tab w:val="left" w:pos="709"/>
        </w:tabs>
        <w:ind w:left="709" w:hanging="709"/>
      </w:pPr>
      <w:bookmarkStart w:id="409" w:name="_Toc487809959"/>
      <w:r>
        <w:lastRenderedPageBreak/>
        <w:t>Digestive system</w:t>
      </w:r>
      <w:bookmarkEnd w:id="409"/>
    </w:p>
    <w:p w:rsidR="00D8141B" w:rsidRPr="00D8141B" w:rsidRDefault="00D8141B" w:rsidP="009B089D">
      <w:pPr>
        <w:pStyle w:val="BodyText16"/>
        <w:numPr>
          <w:ilvl w:val="0"/>
          <w:numId w:val="0"/>
        </w:numPr>
        <w:tabs>
          <w:tab w:val="clear" w:pos="709"/>
        </w:tabs>
        <w:rPr>
          <w:rFonts w:cs="Times New Roman"/>
        </w:rPr>
      </w:pPr>
      <w:bookmarkStart w:id="410" w:name="_Toc144874797"/>
      <w:bookmarkStart w:id="411" w:name="_Toc144875386"/>
      <w:bookmarkEnd w:id="406"/>
      <w:bookmarkEnd w:id="407"/>
      <w:r w:rsidRPr="00D8141B">
        <w:t>Chapter 6</w:t>
      </w:r>
      <w:r w:rsidR="00D1454D">
        <w:t>,</w:t>
      </w:r>
      <w:r w:rsidRPr="00D8141B">
        <w:t xml:space="preserve"> AMA5 (page 117) applies to the management of permanent impairment of the digestive system.</w:t>
      </w:r>
      <w:bookmarkEnd w:id="410"/>
      <w:bookmarkEnd w:id="411"/>
      <w:r w:rsidRPr="00D8141B">
        <w:t xml:space="preserve"> Before undertaking an impai</w:t>
      </w:r>
      <w:r w:rsidR="004A5BE6">
        <w:t>rment assessment, users of the</w:t>
      </w:r>
      <w:r w:rsidRPr="00D8141B">
        <w:t xml:space="preserve"> Guidelines must be familiar with the</w:t>
      </w:r>
      <w:r w:rsidRPr="00D8141B">
        <w:rPr>
          <w:rFonts w:cs="Times New Roman"/>
        </w:rPr>
        <w:t xml:space="preserve"> following:</w:t>
      </w:r>
    </w:p>
    <w:p w:rsidR="00D8141B" w:rsidRPr="00D1454D" w:rsidRDefault="00D8141B" w:rsidP="009B089D">
      <w:pPr>
        <w:pStyle w:val="Bulletpoint"/>
        <w:tabs>
          <w:tab w:val="left" w:pos="1134"/>
        </w:tabs>
        <w:ind w:left="1134"/>
        <w:rPr>
          <w:rFonts w:eastAsia="Calibri"/>
          <w:lang w:val="en-US"/>
        </w:rPr>
      </w:pPr>
      <w:r w:rsidRPr="00D1454D">
        <w:rPr>
          <w:rFonts w:eastAsia="Calibri"/>
          <w:lang w:val="en-US"/>
        </w:rPr>
        <w:t>The Introductio</w:t>
      </w:r>
      <w:r w:rsidR="004A5BE6">
        <w:rPr>
          <w:rFonts w:eastAsia="Calibri"/>
          <w:lang w:val="en-US"/>
        </w:rPr>
        <w:t>n in the</w:t>
      </w:r>
      <w:r w:rsidRPr="00D1454D">
        <w:rPr>
          <w:rFonts w:eastAsia="Calibri"/>
          <w:lang w:val="en-US"/>
        </w:rPr>
        <w:t xml:space="preserve"> Guidelines</w:t>
      </w:r>
    </w:p>
    <w:p w:rsidR="00D8141B" w:rsidRPr="00D1454D" w:rsidRDefault="00D8141B" w:rsidP="009B089D">
      <w:pPr>
        <w:pStyle w:val="Bulletpoint"/>
        <w:tabs>
          <w:tab w:val="left" w:pos="1134"/>
        </w:tabs>
        <w:ind w:left="1134"/>
        <w:rPr>
          <w:rFonts w:eastAsia="Calibri"/>
          <w:lang w:val="en-US"/>
        </w:rPr>
      </w:pPr>
      <w:r w:rsidRPr="00D1454D">
        <w:rPr>
          <w:rFonts w:eastAsia="Calibri"/>
          <w:lang w:val="en-US"/>
        </w:rPr>
        <w:t>Chapters 1 and 2 of AMA5</w:t>
      </w:r>
    </w:p>
    <w:p w:rsidR="00D8141B" w:rsidRPr="00D1454D" w:rsidRDefault="00D8141B" w:rsidP="009B089D">
      <w:pPr>
        <w:pStyle w:val="Bulletpoint"/>
        <w:tabs>
          <w:tab w:val="left" w:pos="1134"/>
        </w:tabs>
        <w:ind w:left="1134"/>
        <w:rPr>
          <w:rFonts w:eastAsia="Calibri"/>
          <w:lang w:val="en-US"/>
        </w:rPr>
      </w:pPr>
      <w:r w:rsidRPr="00D1454D">
        <w:rPr>
          <w:rFonts w:eastAsia="Calibri"/>
          <w:lang w:val="en-US"/>
        </w:rPr>
        <w:t>Th</w:t>
      </w:r>
      <w:r w:rsidR="004A5BE6">
        <w:rPr>
          <w:rFonts w:eastAsia="Calibri"/>
          <w:lang w:val="en-US"/>
        </w:rPr>
        <w:t>e appropriate chapter/s of the</w:t>
      </w:r>
      <w:r w:rsidRPr="00D1454D">
        <w:rPr>
          <w:rFonts w:eastAsia="Calibri"/>
          <w:lang w:val="en-US"/>
        </w:rPr>
        <w:t xml:space="preserve"> Guidelines for the body system they are assessing.</w:t>
      </w:r>
    </w:p>
    <w:p w:rsidR="00D8141B" w:rsidRPr="00D1454D" w:rsidRDefault="00D8141B" w:rsidP="009B089D">
      <w:pPr>
        <w:pStyle w:val="Bulletpoint"/>
        <w:tabs>
          <w:tab w:val="left" w:pos="1134"/>
        </w:tabs>
        <w:ind w:left="1134"/>
        <w:rPr>
          <w:rFonts w:eastAsia="Calibri"/>
          <w:lang w:val="en-US"/>
        </w:rPr>
      </w:pPr>
      <w:r w:rsidRPr="00D1454D">
        <w:rPr>
          <w:rFonts w:eastAsia="Calibri"/>
          <w:lang w:val="en-US"/>
        </w:rPr>
        <w:t>The appropriate chapter/s of AMA5 for the body system they are assessing.</w:t>
      </w:r>
    </w:p>
    <w:p w:rsidR="00D8141B" w:rsidRDefault="004A5BE6" w:rsidP="009B089D">
      <w:pPr>
        <w:pStyle w:val="BodyText16"/>
        <w:numPr>
          <w:ilvl w:val="0"/>
          <w:numId w:val="0"/>
        </w:numPr>
        <w:spacing w:before="240"/>
        <w:ind w:left="709" w:hanging="709"/>
        <w:rPr>
          <w:rFonts w:ascii="Calibri" w:eastAsia="Calibri" w:hAnsi="Calibri" w:cs="Calibri"/>
          <w:sz w:val="20"/>
        </w:rPr>
      </w:pPr>
      <w:r>
        <w:rPr>
          <w:rFonts w:eastAsia="Calibri"/>
        </w:rPr>
        <w:t>The</w:t>
      </w:r>
      <w:r w:rsidR="00D8141B" w:rsidRPr="00D1454D">
        <w:rPr>
          <w:rFonts w:eastAsia="Calibri"/>
        </w:rPr>
        <w:t xml:space="preserve"> Guidelines take precedence over AMA5</w:t>
      </w:r>
      <w:r w:rsidR="00D8141B" w:rsidRPr="00D1454D">
        <w:rPr>
          <w:rFonts w:ascii="Calibri" w:eastAsia="Calibri" w:hAnsi="Calibri" w:cs="Calibri"/>
          <w:sz w:val="20"/>
        </w:rPr>
        <w:t>.</w:t>
      </w:r>
    </w:p>
    <w:p w:rsidR="00D8141B" w:rsidRPr="00D1454D" w:rsidRDefault="00D1454D" w:rsidP="009B089D">
      <w:pPr>
        <w:pStyle w:val="Heading3"/>
      </w:pPr>
      <w:r w:rsidRPr="00D8141B">
        <w:t>Introduction</w:t>
      </w:r>
    </w:p>
    <w:p w:rsidR="00D8141B" w:rsidRPr="00D8141B" w:rsidRDefault="00D8141B" w:rsidP="009B089D">
      <w:pPr>
        <w:pStyle w:val="BodyText16"/>
      </w:pPr>
      <w:r w:rsidRPr="00D8141B">
        <w:t xml:space="preserve">The digestive system is discussed in AMA5 chapter 6 (pp 117-142).This chapter can be used to assess permanent impairment of the digestive system. </w:t>
      </w:r>
    </w:p>
    <w:p w:rsidR="00D8141B" w:rsidRPr="00D8141B" w:rsidRDefault="00D8141B" w:rsidP="009B089D">
      <w:pPr>
        <w:pStyle w:val="BodyText16"/>
        <w:rPr>
          <w:szCs w:val="20"/>
        </w:rPr>
      </w:pPr>
      <w:r w:rsidRPr="00D8141B">
        <w:rPr>
          <w:bCs/>
          <w:szCs w:val="20"/>
        </w:rPr>
        <w:t>AMA5, p 136: section 6.6 hernias. Occasionally in regard to inguinal hernias there is damage to the ilio</w:t>
      </w:r>
      <w:r w:rsidR="00D1454D">
        <w:rPr>
          <w:bCs/>
          <w:szCs w:val="20"/>
        </w:rPr>
        <w:t>-</w:t>
      </w:r>
      <w:r w:rsidRPr="00D8141B">
        <w:rPr>
          <w:bCs/>
          <w:szCs w:val="20"/>
        </w:rPr>
        <w:t>inguinal nerve following surgical repair. Where there is loss of sensation in the distribution of the ilio</w:t>
      </w:r>
      <w:r w:rsidR="00D1454D">
        <w:rPr>
          <w:bCs/>
          <w:szCs w:val="20"/>
        </w:rPr>
        <w:t>-</w:t>
      </w:r>
      <w:r w:rsidRPr="00D8141B">
        <w:rPr>
          <w:bCs/>
          <w:szCs w:val="20"/>
        </w:rPr>
        <w:t xml:space="preserve">inguinal nerve involving the upper anterior medial aspect of the thigh, a one per cent WPI should be assessed as per </w:t>
      </w:r>
      <w:r w:rsidRPr="00D8141B">
        <w:rPr>
          <w:bCs/>
          <w:szCs w:val="20"/>
          <w:u w:val="single"/>
        </w:rPr>
        <w:t>table 5.1</w:t>
      </w:r>
      <w:r w:rsidRPr="00D8141B">
        <w:rPr>
          <w:bCs/>
          <w:szCs w:val="20"/>
        </w:rPr>
        <w:t xml:space="preserve"> of the Guidelines. This assessment should not be made unless the symptoms have persisted for 12 months</w:t>
      </w:r>
      <w:r w:rsidRPr="00D8141B">
        <w:t>.</w:t>
      </w:r>
      <w:r w:rsidRPr="00D8141B">
        <w:rPr>
          <w:szCs w:val="20"/>
        </w:rPr>
        <w:t xml:space="preserve"> </w:t>
      </w:r>
    </w:p>
    <w:p w:rsidR="00D8141B" w:rsidRPr="00D8141B" w:rsidRDefault="00D8141B" w:rsidP="009B089D">
      <w:pPr>
        <w:pStyle w:val="BodyText16"/>
        <w:rPr>
          <w:szCs w:val="20"/>
        </w:rPr>
      </w:pPr>
      <w:r w:rsidRPr="00D8141B">
        <w:rPr>
          <w:szCs w:val="20"/>
        </w:rPr>
        <w:t>Where, following repair, there is severe dysaesthesia in the distribution of the ilio</w:t>
      </w:r>
      <w:r w:rsidR="00D1454D">
        <w:rPr>
          <w:szCs w:val="20"/>
        </w:rPr>
        <w:t>-</w:t>
      </w:r>
      <w:r w:rsidRPr="00D8141B">
        <w:rPr>
          <w:szCs w:val="20"/>
        </w:rPr>
        <w:t>inguinal nerve, a maximum of a five per cent WPI may be assessed as per table 5.1. This assessment should not be made unless the symptoms have persisted for 12 months.</w:t>
      </w:r>
    </w:p>
    <w:p w:rsidR="00D8141B" w:rsidRPr="00D8141B" w:rsidRDefault="00D8141B" w:rsidP="009B089D">
      <w:pPr>
        <w:pStyle w:val="BodyText16"/>
        <w:rPr>
          <w:szCs w:val="20"/>
        </w:rPr>
      </w:pPr>
      <w:r w:rsidRPr="00D8141B">
        <w:rPr>
          <w:szCs w:val="20"/>
        </w:rPr>
        <w:t>Where, following repair of a hernia of the abdominal wall, there is residual persistent excessive induration at the site, which is associated with significant discomfort, this should be assessed as a class 1 herniation (AMA5, table 6-9, p 136). This assessment should not be made unless the symptoms have persisted for 12 months</w:t>
      </w:r>
      <w:r w:rsidRPr="00D8141B">
        <w:rPr>
          <w:rFonts w:cs="Times New Roman"/>
        </w:rPr>
        <w:t>.</w:t>
      </w:r>
    </w:p>
    <w:p w:rsidR="00D8141B" w:rsidRPr="00D8141B" w:rsidRDefault="00D8141B" w:rsidP="009B089D">
      <w:pPr>
        <w:pStyle w:val="BodyText16"/>
        <w:rPr>
          <w:szCs w:val="20"/>
        </w:rPr>
      </w:pPr>
      <w:r w:rsidRPr="00D8141B">
        <w:rPr>
          <w:szCs w:val="20"/>
        </w:rPr>
        <w:t>Impairments due to nerve injury and induration cannot be combined. The higher impairment should be chosen.</w:t>
      </w:r>
    </w:p>
    <w:p w:rsidR="00D8141B" w:rsidRPr="00D8141B" w:rsidRDefault="00D8141B" w:rsidP="009B089D">
      <w:pPr>
        <w:pStyle w:val="BodyText16"/>
        <w:rPr>
          <w:szCs w:val="20"/>
        </w:rPr>
      </w:pPr>
      <w:r w:rsidRPr="00D8141B">
        <w:rPr>
          <w:szCs w:val="20"/>
        </w:rPr>
        <w:t>A person who has suffered more than one work related hernia recurrence at the same site and who now has limitation of ADL:s should be assessed as herniation class 1 (AMA5, table 6-9, p 136).</w:t>
      </w:r>
    </w:p>
    <w:p w:rsidR="00D8141B" w:rsidRPr="00D8141B" w:rsidRDefault="00D8141B" w:rsidP="009B089D">
      <w:pPr>
        <w:pStyle w:val="BodyText16"/>
        <w:rPr>
          <w:rFonts w:cs="Times New Roman"/>
        </w:rPr>
      </w:pPr>
      <w:r w:rsidRPr="00D8141B">
        <w:rPr>
          <w:rFonts w:cs="Times New Roman"/>
        </w:rPr>
        <w:t>A diagnosis of a hernia should not be made on the findings of an ultrasound examination alone. For the diagnosis of a hernia to be made there must be a palpable defect in the supporting structures of the abdominal wall and either a palpable lump or a history of a lump when straining.</w:t>
      </w:r>
    </w:p>
    <w:p w:rsidR="00D8141B" w:rsidRPr="00D8141B" w:rsidRDefault="00D8141B" w:rsidP="009B089D">
      <w:pPr>
        <w:pStyle w:val="BodyText16"/>
        <w:rPr>
          <w:rFonts w:cs="Times New Roman"/>
        </w:rPr>
      </w:pPr>
      <w:r w:rsidRPr="00D8141B">
        <w:rPr>
          <w:rFonts w:cs="Times New Roman"/>
        </w:rPr>
        <w:t>A divarication of the rectus</w:t>
      </w:r>
      <w:r w:rsidRPr="00D8141B">
        <w:rPr>
          <w:rFonts w:ascii="Calibri" w:eastAsia="Calibri" w:hAnsi="Calibri" w:cs="Calibri"/>
          <w:bCs/>
          <w:i/>
          <w:sz w:val="20"/>
          <w:szCs w:val="20"/>
        </w:rPr>
        <w:t xml:space="preserve"> </w:t>
      </w:r>
      <w:r w:rsidRPr="00D8141B">
        <w:rPr>
          <w:rFonts w:cs="Times New Roman"/>
          <w:bCs/>
        </w:rPr>
        <w:t>abdominus</w:t>
      </w:r>
      <w:r w:rsidRPr="00D8141B">
        <w:rPr>
          <w:rFonts w:cs="Times New Roman"/>
        </w:rPr>
        <w:t xml:space="preserve"> muscles in the upper abdomen is not a hernia, although the supporting structures have been weakened, they are still intact.</w:t>
      </w:r>
    </w:p>
    <w:p w:rsidR="00D8141B" w:rsidRPr="00D8141B" w:rsidRDefault="00D8141B" w:rsidP="009B089D">
      <w:pPr>
        <w:pStyle w:val="BodyText16"/>
        <w:rPr>
          <w:rFonts w:cs="Times New Roman"/>
        </w:rPr>
      </w:pPr>
      <w:r w:rsidRPr="00D8141B">
        <w:rPr>
          <w:rFonts w:cs="Times New Roman"/>
        </w:rPr>
        <w:t xml:space="preserve">Effects of analgesics on the digestive tract: </w:t>
      </w:r>
    </w:p>
    <w:p w:rsidR="00D8141B" w:rsidRPr="00D8141B" w:rsidRDefault="00D8141B" w:rsidP="009B3943">
      <w:pPr>
        <w:pStyle w:val="Bulletpoint"/>
        <w:tabs>
          <w:tab w:val="left" w:pos="1134"/>
        </w:tabs>
        <w:ind w:left="1134"/>
        <w:rPr>
          <w:lang w:val="en-US"/>
        </w:rPr>
      </w:pPr>
      <w:r w:rsidRPr="00D8141B">
        <w:rPr>
          <w:lang w:val="en-US"/>
        </w:rPr>
        <w:t>Table 6-3 AMA5 (p 121) class 1 is to be amended to read 'there are symptoms and signs of digestive tract disease'.</w:t>
      </w:r>
    </w:p>
    <w:p w:rsidR="00D8141B" w:rsidRPr="00D8141B" w:rsidRDefault="00D8141B" w:rsidP="009B3943">
      <w:pPr>
        <w:pStyle w:val="Bulletpoint"/>
        <w:tabs>
          <w:tab w:val="left" w:pos="1134"/>
        </w:tabs>
        <w:ind w:left="1134"/>
        <w:rPr>
          <w:lang w:val="en-US"/>
        </w:rPr>
      </w:pPr>
      <w:r w:rsidRPr="00D8141B">
        <w:rPr>
          <w:lang w:val="en-US"/>
        </w:rPr>
        <w:t xml:space="preserve">Nonsteroidal anti-inflammatory agents including Aspirin taken for prolonged periods can cause symptoms in the upper digestive tract. In the absence of clinical signs or </w:t>
      </w:r>
      <w:r w:rsidRPr="00D8141B">
        <w:rPr>
          <w:lang w:val="en-US"/>
        </w:rPr>
        <w:lastRenderedPageBreak/>
        <w:t xml:space="preserve">other objective evidence of </w:t>
      </w:r>
      <w:r w:rsidRPr="00D8141B">
        <w:rPr>
          <w:bCs/>
        </w:rPr>
        <w:t>upper digestive tract disease, anatomic loss or alteration</w:t>
      </w:r>
      <w:r w:rsidRPr="00D8141B">
        <w:rPr>
          <w:lang w:val="en-US"/>
        </w:rPr>
        <w:t xml:space="preserve"> a zero per cent WPI is to be assessed.  </w:t>
      </w:r>
    </w:p>
    <w:p w:rsidR="00D8141B" w:rsidRPr="00D8141B" w:rsidRDefault="00D8141B" w:rsidP="009B3943">
      <w:pPr>
        <w:pStyle w:val="Bulletpoint"/>
        <w:tabs>
          <w:tab w:val="left" w:pos="1134"/>
        </w:tabs>
        <w:ind w:left="1134"/>
        <w:rPr>
          <w:lang w:val="en-US"/>
        </w:rPr>
      </w:pPr>
      <w:r w:rsidRPr="00D8141B">
        <w:rPr>
          <w:lang w:val="en-US"/>
        </w:rPr>
        <w:t>Effects of analgesics on the lower digestive tract:</w:t>
      </w:r>
    </w:p>
    <w:p w:rsidR="00D8141B" w:rsidRPr="00D8141B" w:rsidRDefault="00D8141B" w:rsidP="0081060E">
      <w:pPr>
        <w:pStyle w:val="Bulletpoint"/>
        <w:numPr>
          <w:ilvl w:val="1"/>
          <w:numId w:val="47"/>
        </w:numPr>
        <w:tabs>
          <w:tab w:val="left" w:pos="1560"/>
        </w:tabs>
        <w:ind w:left="1560"/>
        <w:rPr>
          <w:lang w:val="en-US"/>
        </w:rPr>
      </w:pPr>
      <w:r w:rsidRPr="00D8141B">
        <w:rPr>
          <w:lang w:val="en-US"/>
        </w:rPr>
        <w:t>Constipation is a symptom, not a sign and is generally reversible. A WPI assessment of zero per cent applies to constipation.</w:t>
      </w:r>
    </w:p>
    <w:p w:rsidR="00D8141B" w:rsidRPr="00D8141B" w:rsidRDefault="00D8141B" w:rsidP="0081060E">
      <w:pPr>
        <w:pStyle w:val="Bulletpoint"/>
        <w:numPr>
          <w:ilvl w:val="1"/>
          <w:numId w:val="47"/>
        </w:numPr>
        <w:tabs>
          <w:tab w:val="left" w:pos="1560"/>
        </w:tabs>
        <w:ind w:left="1560"/>
        <w:rPr>
          <w:lang w:val="en-US"/>
        </w:rPr>
      </w:pPr>
      <w:r w:rsidRPr="00D8141B">
        <w:rPr>
          <w:lang w:val="en-US"/>
        </w:rPr>
        <w:t>Irritable bowel syndrome without objective evidence of colon or rectal disease is to be assessed at zero per cent WPI.</w:t>
      </w:r>
    </w:p>
    <w:p w:rsidR="00D8141B" w:rsidRPr="00D8141B" w:rsidRDefault="00D8141B" w:rsidP="009B3943">
      <w:pPr>
        <w:pStyle w:val="Bulletpoint"/>
        <w:tabs>
          <w:tab w:val="left" w:pos="1701"/>
        </w:tabs>
        <w:ind w:left="1701"/>
        <w:rPr>
          <w:lang w:val="en-US"/>
        </w:rPr>
      </w:pPr>
      <w:r w:rsidRPr="00D8141B">
        <w:rPr>
          <w:lang w:val="en-US"/>
        </w:rPr>
        <w:t>Assessment of colorectal disease and anal disorders requires the report of a treating doctor or family doctor which includes a proper physical examination with rectal examination if appropriate and/or a full endoscopy report.</w:t>
      </w:r>
    </w:p>
    <w:p w:rsidR="00D8141B" w:rsidRPr="00D8141B" w:rsidRDefault="00D8141B" w:rsidP="009B3943">
      <w:pPr>
        <w:pStyle w:val="Bulletpoint"/>
        <w:tabs>
          <w:tab w:val="left" w:pos="1701"/>
        </w:tabs>
        <w:ind w:left="1701"/>
        <w:rPr>
          <w:lang w:val="en-US"/>
        </w:rPr>
      </w:pPr>
      <w:r w:rsidRPr="00D8141B">
        <w:rPr>
          <w:lang w:val="en-US"/>
        </w:rPr>
        <w:t>Failure to provide such reports may result in a zero per cent WPI.</w:t>
      </w:r>
    </w:p>
    <w:p w:rsidR="00D8141B" w:rsidRPr="00D8141B" w:rsidRDefault="00D8141B" w:rsidP="009B3943">
      <w:pPr>
        <w:pStyle w:val="BodyText16"/>
        <w:spacing w:before="240"/>
      </w:pPr>
      <w:r w:rsidRPr="00D8141B">
        <w:t>Splenectomy. Post-traumatic splenectomy or functional asplenia following abdominal trauma should be assessed as a three per cent WPI.</w:t>
      </w:r>
    </w:p>
    <w:p w:rsidR="00D8141B" w:rsidRPr="00D8141B" w:rsidRDefault="00D8141B" w:rsidP="009B3943">
      <w:pPr>
        <w:pStyle w:val="BodyText16"/>
      </w:pPr>
      <w:r w:rsidRPr="00D8141B">
        <w:t>Abdominal adhesions:</w:t>
      </w:r>
    </w:p>
    <w:p w:rsidR="00D8141B" w:rsidRPr="00D8141B" w:rsidRDefault="00D8141B" w:rsidP="009B3943">
      <w:pPr>
        <w:pStyle w:val="Bulletpoint"/>
        <w:tabs>
          <w:tab w:val="left" w:pos="1701"/>
        </w:tabs>
        <w:ind w:left="1701"/>
        <w:rPr>
          <w:lang w:val="en-US"/>
        </w:rPr>
      </w:pPr>
      <w:r w:rsidRPr="00D8141B">
        <w:rPr>
          <w:lang w:val="en-US"/>
        </w:rPr>
        <w:t>Intra-abdominal adhesions following trauma requiring further laparotomy should be assessed under table 6-3, AMA5, p 121.</w:t>
      </w:r>
    </w:p>
    <w:p w:rsidR="009B3943" w:rsidRDefault="009B3943" w:rsidP="009B3943">
      <w:pPr>
        <w:pStyle w:val="Heading1"/>
        <w:numPr>
          <w:ilvl w:val="0"/>
          <w:numId w:val="0"/>
        </w:numPr>
        <w:ind w:left="720" w:hanging="360"/>
        <w:rPr>
          <w:b w:val="0"/>
        </w:rPr>
        <w:sectPr w:rsidR="009B3943" w:rsidSect="00143767">
          <w:headerReference w:type="even" r:id="rId46"/>
          <w:headerReference w:type="default" r:id="rId47"/>
          <w:pgSz w:w="11906" w:h="16838"/>
          <w:pgMar w:top="1134" w:right="1134" w:bottom="1134" w:left="1134" w:header="708" w:footer="708" w:gutter="0"/>
          <w:cols w:space="708"/>
          <w:titlePg/>
          <w:docGrid w:linePitch="360"/>
        </w:sectPr>
      </w:pPr>
      <w:bookmarkStart w:id="412" w:name="note"/>
      <w:bookmarkStart w:id="413" w:name="_Toc422836873"/>
      <w:bookmarkStart w:id="414" w:name="_Hlt529249990"/>
      <w:bookmarkStart w:id="415" w:name="_Ref529249931"/>
      <w:bookmarkStart w:id="416" w:name="_Ref529249939"/>
      <w:bookmarkStart w:id="417" w:name="_Toc529598391"/>
      <w:bookmarkStart w:id="418" w:name="_Toc144874798"/>
      <w:bookmarkEnd w:id="408"/>
      <w:bookmarkEnd w:id="412"/>
    </w:p>
    <w:p w:rsidR="00D8141B" w:rsidRDefault="00D8141B" w:rsidP="009B3943">
      <w:pPr>
        <w:pStyle w:val="Heading1"/>
        <w:tabs>
          <w:tab w:val="clear" w:pos="567"/>
          <w:tab w:val="left" w:pos="709"/>
        </w:tabs>
        <w:ind w:hanging="720"/>
      </w:pPr>
      <w:bookmarkStart w:id="419" w:name="_Toc487809960"/>
      <w:r w:rsidRPr="00D8141B">
        <w:lastRenderedPageBreak/>
        <w:t>Evaluation of permanent impairment arising from chronic pain</w:t>
      </w:r>
      <w:bookmarkEnd w:id="413"/>
      <w:bookmarkEnd w:id="419"/>
    </w:p>
    <w:p w:rsidR="00D1454D" w:rsidRPr="00D8141B" w:rsidRDefault="00D1454D" w:rsidP="009B3943">
      <w:pPr>
        <w:pStyle w:val="Heading3"/>
        <w:rPr>
          <w:i/>
          <w:sz w:val="32"/>
        </w:rPr>
      </w:pPr>
      <w:r>
        <w:t>(exclusion of Chapter 18, AMA5)</w:t>
      </w:r>
    </w:p>
    <w:p w:rsidR="00D8141B" w:rsidRPr="00D8141B" w:rsidRDefault="00D8141B" w:rsidP="009B3943">
      <w:pPr>
        <w:pStyle w:val="BodyText17"/>
      </w:pPr>
      <w:r w:rsidRPr="00D8141B">
        <w:t>The International Association for the Study of Pain (IASP) has defined pain as:</w:t>
      </w:r>
    </w:p>
    <w:p w:rsidR="00D8141B" w:rsidRPr="008D4373" w:rsidRDefault="00D8141B" w:rsidP="008D4373">
      <w:pPr>
        <w:pStyle w:val="BodyText17"/>
        <w:numPr>
          <w:ilvl w:val="0"/>
          <w:numId w:val="0"/>
        </w:numPr>
        <w:tabs>
          <w:tab w:val="clear" w:pos="709"/>
        </w:tabs>
        <w:ind w:left="1418" w:right="1133"/>
        <w:rPr>
          <w:i/>
        </w:rPr>
      </w:pPr>
      <w:r w:rsidRPr="008D4373">
        <w:rPr>
          <w:i/>
        </w:rPr>
        <w:t>“An unpleasant sensory and emotional experience associated with actual or potential tissue damage or described in terms of such damage”.</w:t>
      </w:r>
    </w:p>
    <w:p w:rsidR="00D8141B" w:rsidRPr="00D8141B" w:rsidRDefault="00D8141B" w:rsidP="009B3943">
      <w:pPr>
        <w:pStyle w:val="BodyText17"/>
      </w:pPr>
      <w:r w:rsidRPr="00D8141B">
        <w:t>For chronic pain assessment using AMA5 and the Guidelines, chapter 18 of AMA5, pain, (p 565-591lis excluded.</w:t>
      </w:r>
    </w:p>
    <w:p w:rsidR="00D8141B" w:rsidRPr="00D8141B" w:rsidRDefault="00D8141B" w:rsidP="009B3943">
      <w:pPr>
        <w:pStyle w:val="BodyText17"/>
      </w:pPr>
      <w:r w:rsidRPr="00D8141B">
        <w:t>The reasons for excluding chronic pain, as a separate condition from the Guidelines are:</w:t>
      </w:r>
    </w:p>
    <w:p w:rsidR="00D8141B" w:rsidRPr="00D8141B" w:rsidRDefault="00D8141B" w:rsidP="008D4373">
      <w:pPr>
        <w:pStyle w:val="Bulletpoint"/>
        <w:tabs>
          <w:tab w:val="left" w:pos="1134"/>
        </w:tabs>
        <w:ind w:left="1134" w:hanging="425"/>
      </w:pPr>
      <w:r w:rsidRPr="00D8141B">
        <w:rPr>
          <w:lang w:val="en-US"/>
        </w:rPr>
        <w:t>It is a subjective experience and is therefore open to exaggeration or fabrication in the compensation setting. Assessment depends on the credibility of the subject being assessed. In order to provide reliability, applicants undergoing pain assessments require more than one examiner at different times, concordance with the established conditions, consistency over time, anatomical and physiological consistency, agreement between  the examiners and exclusion of inappropriate illness behaviour</w:t>
      </w:r>
      <w:r w:rsidRPr="00D8141B">
        <w:t>.</w:t>
      </w:r>
    </w:p>
    <w:p w:rsidR="00D8141B" w:rsidRPr="00D8141B" w:rsidRDefault="00D8141B" w:rsidP="008D4373">
      <w:pPr>
        <w:pStyle w:val="Bulletpoint"/>
        <w:tabs>
          <w:tab w:val="left" w:pos="1134"/>
        </w:tabs>
        <w:ind w:left="1134" w:hanging="425"/>
      </w:pPr>
      <w:r w:rsidRPr="00D8141B">
        <w:rPr>
          <w:lang w:val="en-US"/>
        </w:rPr>
        <w:t>Pain cannot be measured and no objective assessment can be made</w:t>
      </w:r>
      <w:r w:rsidRPr="00D8141B">
        <w:t>.</w:t>
      </w:r>
    </w:p>
    <w:p w:rsidR="00D8141B" w:rsidRPr="00D8141B" w:rsidRDefault="00D8141B" w:rsidP="008D4373">
      <w:pPr>
        <w:pStyle w:val="Bulletpoint"/>
        <w:tabs>
          <w:tab w:val="left" w:pos="1134"/>
        </w:tabs>
        <w:ind w:left="1134" w:hanging="425"/>
      </w:pPr>
      <w:r w:rsidRPr="00D8141B">
        <w:rPr>
          <w:lang w:val="en-US"/>
        </w:rPr>
        <w:t>Tools to measure pain are based on self-reports and may be inherently unreliable</w:t>
      </w:r>
      <w:r w:rsidRPr="00D8141B">
        <w:t>.</w:t>
      </w:r>
    </w:p>
    <w:p w:rsidR="00D8141B" w:rsidRPr="00D8141B" w:rsidRDefault="00D8141B" w:rsidP="008D4373">
      <w:pPr>
        <w:pStyle w:val="Bulletpoint"/>
        <w:tabs>
          <w:tab w:val="left" w:pos="1134"/>
        </w:tabs>
        <w:ind w:left="1134" w:hanging="425"/>
      </w:pPr>
      <w:r w:rsidRPr="00D8141B">
        <w:rPr>
          <w:lang w:val="en-US"/>
        </w:rPr>
        <w:t>Some impairment ratings take symptoms into account and some of the ranges of impairment eg WPI spine, may reflect the effect of the injury and pain on ADL. This is not so for impairment assessment of the upper and lower limb which is based on range of movement and diagnosis based estimates, other than for peripheral nerve injury</w:t>
      </w:r>
      <w:r w:rsidRPr="00D8141B">
        <w:t>.</w:t>
      </w:r>
    </w:p>
    <w:p w:rsidR="00D8141B" w:rsidRPr="00D8141B" w:rsidRDefault="00D8141B" w:rsidP="008D4373">
      <w:pPr>
        <w:pStyle w:val="BodyText17"/>
      </w:pPr>
      <w:r w:rsidRPr="00D8141B">
        <w:t>Where there is a peripheral nerve injury and there is sensory loss, some of the sensory nerve impairment categories permit pain to be included (categories 1-5, table 16.10 p 482 AMA5).</w:t>
      </w:r>
    </w:p>
    <w:p w:rsidR="00D8141B" w:rsidRPr="00D8141B" w:rsidRDefault="00D8141B" w:rsidP="008D4373">
      <w:pPr>
        <w:pStyle w:val="BodyText17"/>
      </w:pPr>
      <w:r w:rsidRPr="00D8141B">
        <w:t xml:space="preserve">The section 17.2m, 'causalgia and complex regional pain syndrome (reflex sympathetic dystrophy)' (p 553 AMA5) should not be used. Table 16-16 AMA5 p 496 has been replaced by </w:t>
      </w:r>
      <w:r w:rsidRPr="00D8141B">
        <w:rPr>
          <w:u w:val="single"/>
        </w:rPr>
        <w:t>table 17.1</w:t>
      </w:r>
      <w:r w:rsidRPr="00D8141B">
        <w:t xml:space="preserve"> in the Guidelines. The table is used to determine if complex regional pain syndrome (CRPS) is a rateable diagnosis. It is important to exclude diagnoses that may mimic CRPS, such as disuse atrophy, unrecognised general medical problems, somatoform disorders, and factitious disorder. Once the diagnosis is established, assess impairment as in AMA5.</w:t>
      </w:r>
    </w:p>
    <w:p w:rsidR="00D8141B" w:rsidRPr="00D8141B" w:rsidRDefault="00D8141B" w:rsidP="009B3943">
      <w:pPr>
        <w:pStyle w:val="Heading3"/>
      </w:pPr>
      <w:r w:rsidRPr="00D8141B">
        <w:lastRenderedPageBreak/>
        <w:t>Complex Regional Pain Syndrome (CRPS) Type 1</w:t>
      </w:r>
    </w:p>
    <w:p w:rsidR="00D8141B" w:rsidRPr="00D8141B" w:rsidRDefault="00D8141B" w:rsidP="008D4373">
      <w:pPr>
        <w:pStyle w:val="Bulletpoint"/>
        <w:tabs>
          <w:tab w:val="left" w:pos="1134"/>
        </w:tabs>
        <w:ind w:left="1134" w:hanging="425"/>
      </w:pPr>
      <w:r w:rsidRPr="00D8141B">
        <w:t>For CRPS1 to be present for the purposes of assessment:</w:t>
      </w:r>
    </w:p>
    <w:p w:rsidR="00D8141B" w:rsidRPr="00D8141B" w:rsidRDefault="00D8141B" w:rsidP="0081060E">
      <w:pPr>
        <w:pStyle w:val="Bulletpoint"/>
        <w:numPr>
          <w:ilvl w:val="1"/>
          <w:numId w:val="49"/>
        </w:numPr>
        <w:tabs>
          <w:tab w:val="left" w:pos="1418"/>
        </w:tabs>
        <w:ind w:left="1418" w:hanging="284"/>
      </w:pPr>
      <w:r w:rsidRPr="00D8141B">
        <w:t>The diagnosis is to be confirmed by criteria  in Table 17.1</w:t>
      </w:r>
    </w:p>
    <w:p w:rsidR="00D8141B" w:rsidRPr="00D8141B" w:rsidRDefault="00D8141B" w:rsidP="0081060E">
      <w:pPr>
        <w:pStyle w:val="Bulletpoint"/>
        <w:numPr>
          <w:ilvl w:val="1"/>
          <w:numId w:val="49"/>
        </w:numPr>
        <w:tabs>
          <w:tab w:val="left" w:pos="1418"/>
        </w:tabs>
        <w:ind w:left="1418" w:hanging="284"/>
      </w:pPr>
      <w:r w:rsidRPr="00D8141B">
        <w:t>The diagnosis has been present for at least one year (to ensure accuracy of the diagnosis and to permit adequate time to achieve MMI)</w:t>
      </w:r>
    </w:p>
    <w:p w:rsidR="00D8141B" w:rsidRPr="00D8141B" w:rsidRDefault="00D8141B" w:rsidP="0081060E">
      <w:pPr>
        <w:pStyle w:val="Bulletpoint"/>
        <w:numPr>
          <w:ilvl w:val="1"/>
          <w:numId w:val="49"/>
        </w:numPr>
        <w:tabs>
          <w:tab w:val="left" w:pos="1418"/>
        </w:tabs>
        <w:ind w:left="1418" w:hanging="284"/>
      </w:pPr>
      <w:r w:rsidRPr="00D8141B">
        <w:t>The diagnosis has been verified by more than one examining physician</w:t>
      </w:r>
    </w:p>
    <w:p w:rsidR="00D8141B" w:rsidRPr="00D8141B" w:rsidRDefault="00D8141B" w:rsidP="0081060E">
      <w:pPr>
        <w:pStyle w:val="Bulletpoint"/>
        <w:numPr>
          <w:ilvl w:val="1"/>
          <w:numId w:val="49"/>
        </w:numPr>
        <w:tabs>
          <w:tab w:val="left" w:pos="1418"/>
        </w:tabs>
        <w:ind w:left="1418" w:hanging="284"/>
      </w:pPr>
      <w:r w:rsidRPr="00D8141B">
        <w:t>Other possible diagnoses have been excluded</w:t>
      </w:r>
    </w:p>
    <w:p w:rsidR="00D8141B" w:rsidRPr="00D8141B" w:rsidRDefault="00D8141B" w:rsidP="008D4373">
      <w:pPr>
        <w:pStyle w:val="Bulletpoint"/>
        <w:tabs>
          <w:tab w:val="left" w:pos="1134"/>
        </w:tabs>
        <w:ind w:left="1134" w:hanging="425"/>
      </w:pPr>
      <w:r w:rsidRPr="00D8141B">
        <w:t>CRPS1 is to be assessed as follows:</w:t>
      </w:r>
    </w:p>
    <w:p w:rsidR="00D8141B" w:rsidRPr="008D4373" w:rsidRDefault="00D8141B" w:rsidP="0081060E">
      <w:pPr>
        <w:pStyle w:val="Bulletpoint"/>
        <w:numPr>
          <w:ilvl w:val="1"/>
          <w:numId w:val="50"/>
        </w:numPr>
        <w:tabs>
          <w:tab w:val="left" w:pos="1418"/>
        </w:tabs>
        <w:ind w:left="1418" w:hanging="284"/>
      </w:pPr>
      <w:r w:rsidRPr="008D4373">
        <w:t>Apply the diagnostic criteria for complex regional pain syndrome type 1 (Table 17.1).</w:t>
      </w:r>
    </w:p>
    <w:p w:rsidR="00D8141B" w:rsidRPr="009B3943" w:rsidRDefault="00D8141B" w:rsidP="008D4373">
      <w:pPr>
        <w:keepNext/>
        <w:spacing w:before="240" w:after="120" w:line="240" w:lineRule="auto"/>
        <w:outlineLvl w:val="2"/>
        <w:rPr>
          <w:rFonts w:eastAsia="Times New Roman" w:cs="Times New Roman"/>
          <w:b/>
          <w:sz w:val="24"/>
          <w:szCs w:val="24"/>
          <w:lang w:val="en-US"/>
        </w:rPr>
      </w:pPr>
      <w:r w:rsidRPr="009B3943">
        <w:rPr>
          <w:rFonts w:eastAsia="Times New Roman" w:cs="Times New Roman"/>
          <w:b/>
          <w:sz w:val="24"/>
          <w:szCs w:val="24"/>
          <w:lang w:val="en-US"/>
        </w:rPr>
        <w:t xml:space="preserve">Table 17.1 Diagnostic Criteria for Complex Regional Pain Syndrome (CRPS) </w:t>
      </w:r>
      <w:r w:rsidR="009B3943">
        <w:rPr>
          <w:rFonts w:eastAsia="Times New Roman" w:cs="Times New Roman"/>
          <w:b/>
          <w:sz w:val="24"/>
          <w:szCs w:val="24"/>
          <w:lang w:val="en-US"/>
        </w:rPr>
        <w:br/>
      </w:r>
      <w:r w:rsidR="007B23EF" w:rsidRPr="009B3943">
        <w:rPr>
          <w:rFonts w:eastAsia="Times New Roman" w:cs="Times New Roman"/>
          <w:b/>
          <w:sz w:val="24"/>
          <w:szCs w:val="24"/>
          <w:lang w:val="en-US"/>
        </w:rPr>
        <w:t xml:space="preserve">types </w:t>
      </w:r>
      <w:r w:rsidRPr="009B3943">
        <w:rPr>
          <w:rFonts w:eastAsia="Times New Roman" w:cs="Times New Roman"/>
          <w:b/>
          <w:sz w:val="24"/>
          <w:szCs w:val="24"/>
          <w:lang w:val="en-US"/>
        </w:rPr>
        <w:t>1 and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8141B" w:rsidRPr="00D8141B" w:rsidTr="009B3943">
        <w:tc>
          <w:tcPr>
            <w:tcW w:w="9628" w:type="dxa"/>
          </w:tcPr>
          <w:p w:rsidR="00D8141B" w:rsidRPr="00D8141B" w:rsidRDefault="00D8141B" w:rsidP="008D4373">
            <w:pPr>
              <w:spacing w:before="60" w:after="60" w:line="260" w:lineRule="exact"/>
              <w:ind w:left="142"/>
              <w:rPr>
                <w:rFonts w:eastAsia="Times New Roman" w:cs="Arial"/>
                <w:sz w:val="20"/>
                <w:szCs w:val="20"/>
              </w:rPr>
            </w:pPr>
            <w:r w:rsidRPr="00D8141B">
              <w:rPr>
                <w:rFonts w:eastAsia="Times New Roman" w:cs="Arial"/>
                <w:sz w:val="20"/>
                <w:szCs w:val="20"/>
              </w:rPr>
              <w:t>1.  Continuing pain, which is disproportionate to any causal event.</w:t>
            </w:r>
          </w:p>
        </w:tc>
      </w:tr>
      <w:tr w:rsidR="00D8141B" w:rsidRPr="00D8141B" w:rsidTr="009B3943">
        <w:tc>
          <w:tcPr>
            <w:tcW w:w="9628" w:type="dxa"/>
          </w:tcPr>
          <w:p w:rsidR="00D8141B" w:rsidRPr="00D8141B" w:rsidRDefault="00D8141B" w:rsidP="008D4373">
            <w:pPr>
              <w:spacing w:before="60" w:after="60" w:line="260" w:lineRule="exact"/>
              <w:ind w:left="142"/>
              <w:rPr>
                <w:rFonts w:eastAsia="Times New Roman" w:cs="Arial"/>
                <w:sz w:val="20"/>
                <w:szCs w:val="20"/>
              </w:rPr>
            </w:pPr>
            <w:r w:rsidRPr="00D8141B">
              <w:rPr>
                <w:rFonts w:eastAsia="Times New Roman" w:cs="Arial"/>
                <w:sz w:val="20"/>
                <w:szCs w:val="20"/>
              </w:rPr>
              <w:t>2.  Must report at least 1 symptom in  each of the 4 following categories:</w:t>
            </w:r>
          </w:p>
          <w:p w:rsidR="00D8141B" w:rsidRPr="00D8141B" w:rsidRDefault="00D8141B" w:rsidP="0081060E">
            <w:pPr>
              <w:widowControl w:val="0"/>
              <w:numPr>
                <w:ilvl w:val="0"/>
                <w:numId w:val="18"/>
              </w:numPr>
              <w:spacing w:before="60" w:after="60" w:line="240" w:lineRule="auto"/>
              <w:ind w:left="850"/>
              <w:rPr>
                <w:rFonts w:eastAsia="Times New Roman" w:cs="Arial"/>
                <w:sz w:val="20"/>
                <w:szCs w:val="20"/>
              </w:rPr>
            </w:pPr>
            <w:r w:rsidRPr="00D8141B">
              <w:rPr>
                <w:rFonts w:eastAsia="Times New Roman" w:cs="Arial"/>
                <w:sz w:val="20"/>
                <w:szCs w:val="20"/>
              </w:rPr>
              <w:t>Sensory:  Reports of hyperaesthesiae and/or allodynia</w:t>
            </w:r>
          </w:p>
          <w:p w:rsidR="00D8141B" w:rsidRPr="00D8141B" w:rsidRDefault="00D8141B" w:rsidP="0081060E">
            <w:pPr>
              <w:widowControl w:val="0"/>
              <w:numPr>
                <w:ilvl w:val="0"/>
                <w:numId w:val="18"/>
              </w:numPr>
              <w:spacing w:before="60" w:after="60" w:line="240" w:lineRule="auto"/>
              <w:ind w:left="850"/>
              <w:rPr>
                <w:rFonts w:eastAsia="Times New Roman" w:cs="Arial"/>
                <w:sz w:val="20"/>
                <w:szCs w:val="20"/>
              </w:rPr>
            </w:pPr>
            <w:r w:rsidRPr="00D8141B">
              <w:rPr>
                <w:rFonts w:eastAsia="Times New Roman" w:cs="Arial"/>
                <w:sz w:val="20"/>
                <w:szCs w:val="20"/>
              </w:rPr>
              <w:t>Vasomotor:  Reports of temperature asymmetry and/or skin colour changes and/or skin colour asymmetry</w:t>
            </w:r>
          </w:p>
          <w:p w:rsidR="00D8141B" w:rsidRPr="00D8141B" w:rsidRDefault="00D8141B" w:rsidP="0081060E">
            <w:pPr>
              <w:widowControl w:val="0"/>
              <w:numPr>
                <w:ilvl w:val="0"/>
                <w:numId w:val="18"/>
              </w:numPr>
              <w:spacing w:before="60" w:after="60" w:line="240" w:lineRule="auto"/>
              <w:ind w:left="850"/>
              <w:rPr>
                <w:rFonts w:eastAsia="Times New Roman" w:cs="Arial"/>
                <w:sz w:val="20"/>
                <w:szCs w:val="20"/>
              </w:rPr>
            </w:pPr>
            <w:r w:rsidRPr="00D8141B">
              <w:rPr>
                <w:rFonts w:eastAsia="Times New Roman" w:cs="Arial"/>
                <w:sz w:val="20"/>
                <w:szCs w:val="20"/>
              </w:rPr>
              <w:t>Sudomotor/oedema:  Reports of oedema and/or sweating increase or decrease and/or sweating asymmetry</w:t>
            </w:r>
          </w:p>
          <w:p w:rsidR="00D8141B" w:rsidRPr="00D8141B" w:rsidRDefault="00D8141B" w:rsidP="0081060E">
            <w:pPr>
              <w:widowControl w:val="0"/>
              <w:numPr>
                <w:ilvl w:val="0"/>
                <w:numId w:val="18"/>
              </w:numPr>
              <w:spacing w:before="60" w:after="60" w:line="240" w:lineRule="auto"/>
              <w:ind w:left="850"/>
              <w:rPr>
                <w:rFonts w:eastAsia="Times New Roman" w:cs="Arial"/>
                <w:sz w:val="20"/>
                <w:szCs w:val="20"/>
              </w:rPr>
            </w:pPr>
            <w:r w:rsidRPr="00D8141B">
              <w:rPr>
                <w:rFonts w:eastAsia="Times New Roman" w:cs="Arial"/>
                <w:sz w:val="20"/>
                <w:szCs w:val="20"/>
              </w:rPr>
              <w:t>Motor/trophic:  Reports of decreased range of joint motion and/or motor dysfunction ( tremor, dystonia) and/or trophic changes (hair, nail, skin)</w:t>
            </w:r>
          </w:p>
        </w:tc>
      </w:tr>
      <w:tr w:rsidR="00D8141B" w:rsidRPr="00D8141B" w:rsidTr="009B3943">
        <w:tc>
          <w:tcPr>
            <w:tcW w:w="9628" w:type="dxa"/>
          </w:tcPr>
          <w:p w:rsidR="00D8141B" w:rsidRPr="00D8141B" w:rsidRDefault="00D8141B" w:rsidP="008D4373">
            <w:pPr>
              <w:spacing w:before="60" w:after="60" w:line="260" w:lineRule="exact"/>
              <w:ind w:left="142"/>
              <w:rPr>
                <w:rFonts w:eastAsia="Times New Roman" w:cs="Arial"/>
                <w:sz w:val="20"/>
                <w:szCs w:val="20"/>
              </w:rPr>
            </w:pPr>
            <w:r w:rsidRPr="00D8141B">
              <w:rPr>
                <w:rFonts w:eastAsia="Times New Roman" w:cs="Arial"/>
                <w:sz w:val="20"/>
                <w:szCs w:val="20"/>
              </w:rPr>
              <w:t>3.  Must display at least 1 sign* at time of evaluation in all of the following 4  categories:</w:t>
            </w:r>
          </w:p>
          <w:p w:rsidR="00D8141B" w:rsidRPr="00D8141B" w:rsidRDefault="00D8141B" w:rsidP="0081060E">
            <w:pPr>
              <w:widowControl w:val="0"/>
              <w:numPr>
                <w:ilvl w:val="0"/>
                <w:numId w:val="19"/>
              </w:numPr>
              <w:spacing w:before="60" w:after="60" w:line="240" w:lineRule="auto"/>
              <w:ind w:left="850"/>
              <w:rPr>
                <w:rFonts w:eastAsia="Times New Roman" w:cs="Arial"/>
                <w:sz w:val="20"/>
                <w:szCs w:val="20"/>
              </w:rPr>
            </w:pPr>
            <w:r w:rsidRPr="00D8141B">
              <w:rPr>
                <w:rFonts w:eastAsia="Times New Roman" w:cs="Arial"/>
                <w:sz w:val="20"/>
                <w:szCs w:val="20"/>
              </w:rPr>
              <w:t>Sensory:  Evidence of hyperalgesia (to pin prick) and/or allodynia (to light touch and/or deep somatic pressure and/or joint movement)</w:t>
            </w:r>
          </w:p>
          <w:p w:rsidR="00D8141B" w:rsidRPr="00D8141B" w:rsidRDefault="00D8141B" w:rsidP="0081060E">
            <w:pPr>
              <w:widowControl w:val="0"/>
              <w:numPr>
                <w:ilvl w:val="0"/>
                <w:numId w:val="19"/>
              </w:numPr>
              <w:spacing w:before="60" w:after="60" w:line="240" w:lineRule="auto"/>
              <w:ind w:left="850"/>
              <w:rPr>
                <w:rFonts w:eastAsia="Times New Roman" w:cs="Arial"/>
                <w:sz w:val="20"/>
                <w:szCs w:val="20"/>
              </w:rPr>
            </w:pPr>
            <w:r w:rsidRPr="00D8141B">
              <w:rPr>
                <w:rFonts w:eastAsia="Times New Roman" w:cs="Arial"/>
                <w:sz w:val="20"/>
                <w:szCs w:val="20"/>
              </w:rPr>
              <w:t xml:space="preserve">Vasomotor:  Evidence of temperature asymmetry and/or asymmetric skin colour changes </w:t>
            </w:r>
          </w:p>
          <w:p w:rsidR="00D8141B" w:rsidRPr="00D8141B" w:rsidRDefault="00D8141B" w:rsidP="0081060E">
            <w:pPr>
              <w:widowControl w:val="0"/>
              <w:numPr>
                <w:ilvl w:val="0"/>
                <w:numId w:val="19"/>
              </w:numPr>
              <w:spacing w:before="60" w:after="60" w:line="240" w:lineRule="auto"/>
              <w:ind w:left="850"/>
              <w:rPr>
                <w:rFonts w:eastAsia="Times New Roman" w:cs="Arial"/>
                <w:sz w:val="20"/>
                <w:szCs w:val="20"/>
              </w:rPr>
            </w:pPr>
            <w:r w:rsidRPr="00D8141B">
              <w:rPr>
                <w:rFonts w:eastAsia="Times New Roman" w:cs="Arial"/>
                <w:sz w:val="20"/>
                <w:szCs w:val="20"/>
              </w:rPr>
              <w:t xml:space="preserve">Sudomotor/oedema:  Evidence of oedema and/or sweating  asymmetry </w:t>
            </w:r>
          </w:p>
          <w:p w:rsidR="00D8141B" w:rsidRPr="00D8141B" w:rsidRDefault="00D8141B" w:rsidP="0081060E">
            <w:pPr>
              <w:widowControl w:val="0"/>
              <w:numPr>
                <w:ilvl w:val="0"/>
                <w:numId w:val="19"/>
              </w:numPr>
              <w:spacing w:before="60" w:after="60" w:line="240" w:lineRule="auto"/>
              <w:ind w:left="850"/>
              <w:rPr>
                <w:rFonts w:eastAsia="Times New Roman" w:cs="Arial"/>
                <w:sz w:val="20"/>
                <w:szCs w:val="20"/>
              </w:rPr>
            </w:pPr>
            <w:r w:rsidRPr="00D8141B">
              <w:rPr>
                <w:rFonts w:eastAsia="Times New Roman" w:cs="Arial"/>
                <w:sz w:val="20"/>
                <w:szCs w:val="20"/>
              </w:rPr>
              <w:t>Motor/trophic:  Evidence of decreased active joint range of motion and/or motor dysfunction ( tremor, dystonia) and/or trophic changes (hair, nail, skin)</w:t>
            </w:r>
          </w:p>
        </w:tc>
      </w:tr>
      <w:tr w:rsidR="00D8141B" w:rsidRPr="00D8141B" w:rsidTr="009B3943">
        <w:tc>
          <w:tcPr>
            <w:tcW w:w="9628" w:type="dxa"/>
          </w:tcPr>
          <w:p w:rsidR="00D8141B" w:rsidRPr="00D8141B" w:rsidRDefault="00D8141B" w:rsidP="008D4373">
            <w:pPr>
              <w:spacing w:before="60" w:after="60" w:line="260" w:lineRule="exact"/>
              <w:ind w:left="284" w:hanging="142"/>
              <w:rPr>
                <w:rFonts w:eastAsia="Times New Roman" w:cs="Arial"/>
                <w:sz w:val="20"/>
                <w:szCs w:val="20"/>
              </w:rPr>
            </w:pPr>
            <w:r w:rsidRPr="00D8141B">
              <w:rPr>
                <w:rFonts w:eastAsia="Times New Roman" w:cs="Arial"/>
                <w:sz w:val="20"/>
                <w:szCs w:val="20"/>
              </w:rPr>
              <w:t>4.  There is no other diagnosis that better explains the signs and symptoms.</w:t>
            </w:r>
          </w:p>
        </w:tc>
      </w:tr>
      <w:tr w:rsidR="00D8141B" w:rsidRPr="00D8141B" w:rsidTr="009B3943">
        <w:tc>
          <w:tcPr>
            <w:tcW w:w="9628" w:type="dxa"/>
          </w:tcPr>
          <w:p w:rsidR="00D8141B" w:rsidRPr="00D8141B" w:rsidRDefault="00D8141B" w:rsidP="008D4373">
            <w:pPr>
              <w:spacing w:before="60" w:after="60" w:line="260" w:lineRule="exact"/>
              <w:ind w:left="142"/>
              <w:rPr>
                <w:rFonts w:eastAsia="Times New Roman" w:cs="Arial"/>
                <w:sz w:val="20"/>
                <w:szCs w:val="20"/>
              </w:rPr>
            </w:pPr>
            <w:r w:rsidRPr="00D8141B">
              <w:rPr>
                <w:rFonts w:eastAsia="Times New Roman" w:cs="Arial"/>
                <w:sz w:val="20"/>
                <w:szCs w:val="20"/>
              </w:rPr>
              <w:t>*A sign is included only if it is observed and documented at time of the impairment evaluation.</w:t>
            </w:r>
          </w:p>
        </w:tc>
      </w:tr>
    </w:tbl>
    <w:p w:rsidR="00D8141B" w:rsidRPr="00D8141B" w:rsidRDefault="00D8141B" w:rsidP="0081060E">
      <w:pPr>
        <w:pStyle w:val="Bulletpoint"/>
        <w:keepNext w:val="0"/>
        <w:numPr>
          <w:ilvl w:val="1"/>
          <w:numId w:val="51"/>
        </w:numPr>
        <w:tabs>
          <w:tab w:val="left" w:pos="1418"/>
        </w:tabs>
        <w:spacing w:before="240"/>
        <w:ind w:left="1418" w:hanging="284"/>
      </w:pPr>
      <w:r w:rsidRPr="00D8141B">
        <w:rPr>
          <w:lang w:val="en-US"/>
        </w:rPr>
        <w:t>If the criteria in each of the sections 1, 2, 3 and 4 in table 17.1 are satisfied, the diagnosis of CRPS1 may be made</w:t>
      </w:r>
      <w:r w:rsidRPr="00D8141B">
        <w:t>.</w:t>
      </w:r>
    </w:p>
    <w:p w:rsidR="00D8141B" w:rsidRPr="00D8141B" w:rsidRDefault="00D8141B" w:rsidP="0081060E">
      <w:pPr>
        <w:pStyle w:val="Bulletpoint"/>
        <w:keepNext w:val="0"/>
        <w:numPr>
          <w:ilvl w:val="1"/>
          <w:numId w:val="51"/>
        </w:numPr>
        <w:tabs>
          <w:tab w:val="left" w:pos="1418"/>
        </w:tabs>
        <w:ind w:left="1418" w:hanging="284"/>
      </w:pPr>
      <w:r w:rsidRPr="00D8141B">
        <w:rPr>
          <w:lang w:val="en-US"/>
        </w:rPr>
        <w:t>Rate the extremity impairment resulting from loss of motion of each individual joint involved</w:t>
      </w:r>
      <w:r w:rsidRPr="00D8141B">
        <w:t>.</w:t>
      </w:r>
    </w:p>
    <w:p w:rsidR="00D8141B" w:rsidRPr="00D8141B" w:rsidRDefault="00D8141B" w:rsidP="0081060E">
      <w:pPr>
        <w:pStyle w:val="Bulletpoint"/>
        <w:keepNext w:val="0"/>
        <w:numPr>
          <w:ilvl w:val="1"/>
          <w:numId w:val="51"/>
        </w:numPr>
        <w:tabs>
          <w:tab w:val="left" w:pos="1418"/>
        </w:tabs>
        <w:ind w:left="1418" w:hanging="284"/>
      </w:pPr>
      <w:r w:rsidRPr="00D8141B">
        <w:rPr>
          <w:lang w:val="en-US"/>
        </w:rPr>
        <w:t>Rate the extremity impairment resulting from sensory deficits and pain, according to the grade that best fits the degree or amount of interference with ADL described in AMA5 table 16.10a (p 482) . Use clinical judgement to select the appropriate severity grade and the appropriate percentage from within the range shown in each grade. The maximum value is not automatically applied. The value selected represents the extremity impairment. A nerve value multiplier is not used</w:t>
      </w:r>
      <w:r w:rsidRPr="00D8141B">
        <w:t>.</w:t>
      </w:r>
    </w:p>
    <w:p w:rsidR="00D8141B" w:rsidRPr="00D8141B" w:rsidRDefault="00D8141B" w:rsidP="0081060E">
      <w:pPr>
        <w:pStyle w:val="Bulletpoint"/>
        <w:keepNext w:val="0"/>
        <w:numPr>
          <w:ilvl w:val="1"/>
          <w:numId w:val="51"/>
        </w:numPr>
        <w:tabs>
          <w:tab w:val="left" w:pos="1418"/>
        </w:tabs>
        <w:ind w:left="1418" w:hanging="284"/>
        <w:rPr>
          <w:lang w:val="en-US"/>
        </w:rPr>
      </w:pPr>
      <w:r w:rsidRPr="00D8141B">
        <w:rPr>
          <w:lang w:val="en-US"/>
        </w:rPr>
        <w:t>Combine the extremity impairment for loss of joint motion with the impairment for pain or sensory deficit using the combined values chart (AMA5, p 604) to obtain the final extremity impairment.</w:t>
      </w:r>
    </w:p>
    <w:p w:rsidR="00D8141B" w:rsidRPr="00D8141B" w:rsidRDefault="00D8141B" w:rsidP="0081060E">
      <w:pPr>
        <w:pStyle w:val="Bulletpoint"/>
        <w:keepNext w:val="0"/>
        <w:numPr>
          <w:ilvl w:val="1"/>
          <w:numId w:val="51"/>
        </w:numPr>
        <w:tabs>
          <w:tab w:val="left" w:pos="1418"/>
        </w:tabs>
        <w:ind w:left="1418" w:hanging="284"/>
        <w:rPr>
          <w:sz w:val="20"/>
          <w:szCs w:val="20"/>
        </w:rPr>
      </w:pPr>
      <w:r w:rsidRPr="00D8141B">
        <w:rPr>
          <w:lang w:val="en-US"/>
        </w:rPr>
        <w:t>Convert the final extremity impairment to WPI using table 16.3 p 439 for the upper extremity and table 17.3 p 527 for the lower extremity in AMA5.</w:t>
      </w:r>
    </w:p>
    <w:p w:rsidR="00D8141B" w:rsidRPr="00D8141B" w:rsidRDefault="00D8141B" w:rsidP="009B3943">
      <w:pPr>
        <w:pStyle w:val="Heading3"/>
      </w:pPr>
      <w:r w:rsidRPr="00D8141B">
        <w:lastRenderedPageBreak/>
        <w:t xml:space="preserve">Complex Regional Pain Syndrome (CRPS) </w:t>
      </w:r>
      <w:r w:rsidR="007B23EF">
        <w:t xml:space="preserve">type </w:t>
      </w:r>
      <w:r w:rsidRPr="00D8141B">
        <w:t>2, causalgia</w:t>
      </w:r>
      <w:r w:rsidR="00F15823">
        <w:t xml:space="preserve"> </w:t>
      </w:r>
    </w:p>
    <w:p w:rsidR="00D8141B" w:rsidRPr="00D8141B" w:rsidRDefault="00D8141B" w:rsidP="008D4373">
      <w:pPr>
        <w:pStyle w:val="Bulletpoint"/>
        <w:tabs>
          <w:tab w:val="left" w:pos="1134"/>
        </w:tabs>
        <w:ind w:left="1134" w:hanging="425"/>
        <w:rPr>
          <w:lang w:val="en-US"/>
        </w:rPr>
      </w:pPr>
      <w:r w:rsidRPr="00D8141B">
        <w:rPr>
          <w:lang w:val="en-US"/>
        </w:rPr>
        <w:t>For CRPS2, the mechanism is an injury to a specific nerve. The methodology in AMA5 pp 496-497 is to be followed:</w:t>
      </w:r>
    </w:p>
    <w:p w:rsidR="00D8141B" w:rsidRPr="00D8141B" w:rsidRDefault="00D8141B" w:rsidP="0081060E">
      <w:pPr>
        <w:pStyle w:val="Bulletpoint"/>
        <w:numPr>
          <w:ilvl w:val="1"/>
          <w:numId w:val="52"/>
        </w:numPr>
        <w:tabs>
          <w:tab w:val="left" w:pos="1418"/>
        </w:tabs>
        <w:ind w:left="1418" w:hanging="284"/>
      </w:pPr>
      <w:r w:rsidRPr="00D8141B">
        <w:rPr>
          <w:lang w:val="en-US"/>
        </w:rPr>
        <w:t>If the criteria in each of the sections 1, 2, 3 and 4 in table 17.1 are satisfied and there is objective evidence of an injury to a specific nerve, the diagnosis of CRPS2 may be made</w:t>
      </w:r>
      <w:r w:rsidRPr="00D8141B">
        <w:t>.</w:t>
      </w:r>
    </w:p>
    <w:p w:rsidR="00D8141B" w:rsidRPr="00D8141B" w:rsidRDefault="00D8141B" w:rsidP="0081060E">
      <w:pPr>
        <w:pStyle w:val="Bulletpoint"/>
        <w:numPr>
          <w:ilvl w:val="1"/>
          <w:numId w:val="52"/>
        </w:numPr>
        <w:tabs>
          <w:tab w:val="left" w:pos="1418"/>
        </w:tabs>
        <w:ind w:left="1418" w:hanging="284"/>
      </w:pPr>
      <w:r w:rsidRPr="00D8141B">
        <w:rPr>
          <w:lang w:val="en-US"/>
        </w:rPr>
        <w:t>Rate the extremity impairment due to loss of motion of each individual joint involved</w:t>
      </w:r>
      <w:r w:rsidRPr="00D8141B">
        <w:t>.</w:t>
      </w:r>
    </w:p>
    <w:p w:rsidR="00D8141B" w:rsidRPr="00D8141B" w:rsidRDefault="00D8141B" w:rsidP="0081060E">
      <w:pPr>
        <w:pStyle w:val="Bulletpoint"/>
        <w:numPr>
          <w:ilvl w:val="1"/>
          <w:numId w:val="52"/>
        </w:numPr>
        <w:tabs>
          <w:tab w:val="left" w:pos="1418"/>
        </w:tabs>
        <w:ind w:left="1418" w:hanging="284"/>
      </w:pPr>
      <w:r w:rsidRPr="00D8141B">
        <w:t xml:space="preserve">Rate </w:t>
      </w:r>
      <w:r w:rsidRPr="00D8141B">
        <w:rPr>
          <w:lang w:val="en-US"/>
        </w:rPr>
        <w:t>Rate the extremity impairment resulting from sensory deficits and pain of the injured nerves according to the determination methods described in section 16.5b and table 16-10a (chapter 16) AMA5. Use clinical judgement to select the appropriate severity grade and the appropriate percentage from within each range shown in the grade</w:t>
      </w:r>
      <w:r w:rsidRPr="00D8141B">
        <w:t>.</w:t>
      </w:r>
    </w:p>
    <w:p w:rsidR="00D8141B" w:rsidRPr="00D8141B" w:rsidRDefault="00D8141B" w:rsidP="0081060E">
      <w:pPr>
        <w:pStyle w:val="Bulletpoint"/>
        <w:numPr>
          <w:ilvl w:val="1"/>
          <w:numId w:val="52"/>
        </w:numPr>
        <w:tabs>
          <w:tab w:val="left" w:pos="1418"/>
        </w:tabs>
        <w:ind w:left="1418" w:hanging="284"/>
      </w:pPr>
      <w:r w:rsidRPr="00D8141B">
        <w:rPr>
          <w:lang w:val="en-US"/>
        </w:rPr>
        <w:t>Rate the extremity impairment resulting from motor deficits and loss of power of the injured nerve according to the determination method in section 16.5b and table 16-11a (chapter 16) AMA 5</w:t>
      </w:r>
      <w:r w:rsidRPr="00D8141B">
        <w:t>.</w:t>
      </w:r>
    </w:p>
    <w:p w:rsidR="00D8141B" w:rsidRPr="00D8141B" w:rsidRDefault="00D8141B" w:rsidP="0081060E">
      <w:pPr>
        <w:pStyle w:val="Bulletpoint"/>
        <w:numPr>
          <w:ilvl w:val="1"/>
          <w:numId w:val="52"/>
        </w:numPr>
        <w:tabs>
          <w:tab w:val="left" w:pos="1418"/>
        </w:tabs>
        <w:ind w:left="1418" w:hanging="284"/>
      </w:pPr>
      <w:r w:rsidRPr="00D8141B">
        <w:rPr>
          <w:lang w:val="en-US"/>
        </w:rPr>
        <w:t>Combine the extremity impairment percents for loss of range of motion of the joints involved, pain or sensory deficits and motor deficits, if present, to determine the final extremity impairment, using the combined values chart (AMA5, p 604).</w:t>
      </w:r>
    </w:p>
    <w:p w:rsidR="00D8141B" w:rsidRPr="00D8141B" w:rsidRDefault="00D8141B" w:rsidP="0081060E">
      <w:pPr>
        <w:pStyle w:val="Bulletpoint"/>
        <w:numPr>
          <w:ilvl w:val="1"/>
          <w:numId w:val="52"/>
        </w:numPr>
        <w:tabs>
          <w:tab w:val="left" w:pos="1418"/>
        </w:tabs>
        <w:ind w:left="1418" w:hanging="284"/>
        <w:rPr>
          <w:sz w:val="20"/>
          <w:szCs w:val="20"/>
        </w:rPr>
      </w:pPr>
      <w:r w:rsidRPr="00D8141B">
        <w:rPr>
          <w:lang w:val="en-US"/>
        </w:rPr>
        <w:t>Convert the final extremity impairment  to WPI using table 16.3 p 439 for the upper extremity  and table 17.3 p 527 for the lower extremity in AMA5</w:t>
      </w:r>
    </w:p>
    <w:p w:rsidR="008D4373" w:rsidRDefault="008D4373" w:rsidP="00DF5E85">
      <w:pPr>
        <w:rPr>
          <w:rFonts w:eastAsiaTheme="minorHAnsi" w:cs="Arial"/>
          <w:b/>
          <w:sz w:val="32"/>
          <w:szCs w:val="20"/>
          <w:lang w:val="en-US"/>
        </w:rPr>
        <w:sectPr w:rsidR="008D4373" w:rsidSect="00143767">
          <w:headerReference w:type="even" r:id="rId48"/>
          <w:headerReference w:type="default" r:id="rId49"/>
          <w:pgSz w:w="11906" w:h="16838"/>
          <w:pgMar w:top="1134" w:right="1134" w:bottom="1134" w:left="1134" w:header="708" w:footer="708" w:gutter="0"/>
          <w:cols w:space="708"/>
          <w:titlePg/>
          <w:docGrid w:linePitch="360"/>
        </w:sectPr>
      </w:pPr>
      <w:bookmarkStart w:id="420" w:name="_Toc422836874"/>
      <w:bookmarkStart w:id="421" w:name="_Ref529250065"/>
      <w:bookmarkStart w:id="422" w:name="_Toc529598392"/>
      <w:bookmarkStart w:id="423" w:name="_Toc144874799"/>
      <w:bookmarkStart w:id="424" w:name="_Toc318377505"/>
      <w:bookmarkEnd w:id="414"/>
      <w:bookmarkEnd w:id="415"/>
      <w:bookmarkEnd w:id="416"/>
      <w:bookmarkEnd w:id="417"/>
      <w:bookmarkEnd w:id="418"/>
    </w:p>
    <w:p w:rsidR="004D0903" w:rsidRDefault="00DF5E85" w:rsidP="008D4373">
      <w:pPr>
        <w:pStyle w:val="Heading1"/>
        <w:numPr>
          <w:ilvl w:val="0"/>
          <w:numId w:val="0"/>
        </w:numPr>
        <w:tabs>
          <w:tab w:val="clear" w:pos="567"/>
        </w:tabs>
        <w:rPr>
          <w:rFonts w:eastAsiaTheme="minorHAnsi"/>
          <w:lang w:val="en-US"/>
        </w:rPr>
      </w:pPr>
      <w:bookmarkStart w:id="425" w:name="_Toc487809961"/>
      <w:r w:rsidRPr="00DF5E85">
        <w:rPr>
          <w:rFonts w:eastAsiaTheme="minorHAnsi"/>
          <w:lang w:val="en-US"/>
        </w:rPr>
        <w:lastRenderedPageBreak/>
        <w:t>Appendix 1: Key definitions</w:t>
      </w:r>
      <w:bookmarkEnd w:id="425"/>
    </w:p>
    <w:p w:rsidR="00DF5E85" w:rsidRPr="00DF5E85" w:rsidRDefault="00DF5E85" w:rsidP="008D4373">
      <w:pPr>
        <w:pStyle w:val="Heading3"/>
      </w:pPr>
      <w:r w:rsidRPr="00DF5E85">
        <w:t>AMA5</w:t>
      </w:r>
    </w:p>
    <w:p w:rsidR="00DF5E85" w:rsidRPr="00424ABD" w:rsidRDefault="00DF5E85" w:rsidP="00424ABD">
      <w:pPr>
        <w:pStyle w:val="BodyText0"/>
        <w:rPr>
          <w:i/>
          <w:iCs/>
        </w:rPr>
      </w:pPr>
      <w:r w:rsidRPr="00DF5E85">
        <w:t xml:space="preserve">Means the Fifth Edition of the American Medical Association’s (AMA) </w:t>
      </w:r>
      <w:r w:rsidRPr="00DF5E85">
        <w:rPr>
          <w:i/>
          <w:iCs/>
        </w:rPr>
        <w:t>Guides to the</w:t>
      </w:r>
      <w:r w:rsidR="00424ABD">
        <w:rPr>
          <w:i/>
          <w:iCs/>
        </w:rPr>
        <w:t xml:space="preserve"> </w:t>
      </w:r>
      <w:r w:rsidRPr="00DF5E85">
        <w:rPr>
          <w:i/>
          <w:iCs/>
          <w:color w:val="000000"/>
        </w:rPr>
        <w:t xml:space="preserve">Evaluation of Permanent Impairment </w:t>
      </w:r>
      <w:r w:rsidRPr="00DF5E85">
        <w:rPr>
          <w:color w:val="000000"/>
        </w:rPr>
        <w:t>and any published errata.</w:t>
      </w:r>
    </w:p>
    <w:p w:rsidR="00DF5E85" w:rsidRPr="00DF5E85" w:rsidRDefault="00DF5E85" w:rsidP="00424ABD">
      <w:pPr>
        <w:pStyle w:val="Heading3"/>
      </w:pPr>
      <w:r w:rsidRPr="00DF5E85">
        <w:t>AMA4</w:t>
      </w:r>
    </w:p>
    <w:p w:rsidR="00DF5E85" w:rsidRPr="00424ABD" w:rsidRDefault="00DF5E85" w:rsidP="00424ABD">
      <w:pPr>
        <w:pStyle w:val="BodyText0"/>
        <w:rPr>
          <w:i/>
          <w:iCs/>
        </w:rPr>
      </w:pPr>
      <w:r w:rsidRPr="00DF5E85">
        <w:t xml:space="preserve">Means the Fourth Edition of the American Medical Association’s (AMA) </w:t>
      </w:r>
      <w:r w:rsidRPr="00DF5E85">
        <w:rPr>
          <w:i/>
          <w:iCs/>
        </w:rPr>
        <w:t>Guides to the</w:t>
      </w:r>
      <w:r w:rsidR="00424ABD">
        <w:rPr>
          <w:i/>
          <w:iCs/>
        </w:rPr>
        <w:t xml:space="preserve"> </w:t>
      </w:r>
      <w:r w:rsidRPr="00DF5E85">
        <w:rPr>
          <w:i/>
          <w:iCs/>
          <w:color w:val="000000"/>
        </w:rPr>
        <w:t>Evaluation of Permanent Impairment</w:t>
      </w:r>
      <w:r w:rsidRPr="00DF5E85">
        <w:rPr>
          <w:color w:val="000000"/>
        </w:rPr>
        <w:t>.</w:t>
      </w:r>
    </w:p>
    <w:p w:rsidR="00DF5E85" w:rsidRPr="00DF5E85" w:rsidRDefault="00DF5E85" w:rsidP="00424ABD">
      <w:pPr>
        <w:pStyle w:val="Heading3"/>
      </w:pPr>
      <w:r w:rsidRPr="00DF5E85">
        <w:t>Assessor</w:t>
      </w:r>
    </w:p>
    <w:p w:rsidR="00DF5E85" w:rsidRDefault="00DF5E85" w:rsidP="00424ABD">
      <w:pPr>
        <w:pStyle w:val="BodyText0"/>
      </w:pPr>
      <w:r w:rsidRPr="00DF5E85">
        <w:t>Means</w:t>
      </w:r>
      <w:r>
        <w:t xml:space="preserve"> a Medical Practitioner </w:t>
      </w:r>
      <w:r w:rsidRPr="00DF5E85">
        <w:t xml:space="preserve"> </w:t>
      </w:r>
    </w:p>
    <w:p w:rsidR="00DF5E85" w:rsidRPr="00DF5E85" w:rsidRDefault="00DF5E85" w:rsidP="00424ABD">
      <w:pPr>
        <w:pStyle w:val="Heading3"/>
      </w:pPr>
      <w:r w:rsidRPr="00DF5E85">
        <w:t>Injury, means –</w:t>
      </w:r>
    </w:p>
    <w:p w:rsidR="00F06162" w:rsidRPr="00674801" w:rsidRDefault="00424ABD" w:rsidP="00424ABD">
      <w:pPr>
        <w:pStyle w:val="BodyText0"/>
      </w:pPr>
      <w:r>
        <w:t>A</w:t>
      </w:r>
      <w:r w:rsidR="00F06162" w:rsidRPr="00674801">
        <w:t xml:space="preserve"> physical or mental injury arising out of or in the course of employment and includes:</w:t>
      </w:r>
    </w:p>
    <w:p w:rsidR="00F06162" w:rsidRPr="00674801" w:rsidRDefault="00F06162" w:rsidP="00424ABD">
      <w:pPr>
        <w:pStyle w:val="BodyText0"/>
        <w:tabs>
          <w:tab w:val="clear" w:pos="851"/>
          <w:tab w:val="left" w:pos="1276"/>
        </w:tabs>
        <w:ind w:left="1276" w:hanging="567"/>
      </w:pPr>
      <w:r w:rsidRPr="00674801">
        <w:t>(a)</w:t>
      </w:r>
      <w:r w:rsidRPr="00674801">
        <w:tab/>
        <w:t>a disease; and</w:t>
      </w:r>
    </w:p>
    <w:p w:rsidR="00F06162" w:rsidRPr="00674801" w:rsidRDefault="00F06162" w:rsidP="00424ABD">
      <w:pPr>
        <w:pStyle w:val="BodyText0"/>
        <w:tabs>
          <w:tab w:val="clear" w:pos="851"/>
          <w:tab w:val="left" w:pos="1276"/>
        </w:tabs>
        <w:ind w:left="1276" w:hanging="567"/>
      </w:pPr>
      <w:r w:rsidRPr="00674801">
        <w:t>(b)</w:t>
      </w:r>
      <w:r w:rsidRPr="00674801">
        <w:tab/>
        <w:t>the aggravation, acceleration, exacerbation, recurrence or deterioration of a pre-existing injury or disease.</w:t>
      </w:r>
    </w:p>
    <w:p w:rsidR="00DF5E85" w:rsidRPr="00DF5E85" w:rsidRDefault="00DF5E85" w:rsidP="00424ABD">
      <w:pPr>
        <w:pStyle w:val="Heading3"/>
      </w:pPr>
      <w:r w:rsidRPr="00DF5E85">
        <w:t>The Act</w:t>
      </w:r>
    </w:p>
    <w:p w:rsidR="00DF5E85" w:rsidRPr="00424ABD" w:rsidRDefault="00F06162" w:rsidP="00424ABD">
      <w:pPr>
        <w:pStyle w:val="BodyText0"/>
        <w:rPr>
          <w:i/>
        </w:rPr>
      </w:pPr>
      <w:r w:rsidRPr="00424ABD">
        <w:rPr>
          <w:i/>
        </w:rPr>
        <w:t>Return to Work Act</w:t>
      </w:r>
    </w:p>
    <w:p w:rsidR="00424ABD" w:rsidRDefault="00424ABD" w:rsidP="00DF5E85">
      <w:pPr>
        <w:keepNext/>
        <w:spacing w:after="0" w:line="240" w:lineRule="auto"/>
        <w:outlineLvl w:val="0"/>
        <w:rPr>
          <w:rFonts w:eastAsia="Times New Roman" w:cs="Arial"/>
          <w:b/>
          <w:sz w:val="32"/>
          <w:szCs w:val="20"/>
          <w:lang w:val="en-US"/>
        </w:rPr>
        <w:sectPr w:rsidR="00424ABD" w:rsidSect="00427669">
          <w:headerReference w:type="default" r:id="rId50"/>
          <w:pgSz w:w="11906" w:h="16838"/>
          <w:pgMar w:top="1134" w:right="1134" w:bottom="1134" w:left="1134" w:header="708" w:footer="708" w:gutter="0"/>
          <w:cols w:space="708"/>
          <w:docGrid w:linePitch="360"/>
        </w:sectPr>
      </w:pPr>
      <w:bookmarkStart w:id="426" w:name="_Toc422836875"/>
    </w:p>
    <w:p w:rsidR="00DF5E85" w:rsidRPr="006215EF" w:rsidRDefault="00DF5E85" w:rsidP="00424ABD">
      <w:pPr>
        <w:pStyle w:val="Heading1"/>
        <w:numPr>
          <w:ilvl w:val="0"/>
          <w:numId w:val="0"/>
        </w:numPr>
        <w:tabs>
          <w:tab w:val="clear" w:pos="567"/>
        </w:tabs>
        <w:rPr>
          <w:lang w:val="en-US"/>
        </w:rPr>
      </w:pPr>
      <w:bookmarkStart w:id="427" w:name="_Toc487809962"/>
      <w:r w:rsidRPr="006215EF">
        <w:rPr>
          <w:lang w:val="en-US"/>
        </w:rPr>
        <w:lastRenderedPageBreak/>
        <w:t>Appendix 2: Northern Territory Variations</w:t>
      </w:r>
      <w:bookmarkEnd w:id="426"/>
      <w:bookmarkEnd w:id="427"/>
      <w:r w:rsidRPr="006215EF">
        <w:rPr>
          <w:lang w:val="en-US"/>
        </w:rPr>
        <w:t xml:space="preserve"> </w:t>
      </w:r>
    </w:p>
    <w:p w:rsidR="008D2839" w:rsidRPr="006215EF" w:rsidRDefault="008D2839" w:rsidP="00424ABD">
      <w:pPr>
        <w:pStyle w:val="BodyText0"/>
        <w:rPr>
          <w:lang w:val="en-US"/>
        </w:rPr>
      </w:pPr>
      <w:r w:rsidRPr="006215EF">
        <w:rPr>
          <w:lang w:val="en-US"/>
        </w:rPr>
        <w:t>The following variations have been made to template National Guide:</w:t>
      </w:r>
    </w:p>
    <w:p w:rsidR="008D2839" w:rsidRPr="006215EF" w:rsidRDefault="008D2839" w:rsidP="00424ABD">
      <w:pPr>
        <w:pStyle w:val="Heading3"/>
      </w:pPr>
      <w:r w:rsidRPr="006215EF">
        <w:t>Clause</w:t>
      </w:r>
    </w:p>
    <w:bookmarkEnd w:id="420"/>
    <w:bookmarkEnd w:id="421"/>
    <w:bookmarkEnd w:id="422"/>
    <w:bookmarkEnd w:id="423"/>
    <w:bookmarkEnd w:id="424"/>
    <w:p w:rsidR="00F432D3" w:rsidRPr="006215EF" w:rsidRDefault="001A7EE3" w:rsidP="00F432D3">
      <w:pPr>
        <w:pStyle w:val="BodyText0"/>
        <w:numPr>
          <w:ilvl w:val="1"/>
          <w:numId w:val="27"/>
        </w:numPr>
        <w:ind w:left="851"/>
      </w:pPr>
      <w:r w:rsidRPr="006215EF">
        <w:t>Where an assessment for a progressive disease is conducted, the claimant will be considered to have reached maximum medical improvement based on the assessment of the person as they present on the day of the assessment, provided the disease is in the course of its natural progression and is unlikely to substantially improve in the next 12 months.</w:t>
      </w:r>
    </w:p>
    <w:p w:rsidR="00117D24" w:rsidRDefault="008D2839" w:rsidP="00424ABD">
      <w:pPr>
        <w:pStyle w:val="BodyText0"/>
        <w:ind w:left="851" w:hanging="851"/>
      </w:pPr>
      <w:r w:rsidRPr="008D2839">
        <w:t>1.19</w:t>
      </w:r>
      <w:r>
        <w:tab/>
      </w:r>
      <w:r w:rsidR="00DF063D">
        <w:t>This clause was deleted because i</w:t>
      </w:r>
      <w:r>
        <w:t xml:space="preserve">n the Northern Territory impairments from primary psychological and psychiatric </w:t>
      </w:r>
      <w:r w:rsidR="00DF063D">
        <w:t>injuries are combined with any impairment that results from any physical injuries arising out of the same incident.</w:t>
      </w:r>
    </w:p>
    <w:p w:rsidR="00DF063D" w:rsidRDefault="00DF063D" w:rsidP="00424ABD">
      <w:pPr>
        <w:pStyle w:val="BodyText0"/>
        <w:ind w:left="851" w:hanging="851"/>
      </w:pPr>
      <w:r>
        <w:t>1.20</w:t>
      </w:r>
      <w:r>
        <w:tab/>
        <w:t xml:space="preserve">The clause was varied to make the use of a “lead assessor” an optional approach. </w:t>
      </w:r>
    </w:p>
    <w:p w:rsidR="00DF063D" w:rsidRDefault="00DF063D" w:rsidP="00424ABD">
      <w:pPr>
        <w:pStyle w:val="BodyText0"/>
        <w:ind w:left="851" w:hanging="851"/>
        <w:rPr>
          <w:i/>
        </w:rPr>
      </w:pPr>
      <w:r>
        <w:t>1.21</w:t>
      </w:r>
      <w:r>
        <w:tab/>
        <w:t xml:space="preserve">This clause was deleted because there is no definition of psychiatric and psychological injuries in the </w:t>
      </w:r>
      <w:r w:rsidRPr="00DF063D">
        <w:rPr>
          <w:i/>
        </w:rPr>
        <w:t>Return to Work Act</w:t>
      </w:r>
      <w:r>
        <w:rPr>
          <w:i/>
        </w:rPr>
        <w:t>.</w:t>
      </w:r>
    </w:p>
    <w:p w:rsidR="00DF063D" w:rsidRDefault="00DF063D" w:rsidP="00424ABD">
      <w:pPr>
        <w:pStyle w:val="BodyText0"/>
        <w:ind w:left="851" w:hanging="851"/>
      </w:pPr>
      <w:r w:rsidRPr="00DF063D">
        <w:t xml:space="preserve">1.22 </w:t>
      </w:r>
      <w:r>
        <w:tab/>
      </w:r>
      <w:r w:rsidR="003F4549">
        <w:t>As noted for the deletion of clause 1.19 t</w:t>
      </w:r>
      <w:r>
        <w:t xml:space="preserve">his clause was deleted because </w:t>
      </w:r>
      <w:r w:rsidR="00FF3CBB">
        <w:t>in the Northern Territory impairments from primary psychological and psychiatric injuries are combined with any impairment that results from any physical injuries arising out of the same incident.</w:t>
      </w:r>
    </w:p>
    <w:p w:rsidR="00FF3CBB" w:rsidRDefault="00FF3CBB" w:rsidP="00424ABD">
      <w:pPr>
        <w:pStyle w:val="BodyText0"/>
        <w:ind w:left="851" w:hanging="851"/>
      </w:pPr>
      <w:r>
        <w:t>1.28</w:t>
      </w:r>
      <w:r>
        <w:tab/>
        <w:t>Reference to 1/10</w:t>
      </w:r>
      <w:r w:rsidRPr="00FF3CBB">
        <w:rPr>
          <w:vertAlign w:val="superscript"/>
        </w:rPr>
        <w:t>th</w:t>
      </w:r>
      <w:r>
        <w:t xml:space="preserve"> deduction rule deleted</w:t>
      </w:r>
    </w:p>
    <w:p w:rsidR="0038219F" w:rsidRDefault="00FF3CBB" w:rsidP="00424ABD">
      <w:pPr>
        <w:pStyle w:val="BodyText0"/>
        <w:ind w:left="851" w:hanging="851"/>
      </w:pPr>
      <w:r>
        <w:t>1.31</w:t>
      </w:r>
      <w:r>
        <w:tab/>
      </w:r>
      <w:r w:rsidR="002046B7">
        <w:t>Removed reference to secondary psychological impairment.  In the Northern Territory secondary psychological is to be included in evaluating the effects of treatment.</w:t>
      </w:r>
    </w:p>
    <w:p w:rsidR="00FA083B" w:rsidRDefault="00FA083B" w:rsidP="00424ABD">
      <w:pPr>
        <w:pStyle w:val="BodyText0"/>
        <w:ind w:left="851" w:hanging="851"/>
        <w:rPr>
          <w:bCs/>
        </w:rPr>
      </w:pPr>
      <w:r w:rsidRPr="00FA083B">
        <w:rPr>
          <w:bCs/>
        </w:rPr>
        <w:t>1.40</w:t>
      </w:r>
      <w:r>
        <w:rPr>
          <w:bCs/>
        </w:rPr>
        <w:tab/>
        <w:t xml:space="preserve">Removed reference to training in the use of the Guidelines.  It is </w:t>
      </w:r>
      <w:r w:rsidR="004D0903">
        <w:rPr>
          <w:bCs/>
        </w:rPr>
        <w:t>recommended</w:t>
      </w:r>
      <w:r>
        <w:rPr>
          <w:bCs/>
        </w:rPr>
        <w:t xml:space="preserve"> </w:t>
      </w:r>
      <w:r w:rsidR="004D0903">
        <w:rPr>
          <w:bCs/>
        </w:rPr>
        <w:t>stakeholders</w:t>
      </w:r>
      <w:r>
        <w:rPr>
          <w:bCs/>
        </w:rPr>
        <w:t xml:space="preserve"> use administrati</w:t>
      </w:r>
      <w:r w:rsidR="009E1CE7">
        <w:rPr>
          <w:bCs/>
        </w:rPr>
        <w:t>ve</w:t>
      </w:r>
      <w:r>
        <w:rPr>
          <w:bCs/>
        </w:rPr>
        <w:t xml:space="preserve"> processes to ensue assessors have experience in using the </w:t>
      </w:r>
      <w:r w:rsidR="004D0903">
        <w:rPr>
          <w:bCs/>
        </w:rPr>
        <w:t xml:space="preserve">template Guide that was </w:t>
      </w:r>
      <w:r w:rsidR="009E1CE7">
        <w:rPr>
          <w:bCs/>
        </w:rPr>
        <w:t>facilitated</w:t>
      </w:r>
      <w:r w:rsidR="004D0903">
        <w:rPr>
          <w:bCs/>
        </w:rPr>
        <w:t xml:space="preserve"> through a national process by Safe Work Australia.</w:t>
      </w:r>
      <w:r>
        <w:rPr>
          <w:bCs/>
        </w:rPr>
        <w:t xml:space="preserve"> </w:t>
      </w:r>
    </w:p>
    <w:p w:rsidR="00C477EE" w:rsidRDefault="00C477EE" w:rsidP="00424ABD">
      <w:pPr>
        <w:pStyle w:val="BodyText0"/>
        <w:ind w:left="851" w:hanging="851"/>
        <w:rPr>
          <w:bCs/>
        </w:rPr>
      </w:pPr>
      <w:r>
        <w:rPr>
          <w:bCs/>
        </w:rPr>
        <w:t>1.50</w:t>
      </w:r>
      <w:r>
        <w:rPr>
          <w:bCs/>
        </w:rPr>
        <w:tab/>
        <w:t xml:space="preserve">This clause was amended to remove the requirement for the final % WPI being included in the final paragraph.  This is </w:t>
      </w:r>
      <w:r w:rsidR="004D0903">
        <w:rPr>
          <w:bCs/>
        </w:rPr>
        <w:t>a common practice by assessors</w:t>
      </w:r>
      <w:r>
        <w:rPr>
          <w:bCs/>
        </w:rPr>
        <w:t xml:space="preserve"> but an assessment will not be invalid if it is not in the final paragraph.</w:t>
      </w:r>
    </w:p>
    <w:p w:rsidR="00C477EE" w:rsidRDefault="00C477EE" w:rsidP="00424ABD">
      <w:pPr>
        <w:pStyle w:val="BodyText0"/>
        <w:ind w:left="851" w:hanging="851"/>
        <w:rPr>
          <w:bCs/>
        </w:rPr>
      </w:pPr>
      <w:r>
        <w:rPr>
          <w:bCs/>
        </w:rPr>
        <w:t>1.53</w:t>
      </w:r>
      <w:r>
        <w:rPr>
          <w:bCs/>
        </w:rPr>
        <w:tab/>
        <w:t xml:space="preserve">This clause was deleted.  There is </w:t>
      </w:r>
      <w:r w:rsidR="00842DCA">
        <w:rPr>
          <w:bCs/>
        </w:rPr>
        <w:t xml:space="preserve">no list of trained assessors applicable to the Northern Territory. </w:t>
      </w:r>
    </w:p>
    <w:p w:rsidR="00C477EE" w:rsidRDefault="00B71C34" w:rsidP="00424ABD">
      <w:pPr>
        <w:pStyle w:val="BodyText0"/>
        <w:ind w:left="851" w:hanging="851"/>
        <w:rPr>
          <w:bCs/>
        </w:rPr>
      </w:pPr>
      <w:r>
        <w:rPr>
          <w:bCs/>
        </w:rPr>
        <w:t>1.57</w:t>
      </w:r>
      <w:r>
        <w:rPr>
          <w:bCs/>
        </w:rPr>
        <w:tab/>
        <w:t xml:space="preserve">This clause was deleted because there is no administrative process to deal with complaints about the behaviour of an assessor.  </w:t>
      </w:r>
    </w:p>
    <w:p w:rsidR="005167EA" w:rsidRDefault="005167EA" w:rsidP="00424ABD">
      <w:pPr>
        <w:pStyle w:val="BodyText0"/>
        <w:ind w:left="851" w:hanging="851"/>
        <w:rPr>
          <w:bCs/>
        </w:rPr>
      </w:pPr>
      <w:r>
        <w:rPr>
          <w:bCs/>
        </w:rPr>
        <w:t>1.58</w:t>
      </w:r>
      <w:r>
        <w:rPr>
          <w:bCs/>
        </w:rPr>
        <w:tab/>
        <w:t xml:space="preserve">This clause was deleted because the process to dispute an assessment is set out in section 72 of the </w:t>
      </w:r>
      <w:r w:rsidRPr="005167EA">
        <w:rPr>
          <w:bCs/>
          <w:i/>
        </w:rPr>
        <w:t>Return to Work Act</w:t>
      </w:r>
      <w:r>
        <w:rPr>
          <w:bCs/>
          <w:i/>
        </w:rPr>
        <w:t>.</w:t>
      </w:r>
      <w:r>
        <w:rPr>
          <w:bCs/>
        </w:rPr>
        <w:t xml:space="preserve"> </w:t>
      </w:r>
    </w:p>
    <w:p w:rsidR="00D8403A" w:rsidRDefault="00D8403A" w:rsidP="00424ABD">
      <w:pPr>
        <w:pStyle w:val="BodyText0"/>
        <w:ind w:left="851" w:hanging="851"/>
        <w:rPr>
          <w:bCs/>
        </w:rPr>
      </w:pPr>
      <w:r>
        <w:rPr>
          <w:bCs/>
        </w:rPr>
        <w:t>9.11</w:t>
      </w:r>
      <w:r>
        <w:rPr>
          <w:bCs/>
        </w:rPr>
        <w:tab/>
      </w:r>
      <w:r w:rsidR="00A86E9A">
        <w:rPr>
          <w:bCs/>
        </w:rPr>
        <w:t xml:space="preserve">It should be noted that in the Northern Territory there is no </w:t>
      </w:r>
      <w:r w:rsidR="00A64CF2">
        <w:rPr>
          <w:bCs/>
        </w:rPr>
        <w:t xml:space="preserve">statutory </w:t>
      </w:r>
      <w:r w:rsidR="00A86E9A">
        <w:rPr>
          <w:bCs/>
        </w:rPr>
        <w:t>threshold before including the impact of tinnitus on daily living</w:t>
      </w:r>
      <w:r w:rsidR="00A64CF2">
        <w:rPr>
          <w:bCs/>
        </w:rPr>
        <w:t xml:space="preserve">.  Assessments are to be made in accordance with </w:t>
      </w:r>
      <w:r w:rsidR="00A86E9A">
        <w:rPr>
          <w:bCs/>
        </w:rPr>
        <w:t xml:space="preserve">AMA5 </w:t>
      </w:r>
      <w:r w:rsidR="00A64CF2">
        <w:rPr>
          <w:bCs/>
        </w:rPr>
        <w:t xml:space="preserve">which refers only to </w:t>
      </w:r>
      <w:r w:rsidR="00A86E9A">
        <w:rPr>
          <w:bCs/>
        </w:rPr>
        <w:t>a measurable hearing loss.</w:t>
      </w:r>
      <w:r>
        <w:rPr>
          <w:bCs/>
        </w:rPr>
        <w:t xml:space="preserve">  </w:t>
      </w:r>
    </w:p>
    <w:p w:rsidR="001A4BB9" w:rsidRPr="00FA083B" w:rsidRDefault="001A4BB9" w:rsidP="00424ABD">
      <w:pPr>
        <w:pStyle w:val="BodyText0"/>
        <w:ind w:left="851" w:hanging="851"/>
        <w:rPr>
          <w:bCs/>
        </w:rPr>
      </w:pPr>
      <w:r>
        <w:rPr>
          <w:bCs/>
        </w:rPr>
        <w:t>11.3</w:t>
      </w:r>
      <w:r>
        <w:rPr>
          <w:bCs/>
        </w:rPr>
        <w:tab/>
        <w:t xml:space="preserve">This clause was deleted because in the Northern Territory permanent impairment assessments are to include both primary and secondary (sequela) psychiatric and psychological disorders. </w:t>
      </w:r>
    </w:p>
    <w:p w:rsidR="00793D05" w:rsidRDefault="00793D05"/>
    <w:p w:rsidR="00424ABD" w:rsidRDefault="00424ABD" w:rsidP="00424ABD">
      <w:pPr>
        <w:pStyle w:val="Heading1"/>
        <w:numPr>
          <w:ilvl w:val="0"/>
          <w:numId w:val="0"/>
        </w:numPr>
        <w:sectPr w:rsidR="00424ABD" w:rsidSect="00427669">
          <w:pgSz w:w="11906" w:h="16838"/>
          <w:pgMar w:top="1134" w:right="1134" w:bottom="1134" w:left="1134" w:header="708" w:footer="708" w:gutter="0"/>
          <w:cols w:space="708"/>
          <w:docGrid w:linePitch="360"/>
        </w:sectPr>
      </w:pPr>
    </w:p>
    <w:p w:rsidR="006B0558" w:rsidRDefault="006B0558" w:rsidP="00B847DF">
      <w:pPr>
        <w:pStyle w:val="Heading1"/>
        <w:numPr>
          <w:ilvl w:val="0"/>
          <w:numId w:val="0"/>
        </w:numPr>
        <w:tabs>
          <w:tab w:val="clear" w:pos="567"/>
        </w:tabs>
        <w:spacing w:after="160"/>
      </w:pPr>
      <w:bookmarkStart w:id="428" w:name="_Toc487809963"/>
      <w:r>
        <w:lastRenderedPageBreak/>
        <w:t>Appendix 3: Working groups on permanent impairment</w:t>
      </w:r>
      <w:bookmarkEnd w:id="428"/>
      <w:r>
        <w:t xml:space="preserve"> </w:t>
      </w:r>
    </w:p>
    <w:p w:rsidR="006B0558" w:rsidRDefault="006B0558" w:rsidP="00B847DF">
      <w:pPr>
        <w:pStyle w:val="Heading3"/>
        <w:spacing w:before="0" w:after="40"/>
        <w:rPr>
          <w:sz w:val="32"/>
        </w:rPr>
      </w:pPr>
      <w:bookmarkStart w:id="429" w:name="_Toc144875389"/>
      <w:bookmarkStart w:id="430" w:name="_Toc144874800"/>
      <w:r>
        <w:t>Permanent Impairment Co-ordinating Group</w:t>
      </w:r>
      <w:bookmarkEnd w:id="429"/>
      <w:bookmarkEnd w:id="430"/>
      <w:r>
        <w:t xml:space="preserve"> 2001</w:t>
      </w:r>
    </w:p>
    <w:tbl>
      <w:tblPr>
        <w:tblW w:w="9809" w:type="dxa"/>
        <w:jc w:val="center"/>
        <w:tblLayout w:type="fixed"/>
        <w:tblLook w:val="04A0" w:firstRow="1" w:lastRow="0" w:firstColumn="1" w:lastColumn="0" w:noHBand="0" w:noVBand="1"/>
      </w:tblPr>
      <w:tblGrid>
        <w:gridCol w:w="3261"/>
        <w:gridCol w:w="6548"/>
      </w:tblGrid>
      <w:tr w:rsidR="006B0558" w:rsidRPr="00ED154A" w:rsidTr="00B847DF">
        <w:trPr>
          <w:trHeight w:val="257"/>
          <w:jc w:val="center"/>
        </w:trPr>
        <w:tc>
          <w:tcPr>
            <w:tcW w:w="3261" w:type="dxa"/>
            <w:hideMark/>
          </w:tcPr>
          <w:p w:rsidR="006B0558" w:rsidRPr="00ED154A" w:rsidRDefault="006B0558" w:rsidP="00B847DF">
            <w:pPr>
              <w:keepNext/>
              <w:keepLines/>
              <w:widowControl w:val="0"/>
              <w:suppressAutoHyphens/>
              <w:spacing w:after="0" w:line="240" w:lineRule="auto"/>
              <w:rPr>
                <w:rFonts w:eastAsia="Times New Roman" w:cs="Arial"/>
                <w:b/>
                <w:bCs/>
                <w:snapToGrid w:val="0"/>
                <w:sz w:val="20"/>
                <w:szCs w:val="20"/>
              </w:rPr>
            </w:pPr>
            <w:r w:rsidRPr="00ED154A">
              <w:rPr>
                <w:rFonts w:eastAsia="Times New Roman" w:cs="Arial"/>
                <w:b/>
                <w:bCs/>
                <w:snapToGrid w:val="0"/>
                <w:sz w:val="20"/>
                <w:szCs w:val="20"/>
              </w:rPr>
              <w:t>Name</w:t>
            </w:r>
          </w:p>
        </w:tc>
        <w:tc>
          <w:tcPr>
            <w:tcW w:w="6548" w:type="dxa"/>
            <w:hideMark/>
          </w:tcPr>
          <w:p w:rsidR="006B0558" w:rsidRPr="00ED154A" w:rsidRDefault="006B0558" w:rsidP="00B847DF">
            <w:pPr>
              <w:keepNext/>
              <w:keepLines/>
              <w:widowControl w:val="0"/>
              <w:suppressAutoHyphens/>
              <w:spacing w:after="0" w:line="240" w:lineRule="auto"/>
              <w:rPr>
                <w:rFonts w:eastAsia="Times New Roman" w:cs="Arial"/>
                <w:b/>
                <w:bCs/>
                <w:snapToGrid w:val="0"/>
                <w:sz w:val="20"/>
                <w:szCs w:val="20"/>
              </w:rPr>
            </w:pPr>
            <w:r w:rsidRPr="00ED154A">
              <w:rPr>
                <w:rFonts w:eastAsia="Times New Roman" w:cs="Arial"/>
                <w:b/>
                <w:bCs/>
                <w:snapToGrid w:val="0"/>
                <w:sz w:val="20"/>
                <w:szCs w:val="20"/>
              </w:rPr>
              <w:t>Position</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 xml:space="preserve">Dr Jim Stewart </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Chair</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 xml:space="preserve">Ms Kate Mckenzie </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WorkCover</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Mr John Robertson</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Labor Council of NSW</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Ms Mary Yaager</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Labor Council of NSW</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Dr Ian Gardner</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Medical Representative to Workers Compensation and Workplace Occupational Health and Safety Council of NSW</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Dr Stephen Buckley</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Rehabilitation Physician</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Prof Michael Fearnside</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Professor of Neurosurgery</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Dr John Harrison</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 xml:space="preserve">Orthopaedic Surgeon </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Dr Jonathan Phillips</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 xml:space="preserve">Psychiatrist </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 xml:space="preserve">Professor Bill Marsden </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 xml:space="preserve">Professor of Orthopaedic Surgery </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Dr Dwight Dowda</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Occupational Physician</w:t>
            </w:r>
          </w:p>
        </w:tc>
      </w:tr>
      <w:tr w:rsidR="006B0558" w:rsidRPr="00ED154A" w:rsidTr="00B847DF">
        <w:trPr>
          <w:trHeight w:val="254"/>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Associate Professor Ian Cameron</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Assoc Professor of Rehabilitation Medicine</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Dr Robin Chase</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Australian Medical Association</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before="80" w:after="0" w:line="240" w:lineRule="auto"/>
              <w:rPr>
                <w:rFonts w:eastAsia="Times New Roman" w:cs="Arial"/>
                <w:b/>
                <w:bCs/>
                <w:snapToGrid w:val="0"/>
                <w:sz w:val="20"/>
                <w:szCs w:val="20"/>
              </w:rPr>
            </w:pPr>
            <w:r w:rsidRPr="00ED154A">
              <w:rPr>
                <w:rFonts w:eastAsia="Times New Roman" w:cs="Arial"/>
                <w:b/>
                <w:bCs/>
                <w:snapToGrid w:val="0"/>
                <w:sz w:val="20"/>
                <w:szCs w:val="20"/>
              </w:rPr>
              <w:t>2005 Revisions</w:t>
            </w:r>
          </w:p>
        </w:tc>
        <w:tc>
          <w:tcPr>
            <w:tcW w:w="6548" w:type="dxa"/>
          </w:tcPr>
          <w:p w:rsidR="006B0558" w:rsidRPr="00ED154A" w:rsidRDefault="006B0558" w:rsidP="00B847DF">
            <w:pPr>
              <w:keepLines/>
              <w:widowControl w:val="0"/>
              <w:suppressAutoHyphens/>
              <w:spacing w:before="80" w:after="0" w:line="240" w:lineRule="auto"/>
              <w:rPr>
                <w:rFonts w:eastAsia="Times New Roman" w:cs="Arial"/>
                <w:snapToGrid w:val="0"/>
                <w:sz w:val="20"/>
                <w:szCs w:val="20"/>
              </w:rPr>
            </w:pP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Dr Roger Pillemer</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Orthopaedic Surgeon</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Dr John Dixon Hughes</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General Surgeon</w:t>
            </w:r>
          </w:p>
        </w:tc>
      </w:tr>
      <w:tr w:rsidR="006B0558" w:rsidRPr="00ED154A" w:rsidTr="00B847DF">
        <w:trPr>
          <w:jc w:val="center"/>
        </w:trPr>
        <w:tc>
          <w:tcPr>
            <w:tcW w:w="3261"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Dr Yvonne Skinner</w:t>
            </w:r>
          </w:p>
        </w:tc>
        <w:tc>
          <w:tcPr>
            <w:tcW w:w="6548" w:type="dxa"/>
            <w:hideMark/>
          </w:tcPr>
          <w:p w:rsidR="006B0558" w:rsidRPr="00ED154A" w:rsidRDefault="006B0558" w:rsidP="00B847DF">
            <w:pPr>
              <w:keepLines/>
              <w:widowControl w:val="0"/>
              <w:suppressAutoHyphens/>
              <w:spacing w:after="0" w:line="240" w:lineRule="auto"/>
              <w:rPr>
                <w:rFonts w:eastAsia="Times New Roman" w:cs="Arial"/>
                <w:snapToGrid w:val="0"/>
                <w:sz w:val="20"/>
                <w:szCs w:val="20"/>
              </w:rPr>
            </w:pPr>
            <w:r w:rsidRPr="00ED154A">
              <w:rPr>
                <w:rFonts w:eastAsia="Times New Roman" w:cs="Arial"/>
                <w:snapToGrid w:val="0"/>
                <w:sz w:val="20"/>
                <w:szCs w:val="20"/>
              </w:rPr>
              <w:t>Psychiatrist</w:t>
            </w:r>
          </w:p>
        </w:tc>
      </w:tr>
    </w:tbl>
    <w:p w:rsidR="006B0558" w:rsidRDefault="006B0558" w:rsidP="00B847DF">
      <w:pPr>
        <w:pStyle w:val="Heading3"/>
        <w:spacing w:before="200" w:after="40"/>
      </w:pPr>
      <w:r>
        <w:t>Permanent Impairment Co-ordinating Committee 2008</w:t>
      </w:r>
    </w:p>
    <w:tbl>
      <w:tblPr>
        <w:tblW w:w="9781" w:type="dxa"/>
        <w:jc w:val="center"/>
        <w:tblLayout w:type="fixed"/>
        <w:tblLook w:val="04A0" w:firstRow="1" w:lastRow="0" w:firstColumn="1" w:lastColumn="0" w:noHBand="0" w:noVBand="1"/>
      </w:tblPr>
      <w:tblGrid>
        <w:gridCol w:w="3261"/>
        <w:gridCol w:w="6520"/>
      </w:tblGrid>
      <w:tr w:rsidR="006B0558" w:rsidRPr="00536C32" w:rsidTr="00B847DF">
        <w:trPr>
          <w:jc w:val="center"/>
        </w:trPr>
        <w:tc>
          <w:tcPr>
            <w:tcW w:w="3261" w:type="dxa"/>
            <w:hideMark/>
          </w:tcPr>
          <w:p w:rsidR="006B0558" w:rsidRPr="00536C32" w:rsidRDefault="006B0558" w:rsidP="00B847DF">
            <w:pPr>
              <w:keepNext/>
              <w:keepLines/>
              <w:widowControl w:val="0"/>
              <w:suppressAutoHyphens/>
              <w:spacing w:after="0" w:line="240" w:lineRule="auto"/>
              <w:rPr>
                <w:rFonts w:eastAsia="Times New Roman" w:cs="Arial"/>
                <w:b/>
                <w:bCs/>
                <w:snapToGrid w:val="0"/>
                <w:sz w:val="20"/>
                <w:szCs w:val="20"/>
              </w:rPr>
            </w:pPr>
            <w:r w:rsidRPr="00536C32">
              <w:rPr>
                <w:rFonts w:eastAsia="Times New Roman" w:cs="Arial"/>
                <w:b/>
                <w:bCs/>
                <w:snapToGrid w:val="0"/>
                <w:sz w:val="20"/>
                <w:szCs w:val="20"/>
              </w:rPr>
              <w:t>Name</w:t>
            </w:r>
          </w:p>
        </w:tc>
        <w:tc>
          <w:tcPr>
            <w:tcW w:w="6520" w:type="dxa"/>
            <w:hideMark/>
          </w:tcPr>
          <w:p w:rsidR="006B0558" w:rsidRPr="00536C32" w:rsidRDefault="006B0558" w:rsidP="00B847DF">
            <w:pPr>
              <w:keepNext/>
              <w:keepLines/>
              <w:widowControl w:val="0"/>
              <w:suppressAutoHyphens/>
              <w:spacing w:after="0" w:line="240" w:lineRule="auto"/>
              <w:rPr>
                <w:rFonts w:eastAsia="Times New Roman" w:cs="Arial"/>
                <w:b/>
                <w:bCs/>
                <w:snapToGrid w:val="0"/>
                <w:sz w:val="20"/>
                <w:szCs w:val="20"/>
              </w:rPr>
            </w:pPr>
            <w:r w:rsidRPr="00536C32">
              <w:rPr>
                <w:rFonts w:eastAsia="Times New Roman" w:cs="Arial"/>
                <w:b/>
                <w:bCs/>
                <w:snapToGrid w:val="0"/>
                <w:sz w:val="20"/>
                <w:szCs w:val="20"/>
              </w:rPr>
              <w:t>Position</w:t>
            </w:r>
          </w:p>
        </w:tc>
      </w:tr>
      <w:tr w:rsidR="006B0558" w:rsidRPr="00536C32" w:rsidTr="00B847DF">
        <w:trPr>
          <w:jc w:val="center"/>
        </w:trPr>
        <w:tc>
          <w:tcPr>
            <w:tcW w:w="3261"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Mr Rob Thomson</w:t>
            </w:r>
          </w:p>
        </w:tc>
        <w:tc>
          <w:tcPr>
            <w:tcW w:w="6520"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Chair</w:t>
            </w:r>
          </w:p>
        </w:tc>
      </w:tr>
      <w:tr w:rsidR="006B0558" w:rsidRPr="00536C32" w:rsidTr="00B847DF">
        <w:trPr>
          <w:jc w:val="center"/>
        </w:trPr>
        <w:tc>
          <w:tcPr>
            <w:tcW w:w="3261"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Ms Mary Yaager</w:t>
            </w:r>
          </w:p>
        </w:tc>
        <w:tc>
          <w:tcPr>
            <w:tcW w:w="6520"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Unions NSW</w:t>
            </w:r>
          </w:p>
        </w:tc>
      </w:tr>
      <w:tr w:rsidR="006B0558" w:rsidRPr="00536C32" w:rsidTr="00B847DF">
        <w:trPr>
          <w:jc w:val="center"/>
        </w:trPr>
        <w:tc>
          <w:tcPr>
            <w:tcW w:w="3261"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Dr Ian Gardner</w:t>
            </w:r>
          </w:p>
        </w:tc>
        <w:tc>
          <w:tcPr>
            <w:tcW w:w="6520"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Workers Compensation and Workplace Occupational Health and Safety Council of NSW</w:t>
            </w:r>
          </w:p>
        </w:tc>
      </w:tr>
      <w:tr w:rsidR="006B0558" w:rsidRPr="00536C32" w:rsidTr="00B847DF">
        <w:trPr>
          <w:jc w:val="center"/>
        </w:trPr>
        <w:tc>
          <w:tcPr>
            <w:tcW w:w="3261"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Associate Professor Michael Fearnside</w:t>
            </w:r>
          </w:p>
        </w:tc>
        <w:tc>
          <w:tcPr>
            <w:tcW w:w="6520"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Associate Professor of Neurosurgery, Neurosurgical Society of Australasia</w:t>
            </w:r>
          </w:p>
        </w:tc>
      </w:tr>
      <w:tr w:rsidR="006B0558" w:rsidRPr="00536C32" w:rsidTr="00B847DF">
        <w:trPr>
          <w:jc w:val="center"/>
        </w:trPr>
        <w:tc>
          <w:tcPr>
            <w:tcW w:w="3261"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Dr John Harrison</w:t>
            </w:r>
          </w:p>
        </w:tc>
        <w:tc>
          <w:tcPr>
            <w:tcW w:w="6520"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 xml:space="preserve">Orthopaedic Surgeon, Australian Orthopaedic Association, Australian Society of Orthopaedic Surgeons </w:t>
            </w:r>
          </w:p>
        </w:tc>
      </w:tr>
      <w:tr w:rsidR="006B0558" w:rsidRPr="00536C32" w:rsidTr="00B847DF">
        <w:trPr>
          <w:jc w:val="center"/>
        </w:trPr>
        <w:tc>
          <w:tcPr>
            <w:tcW w:w="3261"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Dr Yvonne Skinner</w:t>
            </w:r>
          </w:p>
        </w:tc>
        <w:tc>
          <w:tcPr>
            <w:tcW w:w="6520"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 xml:space="preserve">Psychiatrist, Royal Australian and New Zealand College of Psychiatrists </w:t>
            </w:r>
          </w:p>
        </w:tc>
      </w:tr>
      <w:tr w:rsidR="006B0558" w:rsidRPr="00536C32" w:rsidTr="00B847DF">
        <w:trPr>
          <w:jc w:val="center"/>
        </w:trPr>
        <w:tc>
          <w:tcPr>
            <w:tcW w:w="3261"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Professor Ian Cameron</w:t>
            </w:r>
          </w:p>
        </w:tc>
        <w:tc>
          <w:tcPr>
            <w:tcW w:w="6520"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Professor of Rehabilitation Medicine, Australasian Faculty of Rehabilitation Medicine</w:t>
            </w:r>
          </w:p>
        </w:tc>
      </w:tr>
      <w:tr w:rsidR="006B0558" w:rsidRPr="00536C32" w:rsidTr="00B847DF">
        <w:trPr>
          <w:jc w:val="center"/>
        </w:trPr>
        <w:tc>
          <w:tcPr>
            <w:tcW w:w="3261"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Dr Roger Pillemer</w:t>
            </w:r>
          </w:p>
        </w:tc>
        <w:tc>
          <w:tcPr>
            <w:tcW w:w="6520"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Approved Medical Specialist</w:t>
            </w:r>
          </w:p>
        </w:tc>
      </w:tr>
      <w:tr w:rsidR="006B0558" w:rsidRPr="00536C32" w:rsidTr="00B847DF">
        <w:trPr>
          <w:jc w:val="center"/>
        </w:trPr>
        <w:tc>
          <w:tcPr>
            <w:tcW w:w="3261"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Dr Michael Gliksman</w:t>
            </w:r>
          </w:p>
        </w:tc>
        <w:tc>
          <w:tcPr>
            <w:tcW w:w="6520"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Australian Medical Association</w:t>
            </w:r>
          </w:p>
        </w:tc>
      </w:tr>
      <w:tr w:rsidR="006B0558" w:rsidRPr="00536C32" w:rsidTr="00B847DF">
        <w:trPr>
          <w:jc w:val="center"/>
        </w:trPr>
        <w:tc>
          <w:tcPr>
            <w:tcW w:w="3261"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Dr Neil Berry</w:t>
            </w:r>
          </w:p>
        </w:tc>
        <w:tc>
          <w:tcPr>
            <w:tcW w:w="6520" w:type="dxa"/>
            <w:hideMark/>
          </w:tcPr>
          <w:p w:rsidR="006B0558" w:rsidRPr="00536C32" w:rsidRDefault="006B0558" w:rsidP="00B847DF">
            <w:pPr>
              <w:keepLines/>
              <w:widowControl w:val="0"/>
              <w:suppressAutoHyphens/>
              <w:spacing w:after="0" w:line="240" w:lineRule="auto"/>
              <w:rPr>
                <w:rFonts w:eastAsia="Times New Roman" w:cs="Arial"/>
                <w:snapToGrid w:val="0"/>
                <w:sz w:val="20"/>
                <w:szCs w:val="20"/>
              </w:rPr>
            </w:pPr>
            <w:r w:rsidRPr="00536C32">
              <w:rPr>
                <w:rFonts w:eastAsia="Times New Roman" w:cs="Arial"/>
                <w:snapToGrid w:val="0"/>
                <w:sz w:val="20"/>
                <w:szCs w:val="20"/>
              </w:rPr>
              <w:t>Royal Australasian College of Surgeons</w:t>
            </w:r>
          </w:p>
        </w:tc>
      </w:tr>
    </w:tbl>
    <w:p w:rsidR="006B0558" w:rsidRDefault="006B0558" w:rsidP="00B847DF">
      <w:pPr>
        <w:pStyle w:val="Heading3"/>
        <w:keepNext w:val="0"/>
        <w:keepLines/>
        <w:spacing w:before="200" w:after="40"/>
      </w:pPr>
      <w:r>
        <w:t>Permanent Impairment Co-ordinating Committee 2013</w:t>
      </w:r>
    </w:p>
    <w:tbl>
      <w:tblPr>
        <w:tblW w:w="9781" w:type="dxa"/>
        <w:jc w:val="center"/>
        <w:tblLayout w:type="fixed"/>
        <w:tblLook w:val="04A0" w:firstRow="1" w:lastRow="0" w:firstColumn="1" w:lastColumn="0" w:noHBand="0" w:noVBand="1"/>
      </w:tblPr>
      <w:tblGrid>
        <w:gridCol w:w="3402"/>
        <w:gridCol w:w="6379"/>
      </w:tblGrid>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b/>
                <w:bCs/>
                <w:snapToGrid w:val="0"/>
                <w:sz w:val="20"/>
                <w:szCs w:val="20"/>
              </w:rPr>
            </w:pPr>
            <w:r w:rsidRPr="00B847DF">
              <w:rPr>
                <w:rFonts w:eastAsia="Times New Roman" w:cs="Arial"/>
                <w:b/>
                <w:bCs/>
                <w:snapToGrid w:val="0"/>
                <w:sz w:val="20"/>
                <w:szCs w:val="20"/>
              </w:rPr>
              <w:t>Name</w:t>
            </w:r>
          </w:p>
        </w:tc>
        <w:tc>
          <w:tcPr>
            <w:tcW w:w="6379" w:type="dxa"/>
            <w:hideMark/>
          </w:tcPr>
          <w:p w:rsidR="006B0558" w:rsidRPr="00B847DF" w:rsidRDefault="006B0558" w:rsidP="00B847DF">
            <w:pPr>
              <w:keepLines/>
              <w:widowControl w:val="0"/>
              <w:spacing w:after="0" w:line="240" w:lineRule="auto"/>
              <w:rPr>
                <w:rFonts w:eastAsia="Times New Roman" w:cs="Arial"/>
                <w:b/>
                <w:bCs/>
                <w:snapToGrid w:val="0"/>
                <w:sz w:val="20"/>
                <w:szCs w:val="20"/>
              </w:rPr>
            </w:pPr>
            <w:r w:rsidRPr="00B847DF">
              <w:rPr>
                <w:rFonts w:eastAsia="Times New Roman" w:cs="Arial"/>
                <w:b/>
                <w:bCs/>
                <w:snapToGrid w:val="0"/>
                <w:sz w:val="20"/>
                <w:szCs w:val="20"/>
              </w:rPr>
              <w:t>Position</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Mr Gary Jeffery</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Chair</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Mr Kim Garling</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WorkCover Independent Review Officer</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Ms Alisha Wilde/Mr Shay Degaura</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Unions NSW</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Dr Mark Burns</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Australian Faculty of Occupational and Environmental Medicine</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Associate Professor Michael Fearnside</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Associate Professor of Neurosurgery, Neurosurgical Society of Australasia</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Dr John Harrison</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 xml:space="preserve">Orthopaedic Surgeon, Australian Orthopaedic Association, Australian Society of Orthopaedic Surgeons </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Dr Yvonne Skinner</w:t>
            </w:r>
          </w:p>
        </w:tc>
        <w:tc>
          <w:tcPr>
            <w:tcW w:w="6379" w:type="dxa"/>
            <w:hideMark/>
          </w:tcPr>
          <w:p w:rsidR="006B0558" w:rsidRPr="00B847DF" w:rsidRDefault="006B0558" w:rsidP="00B847DF">
            <w:pPr>
              <w:keepLines/>
              <w:widowControl w:val="0"/>
              <w:spacing w:after="0" w:line="240" w:lineRule="auto"/>
              <w:rPr>
                <w:rFonts w:eastAsia="Times New Roman" w:cs="Arial"/>
                <w:snapToGrid w:val="0"/>
                <w:spacing w:val="-4"/>
                <w:sz w:val="20"/>
                <w:szCs w:val="20"/>
              </w:rPr>
            </w:pPr>
            <w:r w:rsidRPr="00B847DF">
              <w:rPr>
                <w:rFonts w:eastAsia="Times New Roman" w:cs="Arial"/>
                <w:snapToGrid w:val="0"/>
                <w:spacing w:val="-4"/>
                <w:sz w:val="20"/>
                <w:szCs w:val="20"/>
              </w:rPr>
              <w:t xml:space="preserve">Psychiatrist, Royal Australian and New Zealand College of Psychiatrists </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Professor Ian Cameron</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Professor of Rehabilitation Medicine, Australasian Faculty of Rehabilitation Medicine</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Dr Roger Pillemer</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Workers Compensation Commission, Senior Approved Medical Specialist</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Dr Michael Gliksman</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Australian Medical Association</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Dr Neil Berry</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Australasian College of Surgeons</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Mr Kevin Gillingham</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WorkCover WA</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Mr David Caulfield/ Mr Phil Waddas</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WorkCover SA</w:t>
            </w:r>
          </w:p>
        </w:tc>
      </w:tr>
      <w:tr w:rsidR="006B0558" w:rsidRPr="00B847DF" w:rsidTr="00B847DF">
        <w:trPr>
          <w:jc w:val="center"/>
        </w:trPr>
        <w:tc>
          <w:tcPr>
            <w:tcW w:w="3402"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Ms Meg Brighton</w:t>
            </w:r>
          </w:p>
        </w:tc>
        <w:tc>
          <w:tcPr>
            <w:tcW w:w="6379" w:type="dxa"/>
            <w:hideMark/>
          </w:tcPr>
          <w:p w:rsidR="006B0558" w:rsidRPr="00B847DF" w:rsidRDefault="006B0558" w:rsidP="00B847DF">
            <w:pPr>
              <w:keepLines/>
              <w:widowControl w:val="0"/>
              <w:spacing w:after="0" w:line="240" w:lineRule="auto"/>
              <w:rPr>
                <w:rFonts w:eastAsia="Times New Roman" w:cs="Arial"/>
                <w:snapToGrid w:val="0"/>
                <w:sz w:val="20"/>
                <w:szCs w:val="20"/>
              </w:rPr>
            </w:pPr>
            <w:r w:rsidRPr="00B847DF">
              <w:rPr>
                <w:rFonts w:eastAsia="Times New Roman" w:cs="Arial"/>
                <w:snapToGrid w:val="0"/>
                <w:sz w:val="20"/>
                <w:szCs w:val="20"/>
              </w:rPr>
              <w:t>WorkSafe ACT</w:t>
            </w:r>
          </w:p>
        </w:tc>
      </w:tr>
    </w:tbl>
    <w:p w:rsidR="006B0558" w:rsidRDefault="006B0558" w:rsidP="00B847DF">
      <w:pPr>
        <w:pStyle w:val="Heading3"/>
        <w:spacing w:after="80"/>
      </w:pPr>
      <w:r>
        <w:lastRenderedPageBreak/>
        <w:t>Working Groups</w:t>
      </w:r>
    </w:p>
    <w:tbl>
      <w:tblPr>
        <w:tblW w:w="0" w:type="auto"/>
        <w:tblLayout w:type="fixed"/>
        <w:tblLook w:val="04A0" w:firstRow="1" w:lastRow="0" w:firstColumn="1" w:lastColumn="0" w:noHBand="0" w:noVBand="1"/>
      </w:tblPr>
      <w:tblGrid>
        <w:gridCol w:w="3227"/>
        <w:gridCol w:w="34"/>
        <w:gridCol w:w="3084"/>
        <w:gridCol w:w="318"/>
        <w:gridCol w:w="2579"/>
        <w:gridCol w:w="318"/>
      </w:tblGrid>
      <w:tr w:rsidR="006B0558" w:rsidRPr="008F42E9" w:rsidTr="008066EE">
        <w:tc>
          <w:tcPr>
            <w:tcW w:w="3261" w:type="dxa"/>
            <w:gridSpan w:val="2"/>
            <w:tcBorders>
              <w:right w:val="single" w:sz="8" w:space="0" w:color="FFFFFF" w:themeColor="background1"/>
            </w:tcBorders>
            <w:shd w:val="clear" w:color="auto" w:fill="D9D9D9" w:themeFill="background1" w:themeFillShade="D9"/>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
                <w:snapToGrid w:val="0"/>
                <w:sz w:val="20"/>
                <w:szCs w:val="20"/>
              </w:rPr>
              <w:t>Psychiatric and Psychological</w:t>
            </w:r>
          </w:p>
        </w:tc>
        <w:tc>
          <w:tcPr>
            <w:tcW w:w="3401" w:type="dxa"/>
            <w:gridSpan w:val="2"/>
            <w:tcBorders>
              <w:left w:val="single" w:sz="8" w:space="0" w:color="FFFFFF" w:themeColor="background1"/>
              <w:right w:val="single" w:sz="8" w:space="0" w:color="FFFFFF" w:themeColor="background1"/>
            </w:tcBorders>
            <w:shd w:val="clear" w:color="auto" w:fill="D9D9D9" w:themeFill="background1" w:themeFillShade="D9"/>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
                <w:snapToGrid w:val="0"/>
                <w:sz w:val="20"/>
                <w:szCs w:val="20"/>
              </w:rPr>
              <w:t>Spine</w:t>
            </w:r>
          </w:p>
        </w:tc>
        <w:tc>
          <w:tcPr>
            <w:tcW w:w="2897" w:type="dxa"/>
            <w:gridSpan w:val="2"/>
            <w:tcBorders>
              <w:left w:val="single" w:sz="8" w:space="0" w:color="FFFFFF" w:themeColor="background1"/>
            </w:tcBorders>
            <w:shd w:val="clear" w:color="auto" w:fill="D9D9D9" w:themeFill="background1" w:themeFillShade="D9"/>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
                <w:snapToGrid w:val="0"/>
                <w:sz w:val="20"/>
                <w:szCs w:val="20"/>
              </w:rPr>
              <w:t>Upper Limb</w:t>
            </w:r>
          </w:p>
        </w:tc>
      </w:tr>
      <w:tr w:rsidR="006B0558" w:rsidRPr="008F42E9" w:rsidTr="008F42E9">
        <w:trPr>
          <w:trHeight w:val="227"/>
        </w:trPr>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Julian Parmegiani</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 Michael Fearnside</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Dwight Dowda</w:t>
            </w:r>
          </w:p>
        </w:tc>
      </w:tr>
      <w:tr w:rsidR="006B0558" w:rsidRPr="008F42E9" w:rsidTr="008F42E9">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Derek Lovell</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Cummine</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 Prof Ian Cameron</w:t>
            </w:r>
          </w:p>
        </w:tc>
      </w:tr>
      <w:tr w:rsidR="006B0558" w:rsidRPr="008F42E9" w:rsidTr="008F42E9">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Rod Milton</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 Michael Ryan</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 Bill Marsden</w:t>
            </w:r>
          </w:p>
        </w:tc>
      </w:tr>
      <w:tr w:rsidR="006B0558" w:rsidRPr="008F42E9" w:rsidTr="008F42E9">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Yvonne Skinner</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Dwight Dowda</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 Prof Bruce Connelly</w:t>
            </w:r>
          </w:p>
        </w:tc>
      </w:tr>
      <w:tr w:rsidR="006B0558" w:rsidRPr="008F42E9" w:rsidTr="008066EE">
        <w:trPr>
          <w:trHeight w:val="227"/>
        </w:trPr>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Jonathan Phillips</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 Prof Ian Cameron</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David Crocker</w:t>
            </w:r>
          </w:p>
        </w:tc>
      </w:tr>
      <w:tr w:rsidR="006B0558" w:rsidRPr="008F42E9" w:rsidTr="008F42E9">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Chris Blackwell</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Hugh Dickson</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Richard Honner</w:t>
            </w:r>
          </w:p>
        </w:tc>
      </w:tr>
      <w:tr w:rsidR="006B0558" w:rsidRPr="008F42E9" w:rsidTr="008F42E9">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Bruce Westmore</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Conrad Winer</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Jim Ellis</w:t>
            </w:r>
          </w:p>
        </w:tc>
      </w:tr>
      <w:tr w:rsidR="006B0558" w:rsidRPr="008F42E9" w:rsidTr="008F42E9">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Susan Ballinger</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Mario Benanzio</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Conrad Winer</w:t>
            </w:r>
          </w:p>
        </w:tc>
      </w:tr>
      <w:tr w:rsidR="006B0558" w:rsidRPr="008F42E9" w:rsidTr="008F42E9">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Ms Lyn Shumack</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Jim Ellis</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David Duckworth</w:t>
            </w:r>
          </w:p>
        </w:tc>
      </w:tr>
      <w:tr w:rsidR="006B0558" w:rsidRPr="008F42E9" w:rsidTr="008066EE">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Jack White</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Jim Bodel</w:t>
            </w:r>
          </w:p>
        </w:tc>
        <w:tc>
          <w:tcPr>
            <w:tcW w:w="2897" w:type="dxa"/>
            <w:gridSpan w:val="2"/>
            <w:shd w:val="clear" w:color="auto" w:fill="D9D9D9" w:themeFill="background1" w:themeFillShade="D9"/>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
                <w:snapToGrid w:val="0"/>
                <w:sz w:val="20"/>
                <w:szCs w:val="20"/>
              </w:rPr>
              <w:t>2005 Revisions</w:t>
            </w:r>
          </w:p>
        </w:tc>
      </w:tr>
      <w:tr w:rsidR="006B0558" w:rsidRPr="008F42E9" w:rsidTr="008F42E9">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Ms Sandra Dunn</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William Wolfenden</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Roger Pillemer</w:t>
            </w:r>
          </w:p>
        </w:tc>
      </w:tr>
      <w:tr w:rsidR="006B0558" w:rsidRPr="008F42E9" w:rsidTr="008F42E9">
        <w:tc>
          <w:tcPr>
            <w:tcW w:w="326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Tim Hannon</w:t>
            </w: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Kevin BleaseL</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Graham Mcdougall</w:t>
            </w: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Harrison</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Brian Noll</w:t>
            </w:r>
          </w:p>
        </w:tc>
      </w:tr>
      <w:tr w:rsidR="006B0558" w:rsidRPr="008F42E9" w:rsidTr="008066EE">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 Sydney Nade</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Bruce Connelly</w:t>
            </w:r>
          </w:p>
        </w:tc>
      </w:tr>
      <w:tr w:rsidR="006B0558" w:rsidRPr="008F42E9" w:rsidTr="008066EE">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tcBorders>
              <w:right w:val="single" w:sz="12" w:space="0" w:color="FFFFFF" w:themeColor="background1"/>
            </w:tcBorders>
            <w:shd w:val="clear" w:color="auto" w:fill="D9D9D9" w:themeFill="background1" w:themeFillShade="D9"/>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
                <w:snapToGrid w:val="0"/>
                <w:sz w:val="20"/>
                <w:szCs w:val="20"/>
              </w:rPr>
              <w:t>2005 Revisions</w:t>
            </w:r>
          </w:p>
        </w:tc>
        <w:tc>
          <w:tcPr>
            <w:tcW w:w="2897" w:type="dxa"/>
            <w:gridSpan w:val="2"/>
            <w:tcBorders>
              <w:left w:val="single" w:sz="12" w:space="0" w:color="FFFFFF" w:themeColor="background1"/>
            </w:tcBorders>
            <w:shd w:val="clear" w:color="auto" w:fill="D9D9D9" w:themeFill="background1" w:themeFillShade="D9"/>
            <w:hideMark/>
          </w:tcPr>
          <w:p w:rsidR="006B0558" w:rsidRPr="008F42E9" w:rsidRDefault="006B0558" w:rsidP="008F42E9">
            <w:pPr>
              <w:keepLines/>
              <w:widowControl w:val="0"/>
              <w:suppressAutoHyphens/>
              <w:spacing w:after="0" w:line="240" w:lineRule="auto"/>
              <w:rPr>
                <w:rFonts w:eastAsia="Times New Roman" w:cs="Arial"/>
                <w:b/>
                <w:bCs/>
                <w:snapToGrid w:val="0"/>
                <w:sz w:val="20"/>
                <w:szCs w:val="20"/>
              </w:rPr>
            </w:pPr>
            <w:r w:rsidRPr="008F42E9">
              <w:rPr>
                <w:rFonts w:eastAsia="Times New Roman" w:cs="Arial"/>
                <w:b/>
                <w:bCs/>
                <w:snapToGrid w:val="0"/>
                <w:sz w:val="20"/>
                <w:szCs w:val="20"/>
              </w:rPr>
              <w:t>2012 Revisions</w:t>
            </w: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Roger Pillemer</w:t>
            </w:r>
          </w:p>
        </w:tc>
        <w:tc>
          <w:tcPr>
            <w:tcW w:w="2897" w:type="dxa"/>
            <w:gridSpan w:val="2"/>
            <w:hideMark/>
          </w:tcPr>
          <w:p w:rsidR="006B0558" w:rsidRPr="008F42E9" w:rsidRDefault="006B0558" w:rsidP="008F42E9">
            <w:pPr>
              <w:keepLines/>
              <w:widowControl w:val="0"/>
              <w:tabs>
                <w:tab w:val="left" w:pos="720"/>
              </w:tabs>
              <w:suppressAutoHyphens/>
              <w:spacing w:after="0" w:line="240" w:lineRule="auto"/>
              <w:rPr>
                <w:rFonts w:eastAsia="Times New Roman" w:cs="Arial"/>
                <w:b/>
                <w:bCs/>
                <w:snapToGrid w:val="0"/>
                <w:sz w:val="20"/>
                <w:szCs w:val="20"/>
              </w:rPr>
            </w:pPr>
            <w:r w:rsidRPr="008F42E9">
              <w:rPr>
                <w:rFonts w:eastAsia="Times New Roman" w:cs="Arial"/>
                <w:bCs/>
                <w:snapToGrid w:val="0"/>
                <w:sz w:val="20"/>
                <w:szCs w:val="20"/>
              </w:rPr>
              <w:t>Dr Roger Pillemer</w:t>
            </w:r>
          </w:p>
        </w:tc>
      </w:tr>
      <w:tr w:rsidR="006B0558" w:rsidRPr="008F42E9" w:rsidTr="008066EE">
        <w:trPr>
          <w:trHeight w:val="193"/>
        </w:trPr>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shd w:val="clear" w:color="auto" w:fill="D9D9D9" w:themeFill="background1" w:themeFillShade="D9"/>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
                <w:snapToGrid w:val="0"/>
                <w:sz w:val="20"/>
                <w:szCs w:val="20"/>
              </w:rPr>
              <w:t>2008 Revisions</w:t>
            </w:r>
          </w:p>
        </w:tc>
        <w:tc>
          <w:tcPr>
            <w:tcW w:w="2897" w:type="dxa"/>
            <w:gridSpan w:val="2"/>
            <w:vMerge w:val="restart"/>
            <w:hideMark/>
          </w:tcPr>
          <w:p w:rsidR="006B0558" w:rsidRPr="008F42E9" w:rsidRDefault="006B0558" w:rsidP="008F42E9">
            <w:pPr>
              <w:keepLines/>
              <w:widowControl w:val="0"/>
              <w:suppressAutoHyphens/>
              <w:spacing w:after="0" w:line="240" w:lineRule="auto"/>
              <w:rPr>
                <w:rFonts w:eastAsia="Times New Roman" w:cs="Arial"/>
                <w:snapToGrid w:val="0"/>
                <w:sz w:val="20"/>
                <w:szCs w:val="20"/>
              </w:rPr>
            </w:pPr>
            <w:r w:rsidRPr="008F42E9">
              <w:rPr>
                <w:rFonts w:eastAsia="Times New Roman" w:cs="Arial"/>
                <w:snapToGrid w:val="0"/>
                <w:sz w:val="20"/>
                <w:szCs w:val="20"/>
              </w:rPr>
              <w:t>Dr John Harrison</w:t>
            </w:r>
          </w:p>
          <w:p w:rsidR="006B0558" w:rsidRPr="008F42E9" w:rsidRDefault="006B0558" w:rsidP="008F42E9">
            <w:pPr>
              <w:keepLines/>
              <w:widowControl w:val="0"/>
              <w:suppressAutoHyphens/>
              <w:spacing w:after="0" w:line="240" w:lineRule="auto"/>
              <w:rPr>
                <w:rFonts w:eastAsia="Times New Roman" w:cs="Arial"/>
                <w:snapToGrid w:val="0"/>
                <w:sz w:val="20"/>
                <w:szCs w:val="20"/>
              </w:rPr>
            </w:pPr>
            <w:r w:rsidRPr="008F42E9">
              <w:rPr>
                <w:rFonts w:eastAsia="Times New Roman" w:cs="Arial"/>
                <w:bCs/>
                <w:snapToGrid w:val="0"/>
                <w:sz w:val="20"/>
                <w:szCs w:val="20"/>
              </w:rPr>
              <w:t>Dr Brian Noll</w:t>
            </w:r>
          </w:p>
          <w:p w:rsidR="006B0558" w:rsidRPr="008F42E9" w:rsidRDefault="006B0558" w:rsidP="008F42E9">
            <w:pPr>
              <w:keepLines/>
              <w:widowControl w:val="0"/>
              <w:suppressAutoHyphens/>
              <w:spacing w:after="0" w:line="240" w:lineRule="auto"/>
              <w:rPr>
                <w:rFonts w:eastAsia="Times New Roman" w:cs="Arial"/>
                <w:snapToGrid w:val="0"/>
                <w:sz w:val="20"/>
                <w:szCs w:val="20"/>
              </w:rPr>
            </w:pPr>
            <w:r w:rsidRPr="008F42E9">
              <w:rPr>
                <w:rFonts w:eastAsia="Times New Roman" w:cs="Arial"/>
                <w:snapToGrid w:val="0"/>
                <w:sz w:val="20"/>
                <w:szCs w:val="20"/>
              </w:rPr>
              <w:t>Dr James Bodel</w:t>
            </w:r>
          </w:p>
          <w:p w:rsidR="006B0558" w:rsidRPr="008F42E9" w:rsidRDefault="006B0558" w:rsidP="008F42E9">
            <w:pPr>
              <w:keepLines/>
              <w:widowControl w:val="0"/>
              <w:suppressAutoHyphens/>
              <w:spacing w:after="0" w:line="240" w:lineRule="auto"/>
              <w:rPr>
                <w:rFonts w:eastAsia="Times New Roman" w:cs="Arial"/>
                <w:snapToGrid w:val="0"/>
                <w:sz w:val="20"/>
                <w:szCs w:val="20"/>
              </w:rPr>
            </w:pPr>
            <w:r w:rsidRPr="008F42E9">
              <w:rPr>
                <w:rFonts w:eastAsia="Times New Roman" w:cs="Arial"/>
                <w:snapToGrid w:val="0"/>
                <w:sz w:val="20"/>
                <w:szCs w:val="20"/>
              </w:rPr>
              <w:t>Dr John Cross</w:t>
            </w:r>
          </w:p>
          <w:p w:rsidR="006B0558" w:rsidRPr="008F42E9" w:rsidRDefault="006B0558" w:rsidP="008F42E9">
            <w:pPr>
              <w:keepLines/>
              <w:widowControl w:val="0"/>
              <w:suppressAutoHyphens/>
              <w:spacing w:after="0" w:line="240" w:lineRule="auto"/>
              <w:rPr>
                <w:rFonts w:eastAsia="Times New Roman" w:cs="Arial"/>
                <w:snapToGrid w:val="0"/>
                <w:sz w:val="20"/>
                <w:szCs w:val="20"/>
              </w:rPr>
            </w:pPr>
            <w:r w:rsidRPr="008F42E9">
              <w:rPr>
                <w:rFonts w:eastAsia="Times New Roman" w:cs="Arial"/>
                <w:snapToGrid w:val="0"/>
                <w:sz w:val="20"/>
                <w:szCs w:val="20"/>
              </w:rPr>
              <w:t>Dr Mark Burns</w:t>
            </w:r>
          </w:p>
          <w:p w:rsidR="006B0558" w:rsidRPr="008F42E9" w:rsidRDefault="006B0558" w:rsidP="008F42E9">
            <w:pPr>
              <w:keepLines/>
              <w:widowControl w:val="0"/>
              <w:suppressAutoHyphens/>
              <w:spacing w:after="0" w:line="240" w:lineRule="auto"/>
              <w:rPr>
                <w:rFonts w:eastAsia="Times New Roman" w:cs="Arial"/>
                <w:snapToGrid w:val="0"/>
                <w:sz w:val="20"/>
                <w:szCs w:val="20"/>
              </w:rPr>
            </w:pPr>
            <w:r w:rsidRPr="008F42E9">
              <w:rPr>
                <w:rFonts w:eastAsia="Times New Roman" w:cs="Arial"/>
                <w:snapToGrid w:val="0"/>
                <w:sz w:val="20"/>
                <w:szCs w:val="20"/>
              </w:rPr>
              <w:t>Dr Michael Gliksman</w:t>
            </w:r>
          </w:p>
          <w:p w:rsidR="006B0558" w:rsidRPr="008F42E9" w:rsidRDefault="006B0558" w:rsidP="008F42E9">
            <w:pPr>
              <w:keepLines/>
              <w:widowControl w:val="0"/>
              <w:suppressAutoHyphens/>
              <w:spacing w:after="0" w:line="240" w:lineRule="auto"/>
              <w:rPr>
                <w:rFonts w:eastAsia="Times New Roman" w:cs="Arial"/>
                <w:snapToGrid w:val="0"/>
                <w:sz w:val="20"/>
                <w:szCs w:val="20"/>
              </w:rPr>
            </w:pPr>
            <w:r w:rsidRPr="008F42E9">
              <w:rPr>
                <w:rFonts w:eastAsia="Times New Roman" w:cs="Arial"/>
                <w:snapToGrid w:val="0"/>
                <w:sz w:val="20"/>
                <w:szCs w:val="20"/>
              </w:rPr>
              <w:t>Dr Robert Breit</w:t>
            </w:r>
          </w:p>
          <w:p w:rsidR="006B0558" w:rsidRPr="008F42E9" w:rsidRDefault="006B0558" w:rsidP="008F42E9">
            <w:pPr>
              <w:keepLines/>
              <w:widowControl w:val="0"/>
              <w:suppressAutoHyphens/>
              <w:spacing w:after="0" w:line="240" w:lineRule="auto"/>
              <w:rPr>
                <w:rFonts w:eastAsia="Times New Roman" w:cs="Arial"/>
                <w:snapToGrid w:val="0"/>
                <w:sz w:val="20"/>
                <w:szCs w:val="20"/>
              </w:rPr>
            </w:pPr>
            <w:r w:rsidRPr="008F42E9">
              <w:rPr>
                <w:rFonts w:eastAsia="Times New Roman" w:cs="Arial"/>
                <w:snapToGrid w:val="0"/>
                <w:sz w:val="20"/>
                <w:szCs w:val="20"/>
              </w:rPr>
              <w:t>Prof Ian Cameron</w:t>
            </w: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 xml:space="preserve">Dr Phillipa Harvey-Sutton </w:t>
            </w:r>
          </w:p>
        </w:tc>
        <w:tc>
          <w:tcPr>
            <w:tcW w:w="2897" w:type="dxa"/>
            <w:gridSpan w:val="2"/>
            <w:vMerge/>
            <w:vAlign w:val="center"/>
            <w:hideMark/>
          </w:tcPr>
          <w:p w:rsidR="006B0558" w:rsidRPr="008F42E9" w:rsidRDefault="006B0558" w:rsidP="008F42E9">
            <w:pPr>
              <w:spacing w:after="0" w:line="240" w:lineRule="auto"/>
              <w:rPr>
                <w:rFonts w:eastAsia="Times New Roman" w:cs="Arial"/>
                <w:snapToGrid w:val="0"/>
                <w:sz w:val="20"/>
                <w:szCs w:val="20"/>
              </w:rPr>
            </w:pP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Cassock Prof Michael Fearnside</w:t>
            </w:r>
          </w:p>
        </w:tc>
        <w:tc>
          <w:tcPr>
            <w:tcW w:w="2897" w:type="dxa"/>
            <w:gridSpan w:val="2"/>
            <w:vMerge/>
            <w:vAlign w:val="center"/>
            <w:hideMark/>
          </w:tcPr>
          <w:p w:rsidR="006B0558" w:rsidRPr="008F42E9" w:rsidRDefault="006B0558" w:rsidP="008F42E9">
            <w:pPr>
              <w:spacing w:after="0" w:line="240" w:lineRule="auto"/>
              <w:rPr>
                <w:rFonts w:eastAsia="Times New Roman" w:cs="Arial"/>
                <w:snapToGrid w:val="0"/>
                <w:sz w:val="20"/>
                <w:szCs w:val="20"/>
              </w:rPr>
            </w:pP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Dr Jim Bodel</w:t>
            </w:r>
          </w:p>
        </w:tc>
        <w:tc>
          <w:tcPr>
            <w:tcW w:w="2897" w:type="dxa"/>
            <w:gridSpan w:val="2"/>
            <w:vMerge/>
            <w:vAlign w:val="center"/>
            <w:hideMark/>
          </w:tcPr>
          <w:p w:rsidR="006B0558" w:rsidRPr="008F42E9" w:rsidRDefault="006B0558" w:rsidP="008F42E9">
            <w:pPr>
              <w:spacing w:after="0" w:line="240" w:lineRule="auto"/>
              <w:rPr>
                <w:rFonts w:eastAsia="Times New Roman" w:cs="Arial"/>
                <w:snapToGrid w:val="0"/>
                <w:sz w:val="20"/>
                <w:szCs w:val="20"/>
              </w:rPr>
            </w:pP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Assoc Prof Michael Ryan</w:t>
            </w:r>
          </w:p>
        </w:tc>
        <w:tc>
          <w:tcPr>
            <w:tcW w:w="2897" w:type="dxa"/>
            <w:gridSpan w:val="2"/>
            <w:vMerge/>
            <w:vAlign w:val="center"/>
            <w:hideMark/>
          </w:tcPr>
          <w:p w:rsidR="006B0558" w:rsidRPr="008F42E9" w:rsidRDefault="006B0558" w:rsidP="008F42E9">
            <w:pPr>
              <w:spacing w:after="0" w:line="240" w:lineRule="auto"/>
              <w:rPr>
                <w:rFonts w:eastAsia="Times New Roman" w:cs="Arial"/>
                <w:snapToGrid w:val="0"/>
                <w:sz w:val="20"/>
                <w:szCs w:val="20"/>
              </w:rPr>
            </w:pP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Dr Roger Pillemer</w:t>
            </w:r>
          </w:p>
        </w:tc>
        <w:tc>
          <w:tcPr>
            <w:tcW w:w="2897" w:type="dxa"/>
            <w:gridSpan w:val="2"/>
            <w:vMerge/>
            <w:vAlign w:val="center"/>
            <w:hideMark/>
          </w:tcPr>
          <w:p w:rsidR="006B0558" w:rsidRPr="008F42E9" w:rsidRDefault="006B0558" w:rsidP="008F42E9">
            <w:pPr>
              <w:spacing w:after="0" w:line="240" w:lineRule="auto"/>
              <w:rPr>
                <w:rFonts w:eastAsia="Times New Roman" w:cs="Arial"/>
                <w:snapToGrid w:val="0"/>
                <w:sz w:val="20"/>
                <w:szCs w:val="20"/>
              </w:rPr>
            </w:pP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Prof Ian Cameron</w:t>
            </w:r>
          </w:p>
        </w:tc>
        <w:tc>
          <w:tcPr>
            <w:tcW w:w="2897" w:type="dxa"/>
            <w:gridSpan w:val="2"/>
            <w:vMerge/>
            <w:vAlign w:val="center"/>
            <w:hideMark/>
          </w:tcPr>
          <w:p w:rsidR="006B0558" w:rsidRPr="008F42E9" w:rsidRDefault="006B0558" w:rsidP="008F42E9">
            <w:pPr>
              <w:spacing w:after="0" w:line="240" w:lineRule="auto"/>
              <w:rPr>
                <w:rFonts w:eastAsia="Times New Roman" w:cs="Arial"/>
                <w:snapToGrid w:val="0"/>
                <w:sz w:val="20"/>
                <w:szCs w:val="20"/>
              </w:rPr>
            </w:pPr>
          </w:p>
        </w:tc>
      </w:tr>
      <w:tr w:rsidR="006B0558" w:rsidRPr="008F42E9" w:rsidTr="008066EE">
        <w:trPr>
          <w:trHeight w:val="80"/>
        </w:trPr>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shd w:val="clear" w:color="auto" w:fill="D9D9D9" w:themeFill="background1" w:themeFillShade="D9"/>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
                <w:bCs/>
                <w:snapToGrid w:val="0"/>
                <w:sz w:val="20"/>
                <w:szCs w:val="20"/>
              </w:rPr>
              <w:t>2012 Revisions</w:t>
            </w:r>
          </w:p>
        </w:tc>
        <w:tc>
          <w:tcPr>
            <w:tcW w:w="2897" w:type="dxa"/>
            <w:gridSpan w:val="2"/>
            <w:vMerge/>
            <w:vAlign w:val="center"/>
            <w:hideMark/>
          </w:tcPr>
          <w:p w:rsidR="006B0558" w:rsidRPr="008F42E9" w:rsidRDefault="006B0558" w:rsidP="008F42E9">
            <w:pPr>
              <w:spacing w:after="0" w:line="240" w:lineRule="auto"/>
              <w:rPr>
                <w:rFonts w:eastAsia="Times New Roman" w:cs="Arial"/>
                <w:snapToGrid w:val="0"/>
                <w:sz w:val="20"/>
                <w:szCs w:val="20"/>
              </w:rPr>
            </w:pP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Assoc Prof Michael Fearnside</w:t>
            </w:r>
          </w:p>
        </w:tc>
        <w:tc>
          <w:tcPr>
            <w:tcW w:w="2897" w:type="dxa"/>
            <w:gridSpan w:val="2"/>
          </w:tcPr>
          <w:p w:rsidR="006B0558" w:rsidRPr="008F42E9" w:rsidRDefault="006B0558" w:rsidP="008F42E9">
            <w:pPr>
              <w:keepLines/>
              <w:widowControl w:val="0"/>
              <w:suppressAutoHyphens/>
              <w:spacing w:after="0" w:line="240" w:lineRule="auto"/>
              <w:rPr>
                <w:rFonts w:eastAsia="Times New Roman" w:cs="Arial"/>
                <w:snapToGrid w:val="0"/>
                <w:sz w:val="20"/>
                <w:szCs w:val="20"/>
              </w:rPr>
            </w:pP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 xml:space="preserve">Dr Phillipa Harvey-Sutton </w:t>
            </w:r>
          </w:p>
        </w:tc>
        <w:tc>
          <w:tcPr>
            <w:tcW w:w="2897" w:type="dxa"/>
            <w:gridSpan w:val="2"/>
          </w:tcPr>
          <w:p w:rsidR="006B0558" w:rsidRPr="008F42E9" w:rsidRDefault="006B0558" w:rsidP="008F42E9">
            <w:pPr>
              <w:keepLines/>
              <w:widowControl w:val="0"/>
              <w:suppressAutoHyphens/>
              <w:spacing w:after="0" w:line="240" w:lineRule="auto"/>
              <w:rPr>
                <w:rFonts w:eastAsia="Times New Roman" w:cs="Arial"/>
                <w:snapToGrid w:val="0"/>
                <w:sz w:val="20"/>
                <w:szCs w:val="20"/>
              </w:rPr>
            </w:pP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Dr Jim Bodel</w:t>
            </w:r>
          </w:p>
        </w:tc>
        <w:tc>
          <w:tcPr>
            <w:tcW w:w="2897" w:type="dxa"/>
            <w:gridSpan w:val="2"/>
          </w:tcPr>
          <w:p w:rsidR="006B0558" w:rsidRPr="008F42E9" w:rsidRDefault="006B0558" w:rsidP="008F42E9">
            <w:pPr>
              <w:keepLines/>
              <w:widowControl w:val="0"/>
              <w:suppressAutoHyphens/>
              <w:spacing w:after="0" w:line="240" w:lineRule="auto"/>
              <w:rPr>
                <w:rFonts w:eastAsia="Times New Roman" w:cs="Arial"/>
                <w:snapToGrid w:val="0"/>
                <w:sz w:val="20"/>
                <w:szCs w:val="20"/>
              </w:rPr>
            </w:pP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Associate Professor Michael Ryan</w:t>
            </w:r>
          </w:p>
        </w:tc>
        <w:tc>
          <w:tcPr>
            <w:tcW w:w="2897" w:type="dxa"/>
            <w:gridSpan w:val="2"/>
          </w:tcPr>
          <w:p w:rsidR="006B0558" w:rsidRPr="008F42E9" w:rsidRDefault="006B0558" w:rsidP="008F42E9">
            <w:pPr>
              <w:keepLines/>
              <w:widowControl w:val="0"/>
              <w:suppressAutoHyphens/>
              <w:spacing w:after="0" w:line="240" w:lineRule="auto"/>
              <w:rPr>
                <w:rFonts w:eastAsia="Times New Roman" w:cs="Arial"/>
                <w:snapToGrid w:val="0"/>
                <w:sz w:val="20"/>
                <w:szCs w:val="20"/>
              </w:rPr>
            </w:pP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Dr Roger pillemer</w:t>
            </w:r>
          </w:p>
        </w:tc>
        <w:tc>
          <w:tcPr>
            <w:tcW w:w="2897" w:type="dxa"/>
            <w:gridSpan w:val="2"/>
          </w:tcPr>
          <w:p w:rsidR="006B0558" w:rsidRPr="008F42E9" w:rsidRDefault="006B0558" w:rsidP="008F42E9">
            <w:pPr>
              <w:keepLines/>
              <w:widowControl w:val="0"/>
              <w:suppressAutoHyphens/>
              <w:spacing w:after="0" w:line="240" w:lineRule="auto"/>
              <w:rPr>
                <w:rFonts w:eastAsia="Times New Roman" w:cs="Arial"/>
                <w:snapToGrid w:val="0"/>
                <w:sz w:val="20"/>
                <w:szCs w:val="20"/>
              </w:rPr>
            </w:pPr>
          </w:p>
        </w:tc>
      </w:tr>
      <w:tr w:rsidR="006B0558" w:rsidRPr="008F42E9" w:rsidTr="008066EE">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Cs/>
                <w:snapToGrid w:val="0"/>
                <w:sz w:val="20"/>
                <w:szCs w:val="20"/>
              </w:rPr>
              <w:t>Professor Ian Cameron</w:t>
            </w:r>
          </w:p>
        </w:tc>
        <w:tc>
          <w:tcPr>
            <w:tcW w:w="2897" w:type="dxa"/>
            <w:gridSpan w:val="2"/>
          </w:tcPr>
          <w:p w:rsidR="006B0558" w:rsidRPr="008F42E9" w:rsidRDefault="006B0558" w:rsidP="008F42E9">
            <w:pPr>
              <w:keepLines/>
              <w:widowControl w:val="0"/>
              <w:suppressAutoHyphens/>
              <w:spacing w:after="0" w:line="240" w:lineRule="auto"/>
              <w:rPr>
                <w:rFonts w:eastAsia="Times New Roman" w:cs="Arial"/>
                <w:snapToGrid w:val="0"/>
                <w:sz w:val="20"/>
                <w:szCs w:val="20"/>
              </w:rPr>
            </w:pPr>
          </w:p>
        </w:tc>
      </w:tr>
      <w:tr w:rsidR="006B0558" w:rsidRPr="008F42E9" w:rsidTr="008066EE">
        <w:tc>
          <w:tcPr>
            <w:tcW w:w="3261" w:type="dxa"/>
            <w:gridSpan w:val="2"/>
            <w:tcBorders>
              <w:right w:val="single" w:sz="12" w:space="0" w:color="FFFFFF" w:themeColor="background1"/>
            </w:tcBorders>
            <w:shd w:val="clear" w:color="auto" w:fill="D9D9D9" w:themeFill="background1" w:themeFillShade="D9"/>
            <w:hideMark/>
          </w:tcPr>
          <w:p w:rsidR="006B0558" w:rsidRPr="008F42E9" w:rsidRDefault="006B0558" w:rsidP="008066EE">
            <w:pPr>
              <w:keepLines/>
              <w:widowControl w:val="0"/>
              <w:suppressAutoHyphens/>
              <w:spacing w:before="120" w:after="0" w:line="240" w:lineRule="auto"/>
              <w:rPr>
                <w:rFonts w:eastAsia="Times New Roman" w:cs="Arial"/>
                <w:b/>
                <w:snapToGrid w:val="0"/>
                <w:sz w:val="20"/>
                <w:szCs w:val="20"/>
              </w:rPr>
            </w:pPr>
            <w:r w:rsidRPr="008F42E9">
              <w:rPr>
                <w:rFonts w:eastAsia="Times New Roman" w:cs="Arial"/>
                <w:b/>
                <w:snapToGrid w:val="0"/>
                <w:sz w:val="20"/>
                <w:szCs w:val="20"/>
              </w:rPr>
              <w:t>Hearing</w:t>
            </w:r>
          </w:p>
        </w:tc>
        <w:tc>
          <w:tcPr>
            <w:tcW w:w="3401" w:type="dxa"/>
            <w:gridSpan w:val="2"/>
            <w:tcBorders>
              <w:left w:val="single" w:sz="12" w:space="0" w:color="FFFFFF" w:themeColor="background1"/>
              <w:right w:val="single" w:sz="12" w:space="0" w:color="FFFFFF" w:themeColor="background1"/>
            </w:tcBorders>
            <w:shd w:val="clear" w:color="auto" w:fill="D9D9D9" w:themeFill="background1" w:themeFillShade="D9"/>
            <w:hideMark/>
          </w:tcPr>
          <w:p w:rsidR="006B0558" w:rsidRPr="008F42E9" w:rsidRDefault="006B0558" w:rsidP="008066EE">
            <w:pPr>
              <w:keepLines/>
              <w:widowControl w:val="0"/>
              <w:suppressAutoHyphens/>
              <w:spacing w:before="120" w:after="0" w:line="240" w:lineRule="auto"/>
              <w:rPr>
                <w:rFonts w:eastAsia="Times New Roman" w:cs="Arial"/>
                <w:b/>
                <w:snapToGrid w:val="0"/>
                <w:sz w:val="20"/>
                <w:szCs w:val="20"/>
              </w:rPr>
            </w:pPr>
            <w:r w:rsidRPr="008F42E9">
              <w:rPr>
                <w:rFonts w:eastAsia="Times New Roman" w:cs="Arial"/>
                <w:b/>
                <w:snapToGrid w:val="0"/>
                <w:sz w:val="20"/>
                <w:szCs w:val="20"/>
              </w:rPr>
              <w:t>Urinary and Reproductive</w:t>
            </w:r>
          </w:p>
        </w:tc>
        <w:tc>
          <w:tcPr>
            <w:tcW w:w="2897" w:type="dxa"/>
            <w:gridSpan w:val="2"/>
            <w:tcBorders>
              <w:left w:val="single" w:sz="12" w:space="0" w:color="FFFFFF" w:themeColor="background1"/>
            </w:tcBorders>
            <w:shd w:val="clear" w:color="auto" w:fill="D9D9D9" w:themeFill="background1" w:themeFillShade="D9"/>
            <w:hideMark/>
          </w:tcPr>
          <w:p w:rsidR="006B0558" w:rsidRPr="008F42E9" w:rsidRDefault="006B0558" w:rsidP="008066EE">
            <w:pPr>
              <w:keepLines/>
              <w:widowControl w:val="0"/>
              <w:suppressAutoHyphens/>
              <w:spacing w:before="120" w:after="0" w:line="240" w:lineRule="auto"/>
              <w:rPr>
                <w:rFonts w:eastAsia="Times New Roman" w:cs="Arial"/>
                <w:b/>
                <w:snapToGrid w:val="0"/>
                <w:sz w:val="20"/>
                <w:szCs w:val="20"/>
              </w:rPr>
            </w:pPr>
            <w:r w:rsidRPr="008F42E9">
              <w:rPr>
                <w:rFonts w:eastAsia="Times New Roman" w:cs="Arial"/>
                <w:b/>
                <w:snapToGrid w:val="0"/>
                <w:sz w:val="20"/>
                <w:szCs w:val="20"/>
              </w:rPr>
              <w:t>Respiratory, Ear, Nose and Throat</w:t>
            </w:r>
          </w:p>
        </w:tc>
      </w:tr>
      <w:tr w:rsidR="006B0558" w:rsidRPr="008F42E9" w:rsidTr="008F42E9">
        <w:tc>
          <w:tcPr>
            <w:tcW w:w="3261"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Brian Williams</w:t>
            </w:r>
          </w:p>
        </w:tc>
        <w:tc>
          <w:tcPr>
            <w:tcW w:w="3401"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 Richard Millard</w:t>
            </w:r>
          </w:p>
        </w:tc>
        <w:tc>
          <w:tcPr>
            <w:tcW w:w="2897"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Julian Lee</w:t>
            </w:r>
          </w:p>
        </w:tc>
      </w:tr>
      <w:tr w:rsidR="006B0558" w:rsidRPr="008F42E9" w:rsidTr="008F42E9">
        <w:tc>
          <w:tcPr>
            <w:tcW w:w="3261"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Joseph Scoppa</w:t>
            </w:r>
          </w:p>
        </w:tc>
        <w:tc>
          <w:tcPr>
            <w:tcW w:w="3401"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Kim Boo Kuah</w:t>
            </w:r>
          </w:p>
        </w:tc>
        <w:tc>
          <w:tcPr>
            <w:tcW w:w="2897"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 David Bryant</w:t>
            </w:r>
          </w:p>
        </w:tc>
      </w:tr>
      <w:tr w:rsidR="006B0558" w:rsidRPr="008F42E9" w:rsidTr="008F42E9">
        <w:tc>
          <w:tcPr>
            <w:tcW w:w="3261"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Stanley Stylis</w:t>
            </w:r>
          </w:p>
        </w:tc>
        <w:tc>
          <w:tcPr>
            <w:tcW w:w="3401"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Associate Professor Ian Cameron</w:t>
            </w:r>
          </w:p>
        </w:tc>
        <w:tc>
          <w:tcPr>
            <w:tcW w:w="2897"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Joseph Scoppa</w:t>
            </w:r>
          </w:p>
        </w:tc>
      </w:tr>
      <w:tr w:rsidR="006B0558" w:rsidRPr="008F42E9" w:rsidTr="008F42E9">
        <w:tc>
          <w:tcPr>
            <w:tcW w:w="3261"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Paul Niall</w:t>
            </w:r>
          </w:p>
        </w:tc>
        <w:tc>
          <w:tcPr>
            <w:tcW w:w="3401" w:type="dxa"/>
            <w:gridSpan w:val="2"/>
          </w:tcPr>
          <w:p w:rsidR="006B0558" w:rsidRPr="008F42E9" w:rsidRDefault="006B0558" w:rsidP="008F42E9">
            <w:pPr>
              <w:keepNext/>
              <w:keepLines/>
              <w:widowControl w:val="0"/>
              <w:suppressAutoHyphens/>
              <w:spacing w:after="0" w:line="240" w:lineRule="auto"/>
              <w:rPr>
                <w:rFonts w:eastAsia="Times New Roman" w:cs="Arial"/>
                <w:b/>
                <w:snapToGrid w:val="0"/>
                <w:sz w:val="20"/>
                <w:szCs w:val="20"/>
              </w:rPr>
            </w:pPr>
          </w:p>
        </w:tc>
        <w:tc>
          <w:tcPr>
            <w:tcW w:w="2897"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Michael Burns</w:t>
            </w:r>
          </w:p>
        </w:tc>
      </w:tr>
      <w:tr w:rsidR="006B0558" w:rsidRPr="008F42E9" w:rsidTr="008F42E9">
        <w:tc>
          <w:tcPr>
            <w:tcW w:w="3261"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Associate Professor Ian Cameron</w:t>
            </w:r>
          </w:p>
        </w:tc>
        <w:tc>
          <w:tcPr>
            <w:tcW w:w="3401" w:type="dxa"/>
            <w:gridSpan w:val="2"/>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p>
        </w:tc>
        <w:tc>
          <w:tcPr>
            <w:tcW w:w="2897" w:type="dxa"/>
            <w:gridSpan w:val="2"/>
            <w:hideMark/>
          </w:tcPr>
          <w:p w:rsidR="006B0558" w:rsidRPr="008F42E9" w:rsidRDefault="006B0558" w:rsidP="008F42E9">
            <w:pPr>
              <w:keepNext/>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Frank Maccioni</w:t>
            </w: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Peter Corte</w:t>
            </w:r>
          </w:p>
        </w:tc>
      </w:tr>
      <w:tr w:rsidR="006B0558" w:rsidRPr="008F42E9" w:rsidTr="008F42E9">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Brian Williams</w:t>
            </w:r>
          </w:p>
        </w:tc>
      </w:tr>
      <w:tr w:rsidR="006B0558" w:rsidRPr="008F42E9" w:rsidTr="008066EE">
        <w:trPr>
          <w:trHeight w:val="388"/>
        </w:trPr>
        <w:tc>
          <w:tcPr>
            <w:tcW w:w="326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01" w:type="dxa"/>
            <w:gridSpan w:val="2"/>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Associate Professor Ian Cameron</w:t>
            </w:r>
          </w:p>
        </w:tc>
      </w:tr>
      <w:tr w:rsidR="006B0558" w:rsidRPr="008F42E9" w:rsidTr="008066EE">
        <w:tc>
          <w:tcPr>
            <w:tcW w:w="3227" w:type="dxa"/>
            <w:tcBorders>
              <w:right w:val="single" w:sz="12" w:space="0" w:color="FFFFFF" w:themeColor="background1"/>
            </w:tcBorders>
            <w:shd w:val="clear" w:color="auto" w:fill="D9D9D9" w:themeFill="background1" w:themeFillShade="D9"/>
            <w:hideMark/>
          </w:tcPr>
          <w:p w:rsidR="006B0558" w:rsidRPr="008F42E9" w:rsidRDefault="006B0558" w:rsidP="008066EE">
            <w:pPr>
              <w:keepLines/>
              <w:widowControl w:val="0"/>
              <w:suppressAutoHyphens/>
              <w:spacing w:before="120" w:after="0" w:line="240" w:lineRule="auto"/>
              <w:rPr>
                <w:rFonts w:eastAsia="Times New Roman" w:cs="Arial"/>
                <w:b/>
                <w:snapToGrid w:val="0"/>
                <w:sz w:val="20"/>
                <w:szCs w:val="20"/>
              </w:rPr>
            </w:pPr>
            <w:r w:rsidRPr="008F42E9">
              <w:rPr>
                <w:rFonts w:cs="Arial"/>
                <w:sz w:val="20"/>
                <w:szCs w:val="20"/>
              </w:rPr>
              <w:br w:type="page"/>
            </w:r>
            <w:r w:rsidRPr="008F42E9">
              <w:rPr>
                <w:rFonts w:eastAsia="Times New Roman" w:cs="Arial"/>
                <w:b/>
                <w:snapToGrid w:val="0"/>
                <w:sz w:val="20"/>
                <w:szCs w:val="20"/>
              </w:rPr>
              <w:t>Skin</w:t>
            </w:r>
          </w:p>
        </w:tc>
        <w:tc>
          <w:tcPr>
            <w:tcW w:w="3436" w:type="dxa"/>
            <w:gridSpan w:val="3"/>
            <w:tcBorders>
              <w:left w:val="single" w:sz="12" w:space="0" w:color="FFFFFF" w:themeColor="background1"/>
              <w:right w:val="single" w:sz="12" w:space="0" w:color="FFFFFF" w:themeColor="background1"/>
            </w:tcBorders>
            <w:shd w:val="clear" w:color="auto" w:fill="D9D9D9" w:themeFill="background1" w:themeFillShade="D9"/>
            <w:hideMark/>
          </w:tcPr>
          <w:p w:rsidR="006B0558" w:rsidRPr="008F42E9" w:rsidRDefault="006B0558" w:rsidP="008066EE">
            <w:pPr>
              <w:keepLines/>
              <w:widowControl w:val="0"/>
              <w:suppressAutoHyphens/>
              <w:spacing w:before="120" w:after="0" w:line="240" w:lineRule="auto"/>
              <w:rPr>
                <w:rFonts w:eastAsia="Times New Roman" w:cs="Arial"/>
                <w:b/>
                <w:snapToGrid w:val="0"/>
                <w:sz w:val="20"/>
                <w:szCs w:val="20"/>
              </w:rPr>
            </w:pPr>
            <w:r w:rsidRPr="008F42E9">
              <w:rPr>
                <w:rFonts w:eastAsia="Times New Roman" w:cs="Arial"/>
                <w:b/>
                <w:snapToGrid w:val="0"/>
                <w:sz w:val="20"/>
                <w:szCs w:val="20"/>
              </w:rPr>
              <w:t>Vision</w:t>
            </w:r>
          </w:p>
        </w:tc>
        <w:tc>
          <w:tcPr>
            <w:tcW w:w="2897" w:type="dxa"/>
            <w:gridSpan w:val="2"/>
            <w:tcBorders>
              <w:left w:val="single" w:sz="12" w:space="0" w:color="FFFFFF" w:themeColor="background1"/>
            </w:tcBorders>
            <w:shd w:val="clear" w:color="auto" w:fill="D9D9D9" w:themeFill="background1" w:themeFillShade="D9"/>
            <w:hideMark/>
          </w:tcPr>
          <w:p w:rsidR="006B0558" w:rsidRPr="008F42E9" w:rsidRDefault="006B0558" w:rsidP="008066EE">
            <w:pPr>
              <w:keepLines/>
              <w:widowControl w:val="0"/>
              <w:suppressAutoHyphens/>
              <w:spacing w:before="120" w:after="0" w:line="240" w:lineRule="auto"/>
              <w:rPr>
                <w:rFonts w:eastAsia="Times New Roman" w:cs="Arial"/>
                <w:b/>
                <w:snapToGrid w:val="0"/>
                <w:sz w:val="20"/>
                <w:szCs w:val="20"/>
              </w:rPr>
            </w:pPr>
            <w:r w:rsidRPr="008F42E9">
              <w:rPr>
                <w:rFonts w:eastAsia="Times New Roman" w:cs="Arial"/>
                <w:b/>
                <w:snapToGrid w:val="0"/>
                <w:sz w:val="20"/>
                <w:szCs w:val="20"/>
              </w:rPr>
              <w:t>Lower Limb</w:t>
            </w:r>
          </w:p>
        </w:tc>
      </w:tr>
      <w:tr w:rsidR="006B0558" w:rsidRPr="008F42E9" w:rsidTr="008066EE">
        <w:tc>
          <w:tcPr>
            <w:tcW w:w="3227" w:type="dxa"/>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Victor Zielinski</w:t>
            </w:r>
          </w:p>
        </w:tc>
        <w:tc>
          <w:tcPr>
            <w:tcW w:w="3436" w:type="dxa"/>
            <w:gridSpan w:val="3"/>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Michael Delaney</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Dwight Dowda</w:t>
            </w:r>
          </w:p>
        </w:tc>
      </w:tr>
      <w:tr w:rsidR="006B0558" w:rsidRPr="008F42E9" w:rsidTr="008066EE">
        <w:tc>
          <w:tcPr>
            <w:tcW w:w="3227" w:type="dxa"/>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Scott Menzies</w:t>
            </w:r>
          </w:p>
        </w:tc>
        <w:tc>
          <w:tcPr>
            <w:tcW w:w="3436" w:type="dxa"/>
            <w:gridSpan w:val="3"/>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Peter Duke</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Associate Professor Ian Cameron</w:t>
            </w:r>
          </w:p>
        </w:tc>
      </w:tr>
      <w:tr w:rsidR="006B0558" w:rsidRPr="008F42E9" w:rsidTr="008066EE">
        <w:tc>
          <w:tcPr>
            <w:tcW w:w="3227" w:type="dxa"/>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Edmund Lobel</w:t>
            </w:r>
          </w:p>
        </w:tc>
        <w:tc>
          <w:tcPr>
            <w:tcW w:w="3436" w:type="dxa"/>
            <w:gridSpan w:val="3"/>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Peter Anderson</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Professor Bill Marsden</w:t>
            </w:r>
          </w:p>
        </w:tc>
      </w:tr>
      <w:tr w:rsidR="006B0558" w:rsidRPr="008F42E9" w:rsidTr="008066EE">
        <w:tc>
          <w:tcPr>
            <w:tcW w:w="3227" w:type="dxa"/>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Associate Professor Ian Cameron</w:t>
            </w:r>
          </w:p>
        </w:tc>
        <w:tc>
          <w:tcPr>
            <w:tcW w:w="3436" w:type="dxa"/>
            <w:gridSpan w:val="3"/>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Kennedy</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Peter Holman</w:t>
            </w:r>
          </w:p>
        </w:tc>
      </w:tr>
      <w:tr w:rsidR="006B0558" w:rsidRPr="008F42E9" w:rsidTr="008066EE">
        <w:tc>
          <w:tcPr>
            <w:tcW w:w="3227" w:type="dxa"/>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36" w:type="dxa"/>
            <w:gridSpan w:val="3"/>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Neville Banks</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Jay Govind</w:t>
            </w:r>
          </w:p>
        </w:tc>
      </w:tr>
      <w:tr w:rsidR="006B0558" w:rsidRPr="008F42E9" w:rsidTr="008066EE">
        <w:tc>
          <w:tcPr>
            <w:tcW w:w="3227" w:type="dxa"/>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36" w:type="dxa"/>
            <w:gridSpan w:val="3"/>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Associate Professor Ian Cameron</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Jim Bodel</w:t>
            </w:r>
          </w:p>
        </w:tc>
      </w:tr>
      <w:tr w:rsidR="006B0558" w:rsidRPr="008F42E9" w:rsidTr="008066EE">
        <w:tc>
          <w:tcPr>
            <w:tcW w:w="3227" w:type="dxa"/>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36" w:type="dxa"/>
            <w:gridSpan w:val="3"/>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Mario Benanzio</w:t>
            </w:r>
          </w:p>
        </w:tc>
      </w:tr>
      <w:tr w:rsidR="006B0558" w:rsidRPr="008F42E9" w:rsidTr="008066EE">
        <w:tc>
          <w:tcPr>
            <w:tcW w:w="3227" w:type="dxa"/>
            <w:tcBorders>
              <w:right w:val="single" w:sz="12" w:space="0" w:color="FFFFFF" w:themeColor="background1"/>
            </w:tcBorders>
            <w:shd w:val="clear" w:color="auto" w:fill="D9D9D9" w:themeFill="background1" w:themeFillShade="D9"/>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3436" w:type="dxa"/>
            <w:gridSpan w:val="3"/>
            <w:tcBorders>
              <w:left w:val="single" w:sz="12" w:space="0" w:color="FFFFFF" w:themeColor="background1"/>
            </w:tcBorders>
            <w:shd w:val="clear" w:color="auto" w:fill="D9D9D9" w:themeFill="background1" w:themeFillShade="D9"/>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Jim Ellis</w:t>
            </w:r>
          </w:p>
        </w:tc>
      </w:tr>
      <w:tr w:rsidR="006B0558" w:rsidRPr="008F42E9" w:rsidTr="008066EE">
        <w:tc>
          <w:tcPr>
            <w:tcW w:w="3227" w:type="dxa"/>
            <w:tcBorders>
              <w:right w:val="single" w:sz="12" w:space="0" w:color="FFFFFF" w:themeColor="background1"/>
            </w:tcBorders>
            <w:shd w:val="clear" w:color="auto" w:fill="D9D9D9" w:themeFill="background1" w:themeFillShade="D9"/>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
                <w:snapToGrid w:val="0"/>
                <w:sz w:val="20"/>
                <w:szCs w:val="20"/>
              </w:rPr>
              <w:t>Cardiovascular</w:t>
            </w:r>
          </w:p>
        </w:tc>
        <w:tc>
          <w:tcPr>
            <w:tcW w:w="3436" w:type="dxa"/>
            <w:gridSpan w:val="3"/>
            <w:tcBorders>
              <w:left w:val="single" w:sz="12" w:space="0" w:color="FFFFFF" w:themeColor="background1"/>
            </w:tcBorders>
            <w:shd w:val="clear" w:color="auto" w:fill="D9D9D9" w:themeFill="background1" w:themeFillShade="D9"/>
            <w:hideMark/>
          </w:tcPr>
          <w:p w:rsidR="006B0558" w:rsidRPr="008F42E9" w:rsidRDefault="006B0558" w:rsidP="008F42E9">
            <w:pPr>
              <w:keepLines/>
              <w:widowControl w:val="0"/>
              <w:suppressAutoHyphens/>
              <w:spacing w:after="0" w:line="240" w:lineRule="auto"/>
              <w:rPr>
                <w:rFonts w:eastAsia="Times New Roman" w:cs="Arial"/>
                <w:b/>
                <w:snapToGrid w:val="0"/>
                <w:sz w:val="20"/>
                <w:szCs w:val="20"/>
              </w:rPr>
            </w:pPr>
            <w:r w:rsidRPr="008F42E9">
              <w:rPr>
                <w:rFonts w:eastAsia="Times New Roman" w:cs="Arial"/>
                <w:b/>
                <w:snapToGrid w:val="0"/>
                <w:sz w:val="20"/>
                <w:szCs w:val="20"/>
              </w:rPr>
              <w:t>Digestive</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Conrad Winer</w:t>
            </w:r>
          </w:p>
        </w:tc>
      </w:tr>
      <w:tr w:rsidR="006B0558" w:rsidRPr="008F42E9" w:rsidTr="008066EE">
        <w:tc>
          <w:tcPr>
            <w:tcW w:w="3227" w:type="dxa"/>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Thomas Nash</w:t>
            </w:r>
          </w:p>
        </w:tc>
        <w:tc>
          <w:tcPr>
            <w:tcW w:w="3436" w:type="dxa"/>
            <w:gridSpan w:val="3"/>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 Philip Barnes</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Cecil Cass</w:t>
            </w:r>
          </w:p>
        </w:tc>
      </w:tr>
      <w:tr w:rsidR="006B0558" w:rsidRPr="008F42E9" w:rsidTr="008066EE">
        <w:tc>
          <w:tcPr>
            <w:tcW w:w="3227" w:type="dxa"/>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Gunning</w:t>
            </w:r>
          </w:p>
        </w:tc>
        <w:tc>
          <w:tcPr>
            <w:tcW w:w="3436" w:type="dxa"/>
            <w:gridSpan w:val="3"/>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David De Carle</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Harrison</w:t>
            </w:r>
          </w:p>
        </w:tc>
      </w:tr>
      <w:tr w:rsidR="006B0558" w:rsidRPr="008F42E9" w:rsidTr="008066EE">
        <w:tc>
          <w:tcPr>
            <w:tcW w:w="3227" w:type="dxa"/>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George Michell</w:t>
            </w:r>
          </w:p>
        </w:tc>
        <w:tc>
          <w:tcPr>
            <w:tcW w:w="3436" w:type="dxa"/>
            <w:gridSpan w:val="3"/>
            <w:hideMark/>
          </w:tcPr>
          <w:p w:rsidR="006B0558" w:rsidRPr="008F42E9" w:rsidRDefault="006B0558" w:rsidP="008F42E9">
            <w:pPr>
              <w:keepLines/>
              <w:widowControl w:val="0"/>
              <w:suppressAutoHyphens/>
              <w:spacing w:after="0" w:line="240" w:lineRule="auto"/>
              <w:rPr>
                <w:rFonts w:eastAsia="Times New Roman" w:cs="Arial"/>
                <w:b/>
                <w:bCs/>
                <w:snapToGrid w:val="0"/>
                <w:sz w:val="20"/>
                <w:szCs w:val="20"/>
              </w:rPr>
            </w:pPr>
            <w:r w:rsidRPr="008F42E9">
              <w:rPr>
                <w:rFonts w:eastAsia="Times New Roman" w:cs="Arial"/>
                <w:bCs/>
                <w:snapToGrid w:val="0"/>
                <w:sz w:val="20"/>
                <w:szCs w:val="20"/>
              </w:rPr>
              <w:t>Dr Dwight Dowda</w:t>
            </w:r>
          </w:p>
        </w:tc>
        <w:tc>
          <w:tcPr>
            <w:tcW w:w="2897" w:type="dxa"/>
            <w:gridSpan w:val="2"/>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Korber</w:t>
            </w:r>
          </w:p>
        </w:tc>
      </w:tr>
      <w:tr w:rsidR="006B0558" w:rsidRPr="008F42E9" w:rsidTr="006B0558">
        <w:trPr>
          <w:gridAfter w:val="1"/>
          <w:wAfter w:w="318" w:type="dxa"/>
          <w:trHeight w:val="2340"/>
        </w:trPr>
        <w:tc>
          <w:tcPr>
            <w:tcW w:w="3227" w:type="dxa"/>
            <w:hideMark/>
          </w:tcPr>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lastRenderedPageBreak/>
              <w:t>Dr Stephen Buckley</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Melissa Doohan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Charles Fisher</w:t>
            </w:r>
          </w:p>
        </w:tc>
        <w:tc>
          <w:tcPr>
            <w:tcW w:w="3118" w:type="dxa"/>
            <w:gridSpan w:val="2"/>
            <w:hideMark/>
          </w:tcPr>
          <w:p w:rsidR="006B0558" w:rsidRPr="008F42E9" w:rsidRDefault="006B0558" w:rsidP="008066EE">
            <w:pPr>
              <w:keepLines/>
              <w:widowControl w:val="0"/>
              <w:shd w:val="clear" w:color="auto" w:fill="D9D9D9" w:themeFill="background1" w:themeFillShade="D9"/>
              <w:suppressAutoHyphens/>
              <w:spacing w:after="0" w:line="240" w:lineRule="auto"/>
              <w:rPr>
                <w:rFonts w:eastAsia="Times New Roman" w:cs="Arial"/>
                <w:b/>
                <w:bCs/>
                <w:snapToGrid w:val="0"/>
                <w:sz w:val="20"/>
                <w:szCs w:val="20"/>
              </w:rPr>
            </w:pPr>
            <w:r w:rsidRPr="008F42E9">
              <w:rPr>
                <w:rFonts w:eastAsia="Times New Roman" w:cs="Arial"/>
                <w:b/>
                <w:bCs/>
                <w:snapToGrid w:val="0"/>
                <w:sz w:val="20"/>
                <w:szCs w:val="20"/>
              </w:rPr>
              <w:t>2012 Revisions</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Neil Berry</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Garvey</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Duggan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Nick Talley</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David Johnson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Dixon-Hughes</w:t>
            </w:r>
          </w:p>
        </w:tc>
        <w:tc>
          <w:tcPr>
            <w:tcW w:w="2897" w:type="dxa"/>
            <w:gridSpan w:val="2"/>
            <w:vMerge w:val="restart"/>
          </w:tcPr>
          <w:p w:rsidR="006B0558" w:rsidRPr="008F42E9" w:rsidRDefault="006B0558" w:rsidP="008066EE">
            <w:pPr>
              <w:keepLines/>
              <w:widowControl w:val="0"/>
              <w:shd w:val="clear" w:color="auto" w:fill="D9D9D9" w:themeFill="background1" w:themeFillShade="D9"/>
              <w:suppressAutoHyphens/>
              <w:spacing w:after="0" w:line="240" w:lineRule="auto"/>
              <w:rPr>
                <w:rFonts w:eastAsia="Times New Roman" w:cs="Arial"/>
                <w:b/>
                <w:bCs/>
                <w:snapToGrid w:val="0"/>
                <w:sz w:val="20"/>
                <w:szCs w:val="20"/>
              </w:rPr>
            </w:pPr>
            <w:r w:rsidRPr="008F42E9">
              <w:rPr>
                <w:rFonts w:eastAsia="Times New Roman" w:cs="Arial"/>
                <w:b/>
                <w:bCs/>
                <w:snapToGrid w:val="0"/>
                <w:sz w:val="20"/>
                <w:szCs w:val="20"/>
              </w:rPr>
              <w:t>2008 Revisions</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Roger Pillemer</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Harrison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Professor Ian Cameron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Michael Gliksman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Jim Bodel</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Robert Breit</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Ian Meakin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p>
          <w:p w:rsidR="006B0558" w:rsidRPr="008F42E9" w:rsidRDefault="006B0558" w:rsidP="008066EE">
            <w:pPr>
              <w:keepLines/>
              <w:widowControl w:val="0"/>
              <w:shd w:val="clear" w:color="auto" w:fill="D9D9D9" w:themeFill="background1" w:themeFillShade="D9"/>
              <w:suppressAutoHyphens/>
              <w:spacing w:after="0" w:line="240" w:lineRule="auto"/>
              <w:rPr>
                <w:rFonts w:eastAsia="Times New Roman" w:cs="Arial"/>
                <w:b/>
                <w:bCs/>
                <w:snapToGrid w:val="0"/>
                <w:sz w:val="20"/>
                <w:szCs w:val="20"/>
              </w:rPr>
            </w:pPr>
            <w:r w:rsidRPr="008F42E9">
              <w:rPr>
                <w:rFonts w:eastAsia="Times New Roman" w:cs="Arial"/>
                <w:b/>
                <w:bCs/>
                <w:snapToGrid w:val="0"/>
                <w:sz w:val="20"/>
                <w:szCs w:val="20"/>
              </w:rPr>
              <w:t>2012 Revisions</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Roger Pillemer</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Harrison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Brian Noll</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James Bodel</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John Cross</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Mark Burns</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Michael Gliksman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Robert Breit</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Professor Ian Cameron</w:t>
            </w:r>
          </w:p>
          <w:p w:rsidR="006B0558" w:rsidRPr="008F42E9" w:rsidRDefault="006B0558" w:rsidP="008066EE">
            <w:pPr>
              <w:keepLines/>
              <w:widowControl w:val="0"/>
              <w:shd w:val="clear" w:color="auto" w:fill="D9D9D9" w:themeFill="background1" w:themeFillShade="D9"/>
              <w:suppressAutoHyphens/>
              <w:spacing w:before="120" w:after="0" w:line="240" w:lineRule="auto"/>
              <w:rPr>
                <w:rFonts w:eastAsia="Times New Roman" w:cs="Arial"/>
                <w:b/>
                <w:bCs/>
                <w:snapToGrid w:val="0"/>
                <w:sz w:val="20"/>
                <w:szCs w:val="20"/>
              </w:rPr>
            </w:pPr>
            <w:r w:rsidRPr="008F42E9">
              <w:rPr>
                <w:rFonts w:eastAsia="Times New Roman" w:cs="Arial"/>
                <w:b/>
                <w:bCs/>
                <w:snapToGrid w:val="0"/>
                <w:sz w:val="20"/>
                <w:szCs w:val="20"/>
              </w:rPr>
              <w:t>Haematopoietic</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 John Gibson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Stephen Flecknoe</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Peter Slezak</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 John Dwyer</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Associate Professor Ian Cameron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Evaluation of permanent impairment arising from chronic pain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Associate Professor Michael Fearnside</w:t>
            </w:r>
          </w:p>
        </w:tc>
      </w:tr>
      <w:tr w:rsidR="006B0558" w:rsidRPr="008F42E9" w:rsidTr="006B0558">
        <w:trPr>
          <w:gridAfter w:val="1"/>
          <w:wAfter w:w="318" w:type="dxa"/>
          <w:trHeight w:val="2475"/>
        </w:trPr>
        <w:tc>
          <w:tcPr>
            <w:tcW w:w="3227" w:type="dxa"/>
            <w:vMerge w:val="restart"/>
            <w:hideMark/>
          </w:tcPr>
          <w:p w:rsidR="006B0558" w:rsidRPr="008F42E9" w:rsidRDefault="006B0558" w:rsidP="008066EE">
            <w:pPr>
              <w:keepLines/>
              <w:widowControl w:val="0"/>
              <w:shd w:val="clear" w:color="auto" w:fill="D9D9D9" w:themeFill="background1" w:themeFillShade="D9"/>
              <w:suppressAutoHyphens/>
              <w:spacing w:after="0" w:line="240" w:lineRule="auto"/>
              <w:rPr>
                <w:rFonts w:eastAsia="Times New Roman" w:cs="Arial"/>
                <w:b/>
                <w:bCs/>
                <w:snapToGrid w:val="0"/>
                <w:sz w:val="20"/>
                <w:szCs w:val="20"/>
              </w:rPr>
            </w:pPr>
            <w:r w:rsidRPr="008F42E9">
              <w:rPr>
                <w:rFonts w:eastAsia="Times New Roman" w:cs="Arial"/>
                <w:b/>
                <w:bCs/>
                <w:snapToGrid w:val="0"/>
                <w:sz w:val="20"/>
                <w:szCs w:val="20"/>
              </w:rPr>
              <w:t>Endocrine</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Alfred Steinbeck</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 Peter Hall</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Stephen Buckley</w:t>
            </w:r>
          </w:p>
        </w:tc>
        <w:tc>
          <w:tcPr>
            <w:tcW w:w="3118" w:type="dxa"/>
            <w:gridSpan w:val="2"/>
            <w:hideMark/>
          </w:tcPr>
          <w:p w:rsidR="006B0558" w:rsidRPr="008F42E9" w:rsidRDefault="006B0558" w:rsidP="008066EE">
            <w:pPr>
              <w:keepLines/>
              <w:widowControl w:val="0"/>
              <w:shd w:val="clear" w:color="auto" w:fill="D9D9D9" w:themeFill="background1" w:themeFillShade="D9"/>
              <w:suppressAutoHyphens/>
              <w:spacing w:after="0" w:line="240" w:lineRule="auto"/>
              <w:rPr>
                <w:rFonts w:eastAsia="Times New Roman" w:cs="Arial"/>
                <w:b/>
                <w:bCs/>
                <w:snapToGrid w:val="0"/>
                <w:sz w:val="20"/>
                <w:szCs w:val="20"/>
              </w:rPr>
            </w:pPr>
            <w:r w:rsidRPr="008F42E9">
              <w:rPr>
                <w:rFonts w:eastAsia="Times New Roman" w:cs="Arial"/>
                <w:b/>
                <w:bCs/>
                <w:snapToGrid w:val="0"/>
                <w:sz w:val="20"/>
                <w:szCs w:val="20"/>
              </w:rPr>
              <w:t>Nervous System</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Stephen Buckley</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Associate Professor Ian Cameron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Dwight Dowda</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Ivan Lorentz</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Keith Lethlean</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Peter B</w:t>
            </w:r>
            <w:r w:rsidR="008066EE">
              <w:rPr>
                <w:rFonts w:eastAsia="Times New Roman" w:cs="Arial"/>
                <w:bCs/>
                <w:snapToGrid w:val="0"/>
                <w:sz w:val="20"/>
                <w:szCs w:val="20"/>
              </w:rPr>
              <w:t>lum</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Professor Michael Fearnside</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Tim Hannon</w:t>
            </w:r>
          </w:p>
        </w:tc>
        <w:tc>
          <w:tcPr>
            <w:tcW w:w="2897" w:type="dxa"/>
            <w:gridSpan w:val="2"/>
            <w:vMerge/>
            <w:vAlign w:val="center"/>
            <w:hideMark/>
          </w:tcPr>
          <w:p w:rsidR="006B0558" w:rsidRPr="008F42E9" w:rsidRDefault="006B0558" w:rsidP="008F42E9">
            <w:pPr>
              <w:spacing w:after="0" w:line="240" w:lineRule="auto"/>
              <w:rPr>
                <w:rFonts w:eastAsia="Times New Roman" w:cs="Arial"/>
                <w:bCs/>
                <w:snapToGrid w:val="0"/>
                <w:sz w:val="20"/>
                <w:szCs w:val="20"/>
              </w:rPr>
            </w:pPr>
          </w:p>
        </w:tc>
      </w:tr>
      <w:tr w:rsidR="006B0558" w:rsidRPr="008F42E9" w:rsidTr="006B0558">
        <w:trPr>
          <w:gridAfter w:val="1"/>
          <w:wAfter w:w="318" w:type="dxa"/>
          <w:trHeight w:val="2850"/>
        </w:trPr>
        <w:tc>
          <w:tcPr>
            <w:tcW w:w="3227" w:type="dxa"/>
            <w:vMerge/>
            <w:vAlign w:val="center"/>
            <w:hideMark/>
          </w:tcPr>
          <w:p w:rsidR="006B0558" w:rsidRPr="008F42E9" w:rsidRDefault="006B0558" w:rsidP="008F42E9">
            <w:pPr>
              <w:spacing w:after="0" w:line="240" w:lineRule="auto"/>
              <w:rPr>
                <w:rFonts w:eastAsia="Times New Roman" w:cs="Arial"/>
                <w:bCs/>
                <w:snapToGrid w:val="0"/>
                <w:sz w:val="20"/>
                <w:szCs w:val="20"/>
              </w:rPr>
            </w:pPr>
          </w:p>
        </w:tc>
        <w:tc>
          <w:tcPr>
            <w:tcW w:w="3118" w:type="dxa"/>
            <w:gridSpan w:val="2"/>
          </w:tcPr>
          <w:p w:rsidR="006B0558" w:rsidRPr="008F42E9" w:rsidRDefault="006B0558" w:rsidP="008066EE">
            <w:pPr>
              <w:keepLines/>
              <w:widowControl w:val="0"/>
              <w:shd w:val="clear" w:color="auto" w:fill="D9D9D9" w:themeFill="background1" w:themeFillShade="D9"/>
              <w:suppressAutoHyphens/>
              <w:spacing w:after="0" w:line="240" w:lineRule="auto"/>
              <w:rPr>
                <w:rFonts w:eastAsia="Times New Roman" w:cs="Arial"/>
                <w:b/>
                <w:bCs/>
                <w:snapToGrid w:val="0"/>
                <w:sz w:val="20"/>
                <w:szCs w:val="20"/>
              </w:rPr>
            </w:pPr>
            <w:r w:rsidRPr="008F42E9">
              <w:rPr>
                <w:rFonts w:eastAsia="Times New Roman" w:cs="Arial"/>
                <w:b/>
                <w:bCs/>
                <w:snapToGrid w:val="0"/>
                <w:sz w:val="20"/>
                <w:szCs w:val="20"/>
              </w:rPr>
              <w:t>2012 Revisions</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Associate Professor Michael Fearnside</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Mark Burns</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Dr Ross Mellick</w:t>
            </w:r>
          </w:p>
          <w:p w:rsidR="006B0558" w:rsidRPr="008F42E9" w:rsidRDefault="006B0558" w:rsidP="008F42E9">
            <w:pPr>
              <w:keepLines/>
              <w:widowControl w:val="0"/>
              <w:suppressAutoHyphens/>
              <w:spacing w:after="0" w:line="240" w:lineRule="auto"/>
              <w:rPr>
                <w:rFonts w:eastAsia="Times New Roman" w:cs="Arial"/>
                <w:bCs/>
                <w:snapToGrid w:val="0"/>
                <w:sz w:val="20"/>
                <w:szCs w:val="20"/>
              </w:rPr>
            </w:pPr>
            <w:r w:rsidRPr="008F42E9">
              <w:rPr>
                <w:rFonts w:eastAsia="Times New Roman" w:cs="Arial"/>
                <w:bCs/>
                <w:snapToGrid w:val="0"/>
                <w:sz w:val="20"/>
                <w:szCs w:val="20"/>
              </w:rPr>
              <w:t>Professor Ian Cameron</w:t>
            </w:r>
          </w:p>
          <w:p w:rsidR="006B0558" w:rsidRPr="008F42E9" w:rsidRDefault="006B0558" w:rsidP="008F42E9">
            <w:pPr>
              <w:keepLines/>
              <w:widowControl w:val="0"/>
              <w:suppressAutoHyphens/>
              <w:spacing w:after="0" w:line="240" w:lineRule="auto"/>
              <w:rPr>
                <w:rFonts w:eastAsia="Times New Roman" w:cs="Arial"/>
                <w:b/>
                <w:bCs/>
                <w:snapToGrid w:val="0"/>
                <w:sz w:val="20"/>
                <w:szCs w:val="20"/>
              </w:rPr>
            </w:pPr>
          </w:p>
        </w:tc>
        <w:tc>
          <w:tcPr>
            <w:tcW w:w="2897" w:type="dxa"/>
            <w:gridSpan w:val="2"/>
            <w:vMerge/>
            <w:vAlign w:val="center"/>
            <w:hideMark/>
          </w:tcPr>
          <w:p w:rsidR="006B0558" w:rsidRPr="008F42E9" w:rsidRDefault="006B0558" w:rsidP="008F42E9">
            <w:pPr>
              <w:spacing w:after="0" w:line="240" w:lineRule="auto"/>
              <w:rPr>
                <w:rFonts w:eastAsia="Times New Roman" w:cs="Arial"/>
                <w:bCs/>
                <w:snapToGrid w:val="0"/>
                <w:sz w:val="20"/>
                <w:szCs w:val="20"/>
              </w:rPr>
            </w:pPr>
          </w:p>
        </w:tc>
      </w:tr>
    </w:tbl>
    <w:p w:rsidR="006B0558" w:rsidRPr="008F42E9" w:rsidRDefault="006B0558" w:rsidP="008F42E9">
      <w:pPr>
        <w:spacing w:after="0" w:line="240" w:lineRule="auto"/>
        <w:rPr>
          <w:rFonts w:cs="Arial"/>
          <w:b/>
          <w:sz w:val="20"/>
          <w:szCs w:val="20"/>
        </w:rPr>
      </w:pPr>
    </w:p>
    <w:p w:rsidR="00117D24" w:rsidRPr="00117D24" w:rsidRDefault="00117D24" w:rsidP="008F42E9">
      <w:pPr>
        <w:spacing w:after="0" w:line="240" w:lineRule="auto"/>
        <w:rPr>
          <w:b/>
        </w:rPr>
      </w:pPr>
    </w:p>
    <w:sectPr w:rsidR="00117D24" w:rsidRPr="00117D24" w:rsidSect="00143767">
      <w:headerReference w:type="default" r:id="rId51"/>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E70" w:rsidRDefault="00477E70">
      <w:pPr>
        <w:spacing w:after="0" w:line="240" w:lineRule="auto"/>
      </w:pPr>
      <w:r>
        <w:separator/>
      </w:r>
    </w:p>
  </w:endnote>
  <w:endnote w:type="continuationSeparator" w:id="0">
    <w:p w:rsidR="00477E70" w:rsidRDefault="004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eGothic Bold">
    <w:altName w:val="Courier New"/>
    <w:panose1 w:val="00000000000000000000"/>
    <w:charset w:val="00"/>
    <w:family w:val="swiss"/>
    <w:notTrueType/>
    <w:pitch w:val="variable"/>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55">
    <w:altName w:val="Univers 55"/>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Light">
    <w:panose1 w:val="00000000000000000000"/>
    <w:charset w:val="00"/>
    <w:family w:val="swiss"/>
    <w:notTrueTyp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997836938"/>
      <w:docPartObj>
        <w:docPartGallery w:val="Page Numbers (Bottom of Page)"/>
        <w:docPartUnique/>
      </w:docPartObj>
    </w:sdtPr>
    <w:sdtEndPr>
      <w:rPr>
        <w:color w:val="7F7F7F" w:themeColor="background1" w:themeShade="7F"/>
        <w:spacing w:val="60"/>
      </w:rPr>
    </w:sdtEndPr>
    <w:sdtContent>
      <w:p w:rsidR="006215EF" w:rsidRPr="00C61FD5" w:rsidRDefault="006215EF" w:rsidP="00C61FD5">
        <w:pPr>
          <w:pStyle w:val="Footer"/>
          <w:pBdr>
            <w:top w:val="single" w:sz="4" w:space="1" w:color="D9D9D9" w:themeColor="background1" w:themeShade="D9"/>
          </w:pBdr>
          <w:rPr>
            <w:sz w:val="18"/>
            <w:szCs w:val="18"/>
          </w:rPr>
        </w:pPr>
        <w:r w:rsidRPr="00C61FD5">
          <w:rPr>
            <w:sz w:val="18"/>
            <w:szCs w:val="18"/>
          </w:rPr>
          <w:fldChar w:fldCharType="begin"/>
        </w:r>
        <w:r w:rsidRPr="00C61FD5">
          <w:rPr>
            <w:sz w:val="18"/>
            <w:szCs w:val="18"/>
          </w:rPr>
          <w:instrText xml:space="preserve"> PAGE   \* MERGEFORMAT </w:instrText>
        </w:r>
        <w:r w:rsidRPr="00C61FD5">
          <w:rPr>
            <w:sz w:val="18"/>
            <w:szCs w:val="18"/>
          </w:rPr>
          <w:fldChar w:fldCharType="separate"/>
        </w:r>
        <w:r>
          <w:rPr>
            <w:noProof/>
            <w:sz w:val="18"/>
            <w:szCs w:val="18"/>
          </w:rPr>
          <w:t>2</w:t>
        </w:r>
        <w:r w:rsidRPr="00C61FD5">
          <w:rPr>
            <w:noProof/>
            <w:sz w:val="18"/>
            <w:szCs w:val="18"/>
          </w:rPr>
          <w:fldChar w:fldCharType="end"/>
        </w:r>
        <w:r w:rsidRPr="00C61FD5">
          <w:rPr>
            <w:sz w:val="18"/>
            <w:szCs w:val="18"/>
          </w:rPr>
          <w:t xml:space="preserve"> | </w:t>
        </w:r>
        <w:r w:rsidRPr="00C61FD5">
          <w:rPr>
            <w:color w:val="7F7F7F" w:themeColor="background1" w:themeShade="7F"/>
            <w:spacing w:val="60"/>
            <w:sz w:val="18"/>
            <w:szCs w:val="18"/>
          </w:rPr>
          <w:t>Page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Pr="00C61FD5" w:rsidRDefault="006215EF" w:rsidP="00422F7F">
    <w:pPr>
      <w:pStyle w:val="Footer"/>
      <w:jc w:val="righ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Pr="00C61FD5" w:rsidRDefault="006215EF" w:rsidP="00422F7F">
    <w:pPr>
      <w:pStyle w:val="Footer"/>
      <w:jc w:val="right"/>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845238"/>
      <w:docPartObj>
        <w:docPartGallery w:val="Page Numbers (Bottom of Page)"/>
        <w:docPartUnique/>
      </w:docPartObj>
    </w:sdtPr>
    <w:sdtEndPr>
      <w:rPr>
        <w:color w:val="7F7F7F" w:themeColor="background1" w:themeShade="7F"/>
        <w:spacing w:val="60"/>
        <w:sz w:val="18"/>
        <w:szCs w:val="18"/>
      </w:rPr>
    </w:sdtEndPr>
    <w:sdtContent>
      <w:p w:rsidR="006215EF" w:rsidRPr="00C61FD5" w:rsidRDefault="006215EF" w:rsidP="00DC2B23">
        <w:pPr>
          <w:pStyle w:val="Footer"/>
          <w:pBdr>
            <w:top w:val="single" w:sz="4" w:space="0" w:color="D9D9D9" w:themeColor="background1" w:themeShade="D9"/>
          </w:pBdr>
          <w:jc w:val="right"/>
          <w:rPr>
            <w:sz w:val="18"/>
            <w:szCs w:val="18"/>
          </w:rPr>
        </w:pPr>
        <w:r w:rsidRPr="00C61FD5">
          <w:rPr>
            <w:sz w:val="18"/>
            <w:szCs w:val="18"/>
          </w:rPr>
          <w:fldChar w:fldCharType="begin"/>
        </w:r>
        <w:r w:rsidRPr="00C61FD5">
          <w:rPr>
            <w:sz w:val="18"/>
            <w:szCs w:val="18"/>
          </w:rPr>
          <w:instrText xml:space="preserve"> PAGE   \* MERGEFORMAT </w:instrText>
        </w:r>
        <w:r w:rsidRPr="00C61FD5">
          <w:rPr>
            <w:sz w:val="18"/>
            <w:szCs w:val="18"/>
          </w:rPr>
          <w:fldChar w:fldCharType="separate"/>
        </w:r>
        <w:r w:rsidR="006D4037">
          <w:rPr>
            <w:noProof/>
            <w:sz w:val="18"/>
            <w:szCs w:val="18"/>
          </w:rPr>
          <w:t>iii</w:t>
        </w:r>
        <w:r w:rsidRPr="00C61FD5">
          <w:rPr>
            <w:noProof/>
            <w:sz w:val="18"/>
            <w:szCs w:val="18"/>
          </w:rPr>
          <w:fldChar w:fldCharType="end"/>
        </w:r>
        <w:r w:rsidRPr="00C61FD5">
          <w:rPr>
            <w:sz w:val="18"/>
            <w:szCs w:val="18"/>
          </w:rPr>
          <w:t xml:space="preserve"> | </w:t>
        </w:r>
        <w:r w:rsidRPr="00C61FD5">
          <w:rPr>
            <w:color w:val="7F7F7F" w:themeColor="background1" w:themeShade="7F"/>
            <w:spacing w:val="60"/>
            <w:sz w:val="18"/>
            <w:szCs w:val="18"/>
          </w:rPr>
          <w:t>Page</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299413"/>
      <w:docPartObj>
        <w:docPartGallery w:val="Page Numbers (Bottom of Page)"/>
        <w:docPartUnique/>
      </w:docPartObj>
    </w:sdtPr>
    <w:sdtEndPr>
      <w:rPr>
        <w:color w:val="7F7F7F" w:themeColor="background1" w:themeShade="7F"/>
        <w:spacing w:val="60"/>
        <w:sz w:val="18"/>
        <w:szCs w:val="18"/>
      </w:rPr>
    </w:sdtEndPr>
    <w:sdtContent>
      <w:p w:rsidR="006215EF" w:rsidRPr="00C61FD5" w:rsidRDefault="006215EF" w:rsidP="00486E02">
        <w:pPr>
          <w:pStyle w:val="Footer"/>
          <w:pBdr>
            <w:top w:val="single" w:sz="4" w:space="1" w:color="D9D9D9" w:themeColor="background1" w:themeShade="D9"/>
          </w:pBdr>
          <w:jc w:val="right"/>
          <w:rPr>
            <w:sz w:val="18"/>
            <w:szCs w:val="18"/>
          </w:rPr>
        </w:pPr>
        <w:r w:rsidRPr="00C61FD5">
          <w:rPr>
            <w:sz w:val="18"/>
            <w:szCs w:val="18"/>
          </w:rPr>
          <w:fldChar w:fldCharType="begin"/>
        </w:r>
        <w:r w:rsidRPr="00C61FD5">
          <w:rPr>
            <w:sz w:val="18"/>
            <w:szCs w:val="18"/>
          </w:rPr>
          <w:instrText xml:space="preserve"> PAGE   \* MERGEFORMAT </w:instrText>
        </w:r>
        <w:r w:rsidRPr="00C61FD5">
          <w:rPr>
            <w:sz w:val="18"/>
            <w:szCs w:val="18"/>
          </w:rPr>
          <w:fldChar w:fldCharType="separate"/>
        </w:r>
        <w:r w:rsidR="006D4037">
          <w:rPr>
            <w:noProof/>
            <w:sz w:val="18"/>
            <w:szCs w:val="18"/>
          </w:rPr>
          <w:t>1</w:t>
        </w:r>
        <w:r w:rsidRPr="00C61FD5">
          <w:rPr>
            <w:noProof/>
            <w:sz w:val="18"/>
            <w:szCs w:val="18"/>
          </w:rPr>
          <w:fldChar w:fldCharType="end"/>
        </w:r>
        <w:r w:rsidRPr="00C61FD5">
          <w:rPr>
            <w:sz w:val="18"/>
            <w:szCs w:val="18"/>
          </w:rPr>
          <w:t xml:space="preserve"> | </w:t>
        </w:r>
        <w:r w:rsidRPr="00C61FD5">
          <w:rPr>
            <w:color w:val="7F7F7F" w:themeColor="background1" w:themeShade="7F"/>
            <w:spacing w:val="60"/>
            <w:sz w:val="18"/>
            <w:szCs w:val="18"/>
          </w:rPr>
          <w:t>Page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580746"/>
      <w:docPartObj>
        <w:docPartGallery w:val="Page Numbers (Bottom of Page)"/>
        <w:docPartUnique/>
      </w:docPartObj>
    </w:sdtPr>
    <w:sdtEndPr>
      <w:rPr>
        <w:color w:val="7F7F7F" w:themeColor="background1" w:themeShade="7F"/>
        <w:spacing w:val="60"/>
        <w:sz w:val="18"/>
        <w:szCs w:val="18"/>
      </w:rPr>
    </w:sdtEndPr>
    <w:sdtContent>
      <w:p w:rsidR="006215EF" w:rsidRPr="006E7CA0" w:rsidRDefault="006215EF" w:rsidP="002947BC">
        <w:pPr>
          <w:pStyle w:val="Footer"/>
          <w:pBdr>
            <w:top w:val="single" w:sz="4" w:space="1" w:color="D9D9D9" w:themeColor="background1" w:themeShade="D9"/>
          </w:pBdr>
          <w:rPr>
            <w:sz w:val="18"/>
            <w:szCs w:val="18"/>
          </w:rPr>
        </w:pPr>
        <w:r w:rsidRPr="006E7CA0">
          <w:rPr>
            <w:sz w:val="18"/>
            <w:szCs w:val="18"/>
          </w:rPr>
          <w:fldChar w:fldCharType="begin"/>
        </w:r>
        <w:r w:rsidRPr="006E7CA0">
          <w:rPr>
            <w:sz w:val="18"/>
            <w:szCs w:val="18"/>
          </w:rPr>
          <w:instrText xml:space="preserve"> PAGE   \* MERGEFORMAT </w:instrText>
        </w:r>
        <w:r w:rsidRPr="006E7CA0">
          <w:rPr>
            <w:sz w:val="18"/>
            <w:szCs w:val="18"/>
          </w:rPr>
          <w:fldChar w:fldCharType="separate"/>
        </w:r>
        <w:r w:rsidR="006D4037">
          <w:rPr>
            <w:noProof/>
            <w:sz w:val="18"/>
            <w:szCs w:val="18"/>
          </w:rPr>
          <w:t>83</w:t>
        </w:r>
        <w:r w:rsidRPr="006E7CA0">
          <w:rPr>
            <w:noProof/>
            <w:sz w:val="18"/>
            <w:szCs w:val="18"/>
          </w:rPr>
          <w:fldChar w:fldCharType="end"/>
        </w:r>
        <w:r w:rsidRPr="006E7CA0">
          <w:rPr>
            <w:sz w:val="18"/>
            <w:szCs w:val="18"/>
          </w:rPr>
          <w:t xml:space="preserve"> | </w:t>
        </w:r>
        <w:r w:rsidRPr="006E7CA0">
          <w:rPr>
            <w:color w:val="7F7F7F" w:themeColor="background1" w:themeShade="7F"/>
            <w:spacing w:val="60"/>
            <w:sz w:val="18"/>
            <w:szCs w:val="18"/>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E70" w:rsidRDefault="00477E70">
      <w:pPr>
        <w:spacing w:after="0" w:line="240" w:lineRule="auto"/>
      </w:pPr>
      <w:r>
        <w:separator/>
      </w:r>
    </w:p>
  </w:footnote>
  <w:footnote w:type="continuationSeparator" w:id="0">
    <w:p w:rsidR="00477E70" w:rsidRDefault="00477E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Pr="00253288" w:rsidRDefault="006215EF" w:rsidP="00253288">
    <w:pPr>
      <w:pStyle w:val="Header"/>
      <w:spacing w:after="0" w:line="240" w:lineRule="auto"/>
      <w:ind w:left="-113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Default="006215E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Default="006215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Default="006215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Pr="00253288" w:rsidRDefault="006215EF" w:rsidP="000E15A2">
    <w:pPr>
      <w:pStyle w:val="Header"/>
      <w:spacing w:after="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Default="006215EF">
    <w:pPr>
      <w:pStyle w:val="Header"/>
    </w:pPr>
    <w:r w:rsidRPr="00CD32C2">
      <w:rPr>
        <w:b/>
        <w:noProof/>
        <w:lang w:val="en-AU" w:eastAsia="en-AU"/>
      </w:rPr>
      <w:drawing>
        <wp:anchor distT="0" distB="0" distL="114300" distR="114300" simplePos="0" relativeHeight="251667456" behindDoc="1" locked="0" layoutInCell="1" allowOverlap="1" wp14:anchorId="1E4256BC" wp14:editId="72063FCA">
          <wp:simplePos x="0" y="0"/>
          <wp:positionH relativeFrom="page">
            <wp:align>right</wp:align>
          </wp:positionH>
          <wp:positionV relativeFrom="page">
            <wp:align>top</wp:align>
          </wp:positionV>
          <wp:extent cx="1311275" cy="7556588"/>
          <wp:effectExtent l="0" t="0" r="0" b="4763"/>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Lightning-Background-Vector-STRIP.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1311275" cy="7556588"/>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Default="006215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Default="006215EF">
    <w:pPr>
      <w:pStyle w:val="Header"/>
    </w:pPr>
    <w:r w:rsidRPr="00CD32C2">
      <w:rPr>
        <w:b/>
        <w:noProof/>
        <w:lang w:val="en-AU" w:eastAsia="en-AU"/>
      </w:rPr>
      <w:drawing>
        <wp:anchor distT="0" distB="0" distL="114300" distR="114300" simplePos="0" relativeHeight="251669504" behindDoc="1" locked="0" layoutInCell="1" allowOverlap="1" wp14:anchorId="73B76490" wp14:editId="5D99DCC0">
          <wp:simplePos x="0" y="0"/>
          <wp:positionH relativeFrom="page">
            <wp:align>right</wp:align>
          </wp:positionH>
          <wp:positionV relativeFrom="page">
            <wp:align>top</wp:align>
          </wp:positionV>
          <wp:extent cx="1311275" cy="7556588"/>
          <wp:effectExtent l="0" t="0" r="0" b="4763"/>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Lightning-Background-Vector-STRIP.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1311275" cy="7556588"/>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Default="006215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Default="006215EF">
    <w:pPr>
      <w:pStyle w:val="Header"/>
    </w:pPr>
    <w:r w:rsidRPr="00CD32C2">
      <w:rPr>
        <w:b/>
        <w:noProof/>
        <w:lang w:val="en-AU" w:eastAsia="en-AU"/>
      </w:rPr>
      <w:drawing>
        <wp:anchor distT="0" distB="0" distL="114300" distR="114300" simplePos="0" relativeHeight="251675648" behindDoc="1" locked="0" layoutInCell="1" allowOverlap="1" wp14:anchorId="5C5FC3BF" wp14:editId="60E56AE6">
          <wp:simplePos x="0" y="0"/>
          <wp:positionH relativeFrom="margin">
            <wp:posOffset>2389187</wp:posOffset>
          </wp:positionH>
          <wp:positionV relativeFrom="page">
            <wp:align>top</wp:align>
          </wp:positionV>
          <wp:extent cx="1311275" cy="7556588"/>
          <wp:effectExtent l="0" t="0" r="0" b="4763"/>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Lightning-Background-Vector-STRIP.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1311275" cy="7556588"/>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EF" w:rsidRDefault="006215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34FA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F7EF1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BB838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7449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076E91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8AB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2EE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3CA49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1722663"/>
    <w:multiLevelType w:val="hybridMultilevel"/>
    <w:tmpl w:val="1602C150"/>
    <w:lvl w:ilvl="0" w:tplc="480EC42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4E03830"/>
    <w:multiLevelType w:val="hybridMultilevel"/>
    <w:tmpl w:val="B112A250"/>
    <w:lvl w:ilvl="0" w:tplc="BE927878">
      <w:start w:val="1"/>
      <w:numFmt w:val="lowerLetter"/>
      <w:lvlText w:val="(%1)"/>
      <w:lvlJc w:val="left"/>
      <w:pPr>
        <w:ind w:left="1080" w:hanging="360"/>
      </w:pPr>
    </w:lvl>
    <w:lvl w:ilvl="1" w:tplc="0C090003">
      <w:start w:val="1"/>
      <w:numFmt w:val="bullet"/>
      <w:lvlText w:val="o"/>
      <w:lvlJc w:val="left"/>
      <w:pPr>
        <w:ind w:left="3621" w:hanging="360"/>
      </w:pPr>
      <w:rPr>
        <w:rFonts w:ascii="Courier New" w:hAnsi="Courier New" w:cs="Courier New"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 w15:restartNumberingAfterBreak="0">
    <w:nsid w:val="08460C91"/>
    <w:multiLevelType w:val="singleLevel"/>
    <w:tmpl w:val="F6C464DE"/>
    <w:lvl w:ilvl="0">
      <w:start w:val="1"/>
      <w:numFmt w:val="bullet"/>
      <w:lvlText w:val=""/>
      <w:lvlJc w:val="left"/>
      <w:pPr>
        <w:tabs>
          <w:tab w:val="num" w:pos="360"/>
        </w:tabs>
        <w:ind w:left="144" w:hanging="144"/>
      </w:pPr>
      <w:rPr>
        <w:rFonts w:ascii="Symbol" w:hAnsi="Symbol" w:hint="default"/>
      </w:rPr>
    </w:lvl>
  </w:abstractNum>
  <w:abstractNum w:abstractNumId="11" w15:restartNumberingAfterBreak="0">
    <w:nsid w:val="08A43EA7"/>
    <w:multiLevelType w:val="hybridMultilevel"/>
    <w:tmpl w:val="83C47BDA"/>
    <w:lvl w:ilvl="0" w:tplc="33AA884E">
      <w:start w:val="1"/>
      <w:numFmt w:val="lowerRoman"/>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08AA2509"/>
    <w:multiLevelType w:val="hybridMultilevel"/>
    <w:tmpl w:val="8D6CFE1A"/>
    <w:lvl w:ilvl="0" w:tplc="BB60DAE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09133BF0"/>
    <w:multiLevelType w:val="hybridMultilevel"/>
    <w:tmpl w:val="043E1438"/>
    <w:lvl w:ilvl="0" w:tplc="191EF966">
      <w:start w:val="1"/>
      <w:numFmt w:val="decimal"/>
      <w:pStyle w:val="BodyText15"/>
      <w:lvlText w:val="15.%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98B587F"/>
    <w:multiLevelType w:val="hybridMultilevel"/>
    <w:tmpl w:val="B27A8504"/>
    <w:lvl w:ilvl="0" w:tplc="4FC8329C">
      <w:start w:val="1"/>
      <w:numFmt w:val="decimal"/>
      <w:pStyle w:val="BodyText12"/>
      <w:lvlText w:val="12.%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B6546A6"/>
    <w:multiLevelType w:val="hybridMultilevel"/>
    <w:tmpl w:val="19007D8A"/>
    <w:lvl w:ilvl="0" w:tplc="35D4899E">
      <w:start w:val="1"/>
      <w:numFmt w:val="decimal"/>
      <w:pStyle w:val="BodyText14"/>
      <w:lvlText w:val="14.%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DC02B34"/>
    <w:multiLevelType w:val="hybridMultilevel"/>
    <w:tmpl w:val="D32837DC"/>
    <w:lvl w:ilvl="0" w:tplc="4CD4C1E4">
      <w:start w:val="1"/>
      <w:numFmt w:val="decimal"/>
      <w:pStyle w:val="BodyText2"/>
      <w:lvlText w:val="2.%1"/>
      <w:lvlJc w:val="left"/>
      <w:pPr>
        <w:ind w:left="720" w:hanging="360"/>
      </w:pPr>
      <w:rPr>
        <w:rFonts w:ascii="Arial" w:hAnsi="Arial"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F0A1833"/>
    <w:multiLevelType w:val="hybridMultilevel"/>
    <w:tmpl w:val="669283A6"/>
    <w:lvl w:ilvl="0" w:tplc="E466BD6E">
      <w:start w:val="1"/>
      <w:numFmt w:val="decimal"/>
      <w:pStyle w:val="BodyText5"/>
      <w:lvlText w:val="5.%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2C56D0"/>
    <w:multiLevelType w:val="hybridMultilevel"/>
    <w:tmpl w:val="537E6912"/>
    <w:lvl w:ilvl="0" w:tplc="4F365046">
      <w:start w:val="1"/>
      <w:numFmt w:val="decimal"/>
      <w:pStyle w:val="BodyText13"/>
      <w:lvlText w:val="13.%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7221DE0"/>
    <w:multiLevelType w:val="hybridMultilevel"/>
    <w:tmpl w:val="D3F4B9A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0E3617"/>
    <w:multiLevelType w:val="hybridMultilevel"/>
    <w:tmpl w:val="78E2D1E4"/>
    <w:lvl w:ilvl="0" w:tplc="BE927878">
      <w:start w:val="1"/>
      <w:numFmt w:val="lowerLetter"/>
      <w:lvlText w:val="(%1)"/>
      <w:lvlJc w:val="left"/>
      <w:pPr>
        <w:ind w:left="1080" w:hanging="360"/>
      </w:p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1" w15:restartNumberingAfterBreak="0">
    <w:nsid w:val="25AF541A"/>
    <w:multiLevelType w:val="hybridMultilevel"/>
    <w:tmpl w:val="188ABA9E"/>
    <w:lvl w:ilvl="0" w:tplc="BE927878">
      <w:start w:val="1"/>
      <w:numFmt w:val="lowerLetter"/>
      <w:lvlText w:val="(%1)"/>
      <w:lvlJc w:val="left"/>
      <w:pPr>
        <w:ind w:left="1080" w:hanging="360"/>
      </w:pPr>
    </w:lvl>
    <w:lvl w:ilvl="1" w:tplc="C838AA7C">
      <w:start w:val="1"/>
      <w:numFmt w:val="bullet"/>
      <w:pStyle w:val="Bulletpoint"/>
      <w:lvlText w:val=""/>
      <w:lvlJc w:val="left"/>
      <w:pPr>
        <w:ind w:left="3621" w:hanging="360"/>
      </w:pPr>
      <w:rPr>
        <w:rFonts w:ascii="Symbol" w:hAnsi="Symbol"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2" w15:restartNumberingAfterBreak="0">
    <w:nsid w:val="261066DC"/>
    <w:multiLevelType w:val="multilevel"/>
    <w:tmpl w:val="8F401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761DDE"/>
    <w:multiLevelType w:val="hybridMultilevel"/>
    <w:tmpl w:val="7B2CE7F2"/>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24" w15:restartNumberingAfterBreak="0">
    <w:nsid w:val="3283167B"/>
    <w:multiLevelType w:val="hybridMultilevel"/>
    <w:tmpl w:val="C5BAE928"/>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25" w15:restartNumberingAfterBreak="0">
    <w:nsid w:val="33F3289B"/>
    <w:multiLevelType w:val="hybridMultilevel"/>
    <w:tmpl w:val="09C88EEC"/>
    <w:lvl w:ilvl="0" w:tplc="BE927878">
      <w:start w:val="1"/>
      <w:numFmt w:val="lowerLetter"/>
      <w:lvlText w:val="(%1)"/>
      <w:lvlJc w:val="left"/>
      <w:pPr>
        <w:ind w:left="1080" w:hanging="360"/>
      </w:pPr>
    </w:lvl>
    <w:lvl w:ilvl="1" w:tplc="0C090003">
      <w:start w:val="1"/>
      <w:numFmt w:val="bullet"/>
      <w:lvlText w:val="o"/>
      <w:lvlJc w:val="left"/>
      <w:pPr>
        <w:ind w:left="3621" w:hanging="360"/>
      </w:pPr>
      <w:rPr>
        <w:rFonts w:ascii="Courier New" w:hAnsi="Courier New" w:cs="Courier New"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6" w15:restartNumberingAfterBreak="0">
    <w:nsid w:val="386D620B"/>
    <w:multiLevelType w:val="hybridMultilevel"/>
    <w:tmpl w:val="D11810CE"/>
    <w:lvl w:ilvl="0" w:tplc="8F4CCB38">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28751C"/>
    <w:multiLevelType w:val="hybridMultilevel"/>
    <w:tmpl w:val="FD1A56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B2368D"/>
    <w:multiLevelType w:val="multilevel"/>
    <w:tmpl w:val="B9C2CDAE"/>
    <w:lvl w:ilvl="0">
      <w:start w:val="1"/>
      <w:numFmt w:val="decimal"/>
      <w:pStyle w:val="Heading1"/>
      <w:lvlText w:val="%1."/>
      <w:lvlJc w:val="left"/>
      <w:pPr>
        <w:ind w:left="502" w:hanging="360"/>
      </w:pPr>
      <w:rPr>
        <w:rFonts w:ascii="Arial" w:hAnsi="Arial" w:cs="Arial" w:hint="default"/>
        <w:b/>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9" w15:restartNumberingAfterBreak="0">
    <w:nsid w:val="43F14999"/>
    <w:multiLevelType w:val="hybridMultilevel"/>
    <w:tmpl w:val="FD487A36"/>
    <w:lvl w:ilvl="0" w:tplc="D190FA84">
      <w:start w:val="1"/>
      <w:numFmt w:val="decimal"/>
      <w:pStyle w:val="BodyText8"/>
      <w:lvlText w:val="8.%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7B22EBD"/>
    <w:multiLevelType w:val="multilevel"/>
    <w:tmpl w:val="16BECA42"/>
    <w:lvl w:ilvl="0">
      <w:start w:val="1"/>
      <w:numFmt w:val="decimal"/>
      <w:lvlText w:val="%1"/>
      <w:lvlJc w:val="left"/>
      <w:pPr>
        <w:ind w:left="720" w:hanging="720"/>
      </w:pPr>
      <w:rPr>
        <w:rFonts w:hint="default"/>
      </w:rPr>
    </w:lvl>
    <w:lvl w:ilvl="1">
      <w:start w:val="1"/>
      <w:numFmt w:val="decimal"/>
      <w:pStyle w:val="BodyText1"/>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8962DB"/>
    <w:multiLevelType w:val="hybridMultilevel"/>
    <w:tmpl w:val="F26A65C4"/>
    <w:lvl w:ilvl="0" w:tplc="A75028D0">
      <w:start w:val="1"/>
      <w:numFmt w:val="decimal"/>
      <w:pStyle w:val="BodyText6"/>
      <w:lvlText w:val="6.%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AEB67BE"/>
    <w:multiLevelType w:val="hybridMultilevel"/>
    <w:tmpl w:val="29703644"/>
    <w:lvl w:ilvl="0" w:tplc="48A20530">
      <w:start w:val="1"/>
      <w:numFmt w:val="decimal"/>
      <w:pStyle w:val="BodyText7"/>
      <w:lvlText w:val="7.%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8C0852"/>
    <w:multiLevelType w:val="hybridMultilevel"/>
    <w:tmpl w:val="E6DAF26C"/>
    <w:lvl w:ilvl="0" w:tplc="C742B664">
      <w:start w:val="1"/>
      <w:numFmt w:val="decimal"/>
      <w:pStyle w:val="BodyText16"/>
      <w:lvlText w:val="16.%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0481092"/>
    <w:multiLevelType w:val="hybridMultilevel"/>
    <w:tmpl w:val="F454C112"/>
    <w:lvl w:ilvl="0" w:tplc="57D60678">
      <w:start w:val="1"/>
      <w:numFmt w:val="decimal"/>
      <w:pStyle w:val="BodyText4"/>
      <w:lvlText w:val="4.%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2827A0B"/>
    <w:multiLevelType w:val="hybridMultilevel"/>
    <w:tmpl w:val="EEFAA078"/>
    <w:lvl w:ilvl="0" w:tplc="92869A98">
      <w:start w:val="1"/>
      <w:numFmt w:val="decimal"/>
      <w:pStyle w:val="BodyText9"/>
      <w:lvlText w:val="9.%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8002E93"/>
    <w:multiLevelType w:val="hybridMultilevel"/>
    <w:tmpl w:val="6BD2E8AC"/>
    <w:lvl w:ilvl="0" w:tplc="0C09000F">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96C3E95"/>
    <w:multiLevelType w:val="hybridMultilevel"/>
    <w:tmpl w:val="57ACEB4A"/>
    <w:lvl w:ilvl="0" w:tplc="8D1E4DC0">
      <w:start w:val="1"/>
      <w:numFmt w:val="lowerLetter"/>
      <w:lvlText w:val="%1."/>
      <w:lvlJc w:val="left"/>
      <w:pPr>
        <w:ind w:left="394" w:hanging="360"/>
      </w:pPr>
      <w:rPr>
        <w:rFonts w:hint="default"/>
        <w:b/>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38" w15:restartNumberingAfterBreak="0">
    <w:nsid w:val="59822A85"/>
    <w:multiLevelType w:val="hybridMultilevel"/>
    <w:tmpl w:val="8670F61A"/>
    <w:lvl w:ilvl="0" w:tplc="E61EC3A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B6A355C"/>
    <w:multiLevelType w:val="hybridMultilevel"/>
    <w:tmpl w:val="3BCA0DC8"/>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BBF75BA"/>
    <w:multiLevelType w:val="multilevel"/>
    <w:tmpl w:val="15EEBCD8"/>
    <w:lvl w:ilvl="0">
      <w:start w:val="1"/>
      <w:numFmt w:val="decimal"/>
      <w:lvlText w:val="%1."/>
      <w:lvlJc w:val="left"/>
      <w:pPr>
        <w:ind w:left="720" w:hanging="360"/>
      </w:pPr>
    </w:lvl>
    <w:lvl w:ilvl="1">
      <w:start w:val="15"/>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D566843"/>
    <w:multiLevelType w:val="hybridMultilevel"/>
    <w:tmpl w:val="375C346C"/>
    <w:lvl w:ilvl="0" w:tplc="2856D464">
      <w:start w:val="1"/>
      <w:numFmt w:val="decimal"/>
      <w:pStyle w:val="BodyText10"/>
      <w:lvlText w:val="10.%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4A26AB8"/>
    <w:multiLevelType w:val="hybridMultilevel"/>
    <w:tmpl w:val="9EB0311A"/>
    <w:lvl w:ilvl="0" w:tplc="1F904A06">
      <w:start w:val="1"/>
      <w:numFmt w:val="decimal"/>
      <w:pStyle w:val="BodyText3"/>
      <w:lvlText w:val="3.%1"/>
      <w:lvlJc w:val="left"/>
      <w:pPr>
        <w:ind w:left="720" w:hanging="360"/>
      </w:pPr>
      <w:rPr>
        <w:rFonts w:ascii="Arial" w:hAnsi="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9A22CD9"/>
    <w:multiLevelType w:val="hybridMultilevel"/>
    <w:tmpl w:val="7408C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94247D"/>
    <w:multiLevelType w:val="hybridMultilevel"/>
    <w:tmpl w:val="00CC0906"/>
    <w:lvl w:ilvl="0" w:tplc="7658800C">
      <w:start w:val="1"/>
      <w:numFmt w:val="decimal"/>
      <w:pStyle w:val="BodyText11"/>
      <w:lvlText w:val="11.%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FFD0399"/>
    <w:multiLevelType w:val="hybridMultilevel"/>
    <w:tmpl w:val="451A70AE"/>
    <w:lvl w:ilvl="0" w:tplc="BE927878">
      <w:start w:val="1"/>
      <w:numFmt w:val="lowerLetter"/>
      <w:lvlText w:val="(%1)"/>
      <w:lvlJc w:val="left"/>
      <w:pPr>
        <w:ind w:left="1080" w:hanging="360"/>
      </w:p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6" w15:restartNumberingAfterBreak="0">
    <w:nsid w:val="71BA2BA9"/>
    <w:multiLevelType w:val="hybridMultilevel"/>
    <w:tmpl w:val="589E06F6"/>
    <w:lvl w:ilvl="0" w:tplc="BE927878">
      <w:start w:val="1"/>
      <w:numFmt w:val="lowerLetter"/>
      <w:lvlText w:val="(%1)"/>
      <w:lvlJc w:val="left"/>
      <w:pPr>
        <w:ind w:left="1080" w:hanging="360"/>
      </w:p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7" w15:restartNumberingAfterBreak="0">
    <w:nsid w:val="732352B4"/>
    <w:multiLevelType w:val="hybridMultilevel"/>
    <w:tmpl w:val="F1C6F90C"/>
    <w:lvl w:ilvl="0" w:tplc="E61EC3A8">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63E0C60"/>
    <w:multiLevelType w:val="hybridMultilevel"/>
    <w:tmpl w:val="F780ACE6"/>
    <w:lvl w:ilvl="0" w:tplc="0D7A6D26">
      <w:start w:val="1"/>
      <w:numFmt w:val="decimal"/>
      <w:pStyle w:val="BodyText17"/>
      <w:lvlText w:val="17.%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7EC6003"/>
    <w:multiLevelType w:val="hybridMultilevel"/>
    <w:tmpl w:val="3BE8BF20"/>
    <w:lvl w:ilvl="0" w:tplc="BE927878">
      <w:start w:val="1"/>
      <w:numFmt w:val="lowerLetter"/>
      <w:lvlText w:val="(%1)"/>
      <w:lvlJc w:val="left"/>
      <w:pPr>
        <w:ind w:left="1080" w:hanging="360"/>
      </w:p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0" w15:restartNumberingAfterBreak="0">
    <w:nsid w:val="7E8F1ABA"/>
    <w:multiLevelType w:val="multilevel"/>
    <w:tmpl w:val="581CC4FC"/>
    <w:lvl w:ilvl="0">
      <w:start w:val="5"/>
      <w:numFmt w:val="decimal"/>
      <w:lvlText w:val="%1"/>
      <w:lvlJc w:val="left"/>
      <w:pPr>
        <w:tabs>
          <w:tab w:val="num" w:pos="720"/>
        </w:tabs>
        <w:ind w:left="720" w:hanging="360"/>
      </w:pPr>
      <w:rPr>
        <w:rFonts w:hint="default"/>
      </w:rPr>
    </w:lvl>
    <w:lvl w:ilvl="1">
      <w:start w:val="15"/>
      <w:numFmt w:val="decimal"/>
      <w:isLgl/>
      <w:lvlText w:val="%1.%2"/>
      <w:lvlJc w:val="left"/>
      <w:pPr>
        <w:tabs>
          <w:tab w:val="num" w:pos="855"/>
        </w:tabs>
        <w:ind w:left="855" w:hanging="49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1" w15:restartNumberingAfterBreak="0">
    <w:nsid w:val="7F1C33FB"/>
    <w:multiLevelType w:val="hybridMultilevel"/>
    <w:tmpl w:val="D9E82138"/>
    <w:lvl w:ilvl="0" w:tplc="BE927878">
      <w:start w:val="1"/>
      <w:numFmt w:val="lowerLetter"/>
      <w:lvlText w:val="(%1)"/>
      <w:lvlJc w:val="left"/>
      <w:pPr>
        <w:ind w:left="1080" w:hanging="360"/>
      </w:pPr>
    </w:lvl>
    <w:lvl w:ilvl="1" w:tplc="0C090003">
      <w:start w:val="1"/>
      <w:numFmt w:val="bullet"/>
      <w:lvlText w:val="o"/>
      <w:lvlJc w:val="left"/>
      <w:pPr>
        <w:ind w:left="3621" w:hanging="360"/>
      </w:pPr>
      <w:rPr>
        <w:rFonts w:ascii="Courier New" w:hAnsi="Courier New" w:cs="Courier New"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22"/>
  </w:num>
  <w:num w:numId="10">
    <w:abstractNumId w:val="10"/>
  </w:num>
  <w:num w:numId="11">
    <w:abstractNumId w:val="19"/>
  </w:num>
  <w:num w:numId="12">
    <w:abstractNumId w:val="50"/>
  </w:num>
  <w:num w:numId="13">
    <w:abstractNumId w:val="26"/>
  </w:num>
  <w:num w:numId="14">
    <w:abstractNumId w:val="11"/>
  </w:num>
  <w:num w:numId="15">
    <w:abstractNumId w:val="8"/>
  </w:num>
  <w:num w:numId="16">
    <w:abstractNumId w:val="38"/>
  </w:num>
  <w:num w:numId="17">
    <w:abstractNumId w:val="47"/>
  </w:num>
  <w:num w:numId="18">
    <w:abstractNumId w:val="27"/>
  </w:num>
  <w:num w:numId="19">
    <w:abstractNumId w:val="43"/>
  </w:num>
  <w:num w:numId="20">
    <w:abstractNumId w:val="12"/>
  </w:num>
  <w:num w:numId="21">
    <w:abstractNumId w:val="36"/>
  </w:num>
  <w:num w:numId="22">
    <w:abstractNumId w:val="39"/>
  </w:num>
  <w:num w:numId="23">
    <w:abstractNumId w:val="23"/>
  </w:num>
  <w:num w:numId="24">
    <w:abstractNumId w:val="24"/>
  </w:num>
  <w:num w:numId="25">
    <w:abstractNumId w:val="30"/>
  </w:num>
  <w:num w:numId="26">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28"/>
  </w:num>
  <w:num w:numId="29">
    <w:abstractNumId w:val="16"/>
  </w:num>
  <w:num w:numId="30">
    <w:abstractNumId w:val="42"/>
  </w:num>
  <w:num w:numId="31">
    <w:abstractNumId w:val="37"/>
  </w:num>
  <w:num w:numId="32">
    <w:abstractNumId w:val="34"/>
  </w:num>
  <w:num w:numId="33">
    <w:abstractNumId w:val="49"/>
  </w:num>
  <w:num w:numId="34">
    <w:abstractNumId w:val="17"/>
  </w:num>
  <w:num w:numId="35">
    <w:abstractNumId w:val="31"/>
  </w:num>
  <w:num w:numId="36">
    <w:abstractNumId w:val="32"/>
  </w:num>
  <w:num w:numId="37">
    <w:abstractNumId w:val="29"/>
  </w:num>
  <w:num w:numId="38">
    <w:abstractNumId w:val="35"/>
  </w:num>
  <w:num w:numId="39">
    <w:abstractNumId w:val="41"/>
  </w:num>
  <w:num w:numId="40">
    <w:abstractNumId w:val="44"/>
  </w:num>
  <w:num w:numId="41">
    <w:abstractNumId w:val="46"/>
  </w:num>
  <w:num w:numId="42">
    <w:abstractNumId w:val="14"/>
  </w:num>
  <w:num w:numId="43">
    <w:abstractNumId w:val="18"/>
  </w:num>
  <w:num w:numId="44">
    <w:abstractNumId w:val="15"/>
  </w:num>
  <w:num w:numId="45">
    <w:abstractNumId w:val="13"/>
  </w:num>
  <w:num w:numId="46">
    <w:abstractNumId w:val="33"/>
  </w:num>
  <w:num w:numId="47">
    <w:abstractNumId w:val="45"/>
  </w:num>
  <w:num w:numId="48">
    <w:abstractNumId w:val="48"/>
  </w:num>
  <w:num w:numId="49">
    <w:abstractNumId w:val="20"/>
  </w:num>
  <w:num w:numId="50">
    <w:abstractNumId w:val="9"/>
  </w:num>
  <w:num w:numId="51">
    <w:abstractNumId w:val="25"/>
  </w:num>
  <w:num w:numId="52">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TrackFormatting/>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41B"/>
    <w:rsid w:val="0001273F"/>
    <w:rsid w:val="000129C9"/>
    <w:rsid w:val="00014C15"/>
    <w:rsid w:val="00014C2B"/>
    <w:rsid w:val="00025A75"/>
    <w:rsid w:val="00032997"/>
    <w:rsid w:val="000357CF"/>
    <w:rsid w:val="0003655D"/>
    <w:rsid w:val="000534E3"/>
    <w:rsid w:val="00084614"/>
    <w:rsid w:val="0008736F"/>
    <w:rsid w:val="00090A5D"/>
    <w:rsid w:val="000D0979"/>
    <w:rsid w:val="000E15A2"/>
    <w:rsid w:val="000E209C"/>
    <w:rsid w:val="000E7589"/>
    <w:rsid w:val="0010537F"/>
    <w:rsid w:val="00106FEB"/>
    <w:rsid w:val="00117D24"/>
    <w:rsid w:val="00120702"/>
    <w:rsid w:val="001242EC"/>
    <w:rsid w:val="0012485A"/>
    <w:rsid w:val="00130001"/>
    <w:rsid w:val="00130B62"/>
    <w:rsid w:val="001433C4"/>
    <w:rsid w:val="00143767"/>
    <w:rsid w:val="001668C8"/>
    <w:rsid w:val="00167D31"/>
    <w:rsid w:val="00187696"/>
    <w:rsid w:val="001936FF"/>
    <w:rsid w:val="00197619"/>
    <w:rsid w:val="001A4BB9"/>
    <w:rsid w:val="001A7EE3"/>
    <w:rsid w:val="001B197C"/>
    <w:rsid w:val="001B37C7"/>
    <w:rsid w:val="001C2D0D"/>
    <w:rsid w:val="001D02E5"/>
    <w:rsid w:val="001D0904"/>
    <w:rsid w:val="001D622D"/>
    <w:rsid w:val="001D7092"/>
    <w:rsid w:val="001E04D9"/>
    <w:rsid w:val="00203797"/>
    <w:rsid w:val="00203AFC"/>
    <w:rsid w:val="002046B7"/>
    <w:rsid w:val="00207C8C"/>
    <w:rsid w:val="00214907"/>
    <w:rsid w:val="00243141"/>
    <w:rsid w:val="00253288"/>
    <w:rsid w:val="00253F17"/>
    <w:rsid w:val="00254D6E"/>
    <w:rsid w:val="00257F9B"/>
    <w:rsid w:val="00265AF5"/>
    <w:rsid w:val="00266116"/>
    <w:rsid w:val="0027745C"/>
    <w:rsid w:val="00277D67"/>
    <w:rsid w:val="00286F9C"/>
    <w:rsid w:val="00291429"/>
    <w:rsid w:val="002947BC"/>
    <w:rsid w:val="002A5429"/>
    <w:rsid w:val="002B7337"/>
    <w:rsid w:val="002E6475"/>
    <w:rsid w:val="003109E7"/>
    <w:rsid w:val="0031302D"/>
    <w:rsid w:val="0031760C"/>
    <w:rsid w:val="00317B80"/>
    <w:rsid w:val="003467AC"/>
    <w:rsid w:val="00347A9F"/>
    <w:rsid w:val="00352993"/>
    <w:rsid w:val="00357ACD"/>
    <w:rsid w:val="00357D4A"/>
    <w:rsid w:val="003771C2"/>
    <w:rsid w:val="0038219F"/>
    <w:rsid w:val="003875D1"/>
    <w:rsid w:val="00392EF9"/>
    <w:rsid w:val="00397600"/>
    <w:rsid w:val="003B42EC"/>
    <w:rsid w:val="003D3BCD"/>
    <w:rsid w:val="003E5811"/>
    <w:rsid w:val="003F4549"/>
    <w:rsid w:val="003F5A6E"/>
    <w:rsid w:val="003F702E"/>
    <w:rsid w:val="004125A1"/>
    <w:rsid w:val="0041501F"/>
    <w:rsid w:val="00422F7F"/>
    <w:rsid w:val="00424978"/>
    <w:rsid w:val="00424ABD"/>
    <w:rsid w:val="00425183"/>
    <w:rsid w:val="004262BC"/>
    <w:rsid w:val="00427669"/>
    <w:rsid w:val="00437951"/>
    <w:rsid w:val="0044260B"/>
    <w:rsid w:val="00447ABE"/>
    <w:rsid w:val="00451C99"/>
    <w:rsid w:val="00467D79"/>
    <w:rsid w:val="00467E89"/>
    <w:rsid w:val="00472F22"/>
    <w:rsid w:val="00477E70"/>
    <w:rsid w:val="00486E02"/>
    <w:rsid w:val="00491B8D"/>
    <w:rsid w:val="00492EB4"/>
    <w:rsid w:val="004A5BE6"/>
    <w:rsid w:val="004C5AD5"/>
    <w:rsid w:val="004C75C9"/>
    <w:rsid w:val="004D0903"/>
    <w:rsid w:val="004E276D"/>
    <w:rsid w:val="004E72EB"/>
    <w:rsid w:val="004F64A0"/>
    <w:rsid w:val="004F6BF6"/>
    <w:rsid w:val="00501C6C"/>
    <w:rsid w:val="005167EA"/>
    <w:rsid w:val="005221BE"/>
    <w:rsid w:val="0052296E"/>
    <w:rsid w:val="00527BD6"/>
    <w:rsid w:val="005330F2"/>
    <w:rsid w:val="005347F7"/>
    <w:rsid w:val="00535AFE"/>
    <w:rsid w:val="00536C32"/>
    <w:rsid w:val="00543DCA"/>
    <w:rsid w:val="00545EB7"/>
    <w:rsid w:val="00551741"/>
    <w:rsid w:val="00552E83"/>
    <w:rsid w:val="00555C75"/>
    <w:rsid w:val="00564D1A"/>
    <w:rsid w:val="0057644C"/>
    <w:rsid w:val="00583809"/>
    <w:rsid w:val="00583BDE"/>
    <w:rsid w:val="00586303"/>
    <w:rsid w:val="00596441"/>
    <w:rsid w:val="005A1714"/>
    <w:rsid w:val="005A1E1E"/>
    <w:rsid w:val="005A5204"/>
    <w:rsid w:val="005B49F3"/>
    <w:rsid w:val="005C281B"/>
    <w:rsid w:val="005C5198"/>
    <w:rsid w:val="005C7DC9"/>
    <w:rsid w:val="005D2C6E"/>
    <w:rsid w:val="005D5DC5"/>
    <w:rsid w:val="005D6D02"/>
    <w:rsid w:val="005F4263"/>
    <w:rsid w:val="00600B9B"/>
    <w:rsid w:val="006110C3"/>
    <w:rsid w:val="00613E44"/>
    <w:rsid w:val="00621229"/>
    <w:rsid w:val="006215EF"/>
    <w:rsid w:val="006441E7"/>
    <w:rsid w:val="00646E47"/>
    <w:rsid w:val="00650F5B"/>
    <w:rsid w:val="00657EC5"/>
    <w:rsid w:val="00674801"/>
    <w:rsid w:val="0068162F"/>
    <w:rsid w:val="00684FCF"/>
    <w:rsid w:val="0069574F"/>
    <w:rsid w:val="006B0558"/>
    <w:rsid w:val="006B1515"/>
    <w:rsid w:val="006B656F"/>
    <w:rsid w:val="006C341F"/>
    <w:rsid w:val="006D4037"/>
    <w:rsid w:val="006D6635"/>
    <w:rsid w:val="006E2E4F"/>
    <w:rsid w:val="006E7CA0"/>
    <w:rsid w:val="006F0E08"/>
    <w:rsid w:val="006F79E6"/>
    <w:rsid w:val="00705807"/>
    <w:rsid w:val="00715BFE"/>
    <w:rsid w:val="007334CC"/>
    <w:rsid w:val="00736606"/>
    <w:rsid w:val="00741EC9"/>
    <w:rsid w:val="00761FB3"/>
    <w:rsid w:val="00763E68"/>
    <w:rsid w:val="00773426"/>
    <w:rsid w:val="00773899"/>
    <w:rsid w:val="00777679"/>
    <w:rsid w:val="00781113"/>
    <w:rsid w:val="0079127F"/>
    <w:rsid w:val="00793D05"/>
    <w:rsid w:val="0079701C"/>
    <w:rsid w:val="007A0CF8"/>
    <w:rsid w:val="007A117D"/>
    <w:rsid w:val="007A28BD"/>
    <w:rsid w:val="007A3AA7"/>
    <w:rsid w:val="007B23EF"/>
    <w:rsid w:val="007B252E"/>
    <w:rsid w:val="007C652A"/>
    <w:rsid w:val="007D1D0C"/>
    <w:rsid w:val="007D1E96"/>
    <w:rsid w:val="007D2396"/>
    <w:rsid w:val="007D332F"/>
    <w:rsid w:val="007F6B5E"/>
    <w:rsid w:val="00802CA9"/>
    <w:rsid w:val="008066EE"/>
    <w:rsid w:val="0081060E"/>
    <w:rsid w:val="008148CB"/>
    <w:rsid w:val="00814FF4"/>
    <w:rsid w:val="00816A90"/>
    <w:rsid w:val="0082044D"/>
    <w:rsid w:val="00824177"/>
    <w:rsid w:val="00842DCA"/>
    <w:rsid w:val="00845A9F"/>
    <w:rsid w:val="00851BFB"/>
    <w:rsid w:val="00853745"/>
    <w:rsid w:val="008820C2"/>
    <w:rsid w:val="00891DEE"/>
    <w:rsid w:val="008A32B9"/>
    <w:rsid w:val="008A3500"/>
    <w:rsid w:val="008B043B"/>
    <w:rsid w:val="008B1B53"/>
    <w:rsid w:val="008B26A4"/>
    <w:rsid w:val="008C19E6"/>
    <w:rsid w:val="008C3DED"/>
    <w:rsid w:val="008D2839"/>
    <w:rsid w:val="008D4373"/>
    <w:rsid w:val="008F42E9"/>
    <w:rsid w:val="0090101D"/>
    <w:rsid w:val="00902520"/>
    <w:rsid w:val="00902591"/>
    <w:rsid w:val="009061A1"/>
    <w:rsid w:val="0091424D"/>
    <w:rsid w:val="009418BE"/>
    <w:rsid w:val="009571ED"/>
    <w:rsid w:val="0096042E"/>
    <w:rsid w:val="00966570"/>
    <w:rsid w:val="00972D2F"/>
    <w:rsid w:val="00975CD0"/>
    <w:rsid w:val="00980036"/>
    <w:rsid w:val="00992E76"/>
    <w:rsid w:val="00993784"/>
    <w:rsid w:val="009976A6"/>
    <w:rsid w:val="009A5449"/>
    <w:rsid w:val="009A61B3"/>
    <w:rsid w:val="009B089D"/>
    <w:rsid w:val="009B0A18"/>
    <w:rsid w:val="009B1D74"/>
    <w:rsid w:val="009B36F9"/>
    <w:rsid w:val="009B3943"/>
    <w:rsid w:val="009B3D68"/>
    <w:rsid w:val="009C58EA"/>
    <w:rsid w:val="009C7186"/>
    <w:rsid w:val="009D4068"/>
    <w:rsid w:val="009D46CC"/>
    <w:rsid w:val="009D5931"/>
    <w:rsid w:val="009E053F"/>
    <w:rsid w:val="009E1CE7"/>
    <w:rsid w:val="009F4601"/>
    <w:rsid w:val="009F591B"/>
    <w:rsid w:val="00A10CBD"/>
    <w:rsid w:val="00A11883"/>
    <w:rsid w:val="00A125F9"/>
    <w:rsid w:val="00A16521"/>
    <w:rsid w:val="00A244AF"/>
    <w:rsid w:val="00A30D42"/>
    <w:rsid w:val="00A314EF"/>
    <w:rsid w:val="00A40F68"/>
    <w:rsid w:val="00A42ACE"/>
    <w:rsid w:val="00A43389"/>
    <w:rsid w:val="00A434CA"/>
    <w:rsid w:val="00A47C49"/>
    <w:rsid w:val="00A51088"/>
    <w:rsid w:val="00A55ED8"/>
    <w:rsid w:val="00A64CF2"/>
    <w:rsid w:val="00A8034B"/>
    <w:rsid w:val="00A838DC"/>
    <w:rsid w:val="00A8477B"/>
    <w:rsid w:val="00A85741"/>
    <w:rsid w:val="00A86E9A"/>
    <w:rsid w:val="00A87F22"/>
    <w:rsid w:val="00A93C56"/>
    <w:rsid w:val="00A94D50"/>
    <w:rsid w:val="00A97FD5"/>
    <w:rsid w:val="00AA3601"/>
    <w:rsid w:val="00AA37B9"/>
    <w:rsid w:val="00AA55C7"/>
    <w:rsid w:val="00AC08F9"/>
    <w:rsid w:val="00AF34C6"/>
    <w:rsid w:val="00AF5A78"/>
    <w:rsid w:val="00B0043B"/>
    <w:rsid w:val="00B05ADB"/>
    <w:rsid w:val="00B10985"/>
    <w:rsid w:val="00B11E11"/>
    <w:rsid w:val="00B13671"/>
    <w:rsid w:val="00B222A1"/>
    <w:rsid w:val="00B2533B"/>
    <w:rsid w:val="00B25F77"/>
    <w:rsid w:val="00B502AA"/>
    <w:rsid w:val="00B537BF"/>
    <w:rsid w:val="00B557A5"/>
    <w:rsid w:val="00B67C22"/>
    <w:rsid w:val="00B71C34"/>
    <w:rsid w:val="00B72D84"/>
    <w:rsid w:val="00B8370E"/>
    <w:rsid w:val="00B847DF"/>
    <w:rsid w:val="00B86854"/>
    <w:rsid w:val="00BA1EB2"/>
    <w:rsid w:val="00BA3794"/>
    <w:rsid w:val="00BA44FA"/>
    <w:rsid w:val="00BB678A"/>
    <w:rsid w:val="00BC0137"/>
    <w:rsid w:val="00BC12DE"/>
    <w:rsid w:val="00BD291D"/>
    <w:rsid w:val="00BE4C13"/>
    <w:rsid w:val="00BE6E53"/>
    <w:rsid w:val="00BE7C54"/>
    <w:rsid w:val="00BF09FF"/>
    <w:rsid w:val="00BF1849"/>
    <w:rsid w:val="00BF4E25"/>
    <w:rsid w:val="00BF5AC6"/>
    <w:rsid w:val="00BF64B0"/>
    <w:rsid w:val="00C02784"/>
    <w:rsid w:val="00C158D6"/>
    <w:rsid w:val="00C41770"/>
    <w:rsid w:val="00C45059"/>
    <w:rsid w:val="00C477EE"/>
    <w:rsid w:val="00C50086"/>
    <w:rsid w:val="00C563EE"/>
    <w:rsid w:val="00C5737A"/>
    <w:rsid w:val="00C61FD5"/>
    <w:rsid w:val="00C6306B"/>
    <w:rsid w:val="00C63454"/>
    <w:rsid w:val="00C76DCF"/>
    <w:rsid w:val="00C8120B"/>
    <w:rsid w:val="00CD2A1E"/>
    <w:rsid w:val="00CD32C2"/>
    <w:rsid w:val="00CD4006"/>
    <w:rsid w:val="00CF53CB"/>
    <w:rsid w:val="00CF73A3"/>
    <w:rsid w:val="00D05542"/>
    <w:rsid w:val="00D07968"/>
    <w:rsid w:val="00D135A5"/>
    <w:rsid w:val="00D1454D"/>
    <w:rsid w:val="00D35F41"/>
    <w:rsid w:val="00D36CD0"/>
    <w:rsid w:val="00D4445B"/>
    <w:rsid w:val="00D5194E"/>
    <w:rsid w:val="00D63B49"/>
    <w:rsid w:val="00D667FF"/>
    <w:rsid w:val="00D70A90"/>
    <w:rsid w:val="00D76748"/>
    <w:rsid w:val="00D8141B"/>
    <w:rsid w:val="00D8403A"/>
    <w:rsid w:val="00D9496F"/>
    <w:rsid w:val="00DB153B"/>
    <w:rsid w:val="00DC2B23"/>
    <w:rsid w:val="00DC6825"/>
    <w:rsid w:val="00DD336A"/>
    <w:rsid w:val="00DD59F6"/>
    <w:rsid w:val="00DD67AF"/>
    <w:rsid w:val="00DE1660"/>
    <w:rsid w:val="00DE1F03"/>
    <w:rsid w:val="00DF063D"/>
    <w:rsid w:val="00DF5E85"/>
    <w:rsid w:val="00DF788A"/>
    <w:rsid w:val="00E02F45"/>
    <w:rsid w:val="00E14F27"/>
    <w:rsid w:val="00E2208F"/>
    <w:rsid w:val="00E25407"/>
    <w:rsid w:val="00E34D65"/>
    <w:rsid w:val="00E34F8F"/>
    <w:rsid w:val="00E36172"/>
    <w:rsid w:val="00E471C7"/>
    <w:rsid w:val="00E51D72"/>
    <w:rsid w:val="00E52FAF"/>
    <w:rsid w:val="00E6762B"/>
    <w:rsid w:val="00E67753"/>
    <w:rsid w:val="00E74756"/>
    <w:rsid w:val="00E80BE5"/>
    <w:rsid w:val="00E860AB"/>
    <w:rsid w:val="00EA0301"/>
    <w:rsid w:val="00EA3451"/>
    <w:rsid w:val="00EC2E94"/>
    <w:rsid w:val="00EC3105"/>
    <w:rsid w:val="00ED154A"/>
    <w:rsid w:val="00EE71DF"/>
    <w:rsid w:val="00EF3D5C"/>
    <w:rsid w:val="00F02613"/>
    <w:rsid w:val="00F04C11"/>
    <w:rsid w:val="00F06162"/>
    <w:rsid w:val="00F1270D"/>
    <w:rsid w:val="00F15823"/>
    <w:rsid w:val="00F329EB"/>
    <w:rsid w:val="00F3391E"/>
    <w:rsid w:val="00F37A82"/>
    <w:rsid w:val="00F432D3"/>
    <w:rsid w:val="00F45BC8"/>
    <w:rsid w:val="00F63170"/>
    <w:rsid w:val="00F72249"/>
    <w:rsid w:val="00F8090A"/>
    <w:rsid w:val="00F81C40"/>
    <w:rsid w:val="00F95353"/>
    <w:rsid w:val="00F96848"/>
    <w:rsid w:val="00FA083B"/>
    <w:rsid w:val="00FA2F6D"/>
    <w:rsid w:val="00FA33FF"/>
    <w:rsid w:val="00FA4E18"/>
    <w:rsid w:val="00FA5A29"/>
    <w:rsid w:val="00FA5FB5"/>
    <w:rsid w:val="00FB2C4E"/>
    <w:rsid w:val="00FB3CEC"/>
    <w:rsid w:val="00FB3FA4"/>
    <w:rsid w:val="00FC03FD"/>
    <w:rsid w:val="00FF3CB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F983A40-DB71-488C-836C-2494DE562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1C2"/>
    <w:rPr>
      <w:rFonts w:ascii="Arial" w:hAnsi="Arial"/>
    </w:rPr>
  </w:style>
  <w:style w:type="paragraph" w:styleId="Heading1">
    <w:name w:val="heading 1"/>
    <w:basedOn w:val="ListParagraph"/>
    <w:next w:val="Normal"/>
    <w:link w:val="Heading1Char"/>
    <w:qFormat/>
    <w:rsid w:val="00F02613"/>
    <w:pPr>
      <w:numPr>
        <w:numId w:val="28"/>
      </w:numPr>
      <w:tabs>
        <w:tab w:val="left" w:pos="567"/>
      </w:tabs>
      <w:spacing w:after="360"/>
      <w:ind w:left="720"/>
      <w:outlineLvl w:val="0"/>
    </w:pPr>
    <w:rPr>
      <w:b/>
      <w:noProof/>
      <w:sz w:val="32"/>
      <w:lang w:val="en-AU" w:eastAsia="en-AU"/>
    </w:rPr>
  </w:style>
  <w:style w:type="paragraph" w:styleId="Heading2">
    <w:name w:val="heading 2"/>
    <w:basedOn w:val="Normal"/>
    <w:next w:val="Normal"/>
    <w:link w:val="Heading2Char"/>
    <w:qFormat/>
    <w:rsid w:val="008C19E6"/>
    <w:pPr>
      <w:keepNext/>
      <w:spacing w:before="360" w:after="240" w:line="240" w:lineRule="auto"/>
      <w:outlineLvl w:val="1"/>
    </w:pPr>
    <w:rPr>
      <w:rFonts w:eastAsia="Times New Roman" w:cs="Times New Roman"/>
      <w:b/>
      <w:sz w:val="26"/>
      <w:szCs w:val="20"/>
      <w:lang w:val="en-US"/>
    </w:rPr>
  </w:style>
  <w:style w:type="paragraph" w:styleId="Heading3">
    <w:name w:val="heading 3"/>
    <w:basedOn w:val="Normal"/>
    <w:next w:val="Normal"/>
    <w:link w:val="Heading3Char"/>
    <w:qFormat/>
    <w:rsid w:val="008C19E6"/>
    <w:pPr>
      <w:keepNext/>
      <w:spacing w:before="300" w:line="240" w:lineRule="auto"/>
      <w:outlineLvl w:val="2"/>
    </w:pPr>
    <w:rPr>
      <w:rFonts w:eastAsia="Times New Roman" w:cs="Times New Roman"/>
      <w:b/>
      <w:sz w:val="26"/>
      <w:szCs w:val="20"/>
      <w:lang w:val="en-US"/>
    </w:rPr>
  </w:style>
  <w:style w:type="paragraph" w:styleId="Heading4">
    <w:name w:val="heading 4"/>
    <w:basedOn w:val="Heading3"/>
    <w:next w:val="Normal"/>
    <w:link w:val="Heading4Char"/>
    <w:qFormat/>
    <w:rsid w:val="00D8141B"/>
    <w:pPr>
      <w:tabs>
        <w:tab w:val="left" w:pos="720"/>
      </w:tabs>
      <w:spacing w:after="120"/>
      <w:outlineLvl w:val="3"/>
    </w:pPr>
    <w:rPr>
      <w:rFonts w:ascii="TradeGothic Bold" w:hAnsi="TradeGothic Bold"/>
      <w:sz w:val="24"/>
      <w:lang w:val="en-GB"/>
    </w:rPr>
  </w:style>
  <w:style w:type="paragraph" w:styleId="Heading5">
    <w:name w:val="heading 5"/>
    <w:basedOn w:val="Normal"/>
    <w:next w:val="Normal"/>
    <w:link w:val="Heading5Char"/>
    <w:qFormat/>
    <w:rsid w:val="00D8141B"/>
    <w:pPr>
      <w:keepNext/>
      <w:spacing w:after="0" w:line="240" w:lineRule="auto"/>
      <w:ind w:left="851" w:hanging="851"/>
      <w:outlineLvl w:val="4"/>
    </w:pPr>
    <w:rPr>
      <w:rFonts w:eastAsia="Times New Roman" w:cs="Arial"/>
      <w:b/>
      <w:bCs/>
      <w:sz w:val="24"/>
      <w:szCs w:val="20"/>
      <w:lang w:val="en-US"/>
    </w:rPr>
  </w:style>
  <w:style w:type="paragraph" w:styleId="Heading6">
    <w:name w:val="heading 6"/>
    <w:basedOn w:val="Normal"/>
    <w:next w:val="Normal"/>
    <w:link w:val="Heading6Char"/>
    <w:qFormat/>
    <w:rsid w:val="00D8141B"/>
    <w:pPr>
      <w:keepNext/>
      <w:spacing w:after="0" w:line="240" w:lineRule="auto"/>
      <w:outlineLvl w:val="5"/>
    </w:pPr>
    <w:rPr>
      <w:rFonts w:eastAsia="Times New Roman" w:cs="Arial"/>
      <w:b/>
      <w:bCs/>
      <w:sz w:val="24"/>
      <w:szCs w:val="20"/>
      <w:lang w:val="en-US"/>
    </w:rPr>
  </w:style>
  <w:style w:type="paragraph" w:styleId="Heading7">
    <w:name w:val="heading 7"/>
    <w:basedOn w:val="Normal"/>
    <w:next w:val="Normal"/>
    <w:link w:val="Heading7Char"/>
    <w:qFormat/>
    <w:rsid w:val="00D8141B"/>
    <w:pPr>
      <w:keepNext/>
      <w:spacing w:after="160" w:line="260" w:lineRule="exact"/>
      <w:ind w:right="-192"/>
      <w:jc w:val="both"/>
      <w:outlineLvl w:val="6"/>
    </w:pPr>
    <w:rPr>
      <w:rFonts w:ascii="TradeGothic" w:eastAsia="Times New Roman" w:hAnsi="TradeGothic" w:cs="Times New Roman"/>
      <w:b/>
      <w:bCs/>
      <w:sz w:val="28"/>
      <w:szCs w:val="20"/>
      <w:lang w:val="en-GB"/>
    </w:rPr>
  </w:style>
  <w:style w:type="paragraph" w:styleId="Heading8">
    <w:name w:val="heading 8"/>
    <w:basedOn w:val="Normal"/>
    <w:next w:val="Normal"/>
    <w:link w:val="Heading8Char"/>
    <w:qFormat/>
    <w:rsid w:val="00D8141B"/>
    <w:pPr>
      <w:keepNext/>
      <w:spacing w:after="160" w:line="480" w:lineRule="auto"/>
      <w:outlineLvl w:val="7"/>
    </w:pPr>
    <w:rPr>
      <w:rFonts w:ascii="Times New Roman" w:eastAsia="Times New Roman" w:hAnsi="Times New Roman" w:cs="Times New Roman"/>
      <w:b/>
      <w:sz w:val="28"/>
      <w:szCs w:val="20"/>
      <w:lang w:val="en-GB"/>
    </w:rPr>
  </w:style>
  <w:style w:type="paragraph" w:styleId="Heading9">
    <w:name w:val="heading 9"/>
    <w:basedOn w:val="Normal"/>
    <w:next w:val="Normal"/>
    <w:link w:val="Heading9Char"/>
    <w:qFormat/>
    <w:rsid w:val="00D8141B"/>
    <w:pPr>
      <w:keepNext/>
      <w:spacing w:after="0" w:line="240" w:lineRule="auto"/>
      <w:outlineLvl w:val="8"/>
    </w:pPr>
    <w:rPr>
      <w:rFonts w:eastAsia="Times New Roman" w:cs="Arial"/>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613"/>
    <w:rPr>
      <w:rFonts w:ascii="Arial" w:eastAsia="Times New Roman" w:hAnsi="Arial" w:cs="Times New Roman"/>
      <w:b/>
      <w:noProof/>
      <w:sz w:val="32"/>
      <w:szCs w:val="20"/>
      <w:lang w:eastAsia="en-AU"/>
    </w:rPr>
  </w:style>
  <w:style w:type="character" w:customStyle="1" w:styleId="Heading2Char">
    <w:name w:val="Heading 2 Char"/>
    <w:basedOn w:val="DefaultParagraphFont"/>
    <w:link w:val="Heading2"/>
    <w:rsid w:val="008C19E6"/>
    <w:rPr>
      <w:rFonts w:ascii="Arial" w:eastAsia="Times New Roman" w:hAnsi="Arial" w:cs="Times New Roman"/>
      <w:b/>
      <w:sz w:val="26"/>
      <w:szCs w:val="20"/>
      <w:lang w:val="en-US"/>
    </w:rPr>
  </w:style>
  <w:style w:type="character" w:customStyle="1" w:styleId="Heading3Char">
    <w:name w:val="Heading 3 Char"/>
    <w:basedOn w:val="DefaultParagraphFont"/>
    <w:link w:val="Heading3"/>
    <w:rsid w:val="008C19E6"/>
    <w:rPr>
      <w:rFonts w:ascii="Arial" w:eastAsia="Times New Roman" w:hAnsi="Arial" w:cs="Times New Roman"/>
      <w:b/>
      <w:sz w:val="26"/>
      <w:szCs w:val="20"/>
      <w:lang w:val="en-US"/>
    </w:rPr>
  </w:style>
  <w:style w:type="character" w:customStyle="1" w:styleId="Heading4Char">
    <w:name w:val="Heading 4 Char"/>
    <w:basedOn w:val="DefaultParagraphFont"/>
    <w:link w:val="Heading4"/>
    <w:rsid w:val="00D8141B"/>
    <w:rPr>
      <w:rFonts w:ascii="TradeGothic Bold" w:eastAsia="Times New Roman" w:hAnsi="TradeGothic Bold" w:cs="Times New Roman"/>
      <w:sz w:val="24"/>
      <w:szCs w:val="20"/>
      <w:lang w:val="en-GB"/>
    </w:rPr>
  </w:style>
  <w:style w:type="character" w:customStyle="1" w:styleId="Heading5Char">
    <w:name w:val="Heading 5 Char"/>
    <w:basedOn w:val="DefaultParagraphFont"/>
    <w:link w:val="Heading5"/>
    <w:rsid w:val="00D8141B"/>
    <w:rPr>
      <w:rFonts w:ascii="Arial" w:eastAsia="Times New Roman" w:hAnsi="Arial" w:cs="Arial"/>
      <w:b/>
      <w:bCs/>
      <w:sz w:val="24"/>
      <w:szCs w:val="20"/>
      <w:lang w:val="en-US"/>
    </w:rPr>
  </w:style>
  <w:style w:type="character" w:customStyle="1" w:styleId="Heading6Char">
    <w:name w:val="Heading 6 Char"/>
    <w:basedOn w:val="DefaultParagraphFont"/>
    <w:link w:val="Heading6"/>
    <w:rsid w:val="00D8141B"/>
    <w:rPr>
      <w:rFonts w:ascii="Arial" w:eastAsia="Times New Roman" w:hAnsi="Arial" w:cs="Arial"/>
      <w:b/>
      <w:bCs/>
      <w:sz w:val="24"/>
      <w:szCs w:val="20"/>
      <w:lang w:val="en-US"/>
    </w:rPr>
  </w:style>
  <w:style w:type="character" w:customStyle="1" w:styleId="Heading7Char">
    <w:name w:val="Heading 7 Char"/>
    <w:basedOn w:val="DefaultParagraphFont"/>
    <w:link w:val="Heading7"/>
    <w:rsid w:val="00D8141B"/>
    <w:rPr>
      <w:rFonts w:ascii="TradeGothic" w:eastAsia="Times New Roman" w:hAnsi="TradeGothic" w:cs="Times New Roman"/>
      <w:b/>
      <w:bCs/>
      <w:sz w:val="28"/>
      <w:szCs w:val="20"/>
      <w:lang w:val="en-GB"/>
    </w:rPr>
  </w:style>
  <w:style w:type="character" w:customStyle="1" w:styleId="Heading8Char">
    <w:name w:val="Heading 8 Char"/>
    <w:basedOn w:val="DefaultParagraphFont"/>
    <w:link w:val="Heading8"/>
    <w:rsid w:val="00D8141B"/>
    <w:rPr>
      <w:rFonts w:ascii="Times New Roman" w:eastAsia="Times New Roman" w:hAnsi="Times New Roman" w:cs="Times New Roman"/>
      <w:b/>
      <w:sz w:val="28"/>
      <w:szCs w:val="20"/>
      <w:lang w:val="en-GB"/>
    </w:rPr>
  </w:style>
  <w:style w:type="character" w:customStyle="1" w:styleId="Heading9Char">
    <w:name w:val="Heading 9 Char"/>
    <w:basedOn w:val="DefaultParagraphFont"/>
    <w:link w:val="Heading9"/>
    <w:rsid w:val="00D8141B"/>
    <w:rPr>
      <w:rFonts w:ascii="Arial" w:eastAsia="Times New Roman" w:hAnsi="Arial" w:cs="Arial"/>
      <w:b/>
      <w:bCs/>
      <w:szCs w:val="20"/>
      <w:lang w:val="en-US"/>
    </w:rPr>
  </w:style>
  <w:style w:type="numbering" w:customStyle="1" w:styleId="NoList1">
    <w:name w:val="No List1"/>
    <w:next w:val="NoList"/>
    <w:uiPriority w:val="99"/>
    <w:semiHidden/>
    <w:unhideWhenUsed/>
    <w:rsid w:val="00D8141B"/>
  </w:style>
  <w:style w:type="paragraph" w:styleId="BodyText">
    <w:name w:val="Body Text"/>
    <w:basedOn w:val="Normal"/>
    <w:link w:val="BodyTextChar"/>
    <w:semiHidden/>
    <w:rsid w:val="00D8141B"/>
    <w:pPr>
      <w:spacing w:after="160" w:line="260" w:lineRule="exact"/>
    </w:pPr>
    <w:rPr>
      <w:rFonts w:ascii="TradeGothic" w:eastAsia="Times New Roman" w:hAnsi="TradeGothic" w:cs="Times New Roman"/>
      <w:b/>
      <w:bCs/>
      <w:szCs w:val="20"/>
      <w:lang w:val="en-GB"/>
    </w:rPr>
  </w:style>
  <w:style w:type="character" w:customStyle="1" w:styleId="BodyTextChar">
    <w:name w:val="Body Text Char"/>
    <w:basedOn w:val="DefaultParagraphFont"/>
    <w:link w:val="BodyText"/>
    <w:semiHidden/>
    <w:rsid w:val="00D8141B"/>
    <w:rPr>
      <w:rFonts w:ascii="TradeGothic" w:eastAsia="Times New Roman" w:hAnsi="TradeGothic" w:cs="Times New Roman"/>
      <w:b/>
      <w:bCs/>
      <w:szCs w:val="20"/>
      <w:lang w:val="en-GB"/>
    </w:rPr>
  </w:style>
  <w:style w:type="character" w:styleId="Hyperlink">
    <w:name w:val="Hyperlink"/>
    <w:basedOn w:val="DefaultParagraphFont"/>
    <w:uiPriority w:val="99"/>
    <w:rsid w:val="00D8141B"/>
    <w:rPr>
      <w:color w:val="0000FF"/>
      <w:u w:val="single"/>
    </w:rPr>
  </w:style>
  <w:style w:type="paragraph" w:styleId="BodyTextIndent3">
    <w:name w:val="Body Text Indent 3"/>
    <w:basedOn w:val="Normal"/>
    <w:link w:val="BodyTextIndent3Char"/>
    <w:semiHidden/>
    <w:rsid w:val="00D8141B"/>
    <w:pPr>
      <w:spacing w:after="160" w:line="480" w:lineRule="auto"/>
      <w:ind w:left="720" w:hanging="720"/>
      <w:jc w:val="both"/>
    </w:pPr>
    <w:rPr>
      <w:rFonts w:ascii="Times New Roman" w:eastAsia="Times New Roman" w:hAnsi="Times New Roman" w:cs="Times New Roman"/>
      <w:szCs w:val="20"/>
      <w:lang w:val="en-GB"/>
    </w:rPr>
  </w:style>
  <w:style w:type="character" w:customStyle="1" w:styleId="BodyTextIndent3Char">
    <w:name w:val="Body Text Indent 3 Char"/>
    <w:basedOn w:val="DefaultParagraphFont"/>
    <w:link w:val="BodyTextIndent3"/>
    <w:semiHidden/>
    <w:rsid w:val="00D8141B"/>
    <w:rPr>
      <w:rFonts w:ascii="Times New Roman" w:eastAsia="Times New Roman" w:hAnsi="Times New Roman" w:cs="Times New Roman"/>
      <w:szCs w:val="20"/>
      <w:lang w:val="en-GB"/>
    </w:rPr>
  </w:style>
  <w:style w:type="paragraph" w:styleId="ListBullet">
    <w:name w:val="List Bullet"/>
    <w:basedOn w:val="Normal"/>
    <w:semiHidden/>
    <w:rsid w:val="00D8141B"/>
    <w:pPr>
      <w:keepLines/>
      <w:tabs>
        <w:tab w:val="left" w:pos="720"/>
      </w:tabs>
      <w:spacing w:after="80" w:line="260" w:lineRule="exact"/>
    </w:pPr>
    <w:rPr>
      <w:rFonts w:ascii="TradeGothic" w:eastAsia="Times New Roman" w:hAnsi="TradeGothic" w:cs="Times New Roman"/>
      <w:szCs w:val="20"/>
      <w:lang w:val="en-GB"/>
    </w:rPr>
  </w:style>
  <w:style w:type="paragraph" w:customStyle="1" w:styleId="Normafterbullet">
    <w:name w:val="Normafterbullet"/>
    <w:basedOn w:val="Normal"/>
    <w:next w:val="Normal"/>
    <w:rsid w:val="00D8141B"/>
    <w:pPr>
      <w:spacing w:before="120" w:after="160" w:line="260" w:lineRule="exact"/>
    </w:pPr>
    <w:rPr>
      <w:rFonts w:ascii="TradeGothic" w:eastAsia="Times New Roman" w:hAnsi="TradeGothic" w:cs="Times New Roman"/>
      <w:szCs w:val="20"/>
      <w:lang w:val="en-GB"/>
    </w:rPr>
  </w:style>
  <w:style w:type="paragraph" w:styleId="BodyTextIndent">
    <w:name w:val="Body Text Indent"/>
    <w:basedOn w:val="Normal"/>
    <w:link w:val="BodyTextIndentChar"/>
    <w:semiHidden/>
    <w:rsid w:val="00D8141B"/>
    <w:pPr>
      <w:spacing w:after="0" w:line="240" w:lineRule="auto"/>
      <w:ind w:left="550" w:hanging="550"/>
    </w:pPr>
    <w:rPr>
      <w:rFonts w:eastAsia="Times New Roman" w:cs="Arial"/>
      <w:sz w:val="24"/>
      <w:szCs w:val="20"/>
      <w:lang w:val="en-US"/>
    </w:rPr>
  </w:style>
  <w:style w:type="character" w:customStyle="1" w:styleId="BodyTextIndentChar">
    <w:name w:val="Body Text Indent Char"/>
    <w:basedOn w:val="DefaultParagraphFont"/>
    <w:link w:val="BodyTextIndent"/>
    <w:semiHidden/>
    <w:rsid w:val="00D8141B"/>
    <w:rPr>
      <w:rFonts w:ascii="Arial" w:eastAsia="Times New Roman" w:hAnsi="Arial" w:cs="Arial"/>
      <w:sz w:val="24"/>
      <w:szCs w:val="20"/>
      <w:lang w:val="en-US"/>
    </w:rPr>
  </w:style>
  <w:style w:type="paragraph" w:styleId="BodyTextIndent2">
    <w:name w:val="Body Text Indent 2"/>
    <w:basedOn w:val="Normal"/>
    <w:link w:val="BodyTextIndent2Char"/>
    <w:semiHidden/>
    <w:rsid w:val="00D8141B"/>
    <w:pPr>
      <w:spacing w:after="0" w:line="240" w:lineRule="auto"/>
      <w:ind w:left="851" w:hanging="851"/>
    </w:pPr>
    <w:rPr>
      <w:rFonts w:eastAsia="Times New Roman" w:cs="Arial"/>
      <w:sz w:val="24"/>
      <w:szCs w:val="20"/>
      <w:lang w:val="en-US"/>
    </w:rPr>
  </w:style>
  <w:style w:type="character" w:customStyle="1" w:styleId="BodyTextIndent2Char">
    <w:name w:val="Body Text Indent 2 Char"/>
    <w:basedOn w:val="DefaultParagraphFont"/>
    <w:link w:val="BodyTextIndent2"/>
    <w:semiHidden/>
    <w:rsid w:val="00D8141B"/>
    <w:rPr>
      <w:rFonts w:ascii="Arial" w:eastAsia="Times New Roman" w:hAnsi="Arial" w:cs="Arial"/>
      <w:sz w:val="24"/>
      <w:szCs w:val="20"/>
      <w:lang w:val="en-US"/>
    </w:rPr>
  </w:style>
  <w:style w:type="paragraph" w:styleId="BodyText20">
    <w:name w:val="Body Text 2"/>
    <w:basedOn w:val="Normal"/>
    <w:link w:val="BodyText2Char"/>
    <w:semiHidden/>
    <w:rsid w:val="00D8141B"/>
    <w:pPr>
      <w:spacing w:after="160" w:line="360" w:lineRule="auto"/>
      <w:jc w:val="both"/>
    </w:pPr>
    <w:rPr>
      <w:rFonts w:ascii="TradeGothic" w:eastAsia="Times New Roman" w:hAnsi="TradeGothic" w:cs="Arial"/>
      <w:szCs w:val="20"/>
      <w:lang w:val="en-GB"/>
    </w:rPr>
  </w:style>
  <w:style w:type="character" w:customStyle="1" w:styleId="BodyText2Char">
    <w:name w:val="Body Text 2 Char"/>
    <w:basedOn w:val="DefaultParagraphFont"/>
    <w:link w:val="BodyText20"/>
    <w:semiHidden/>
    <w:rsid w:val="00D8141B"/>
    <w:rPr>
      <w:rFonts w:ascii="TradeGothic" w:eastAsia="Times New Roman" w:hAnsi="TradeGothic" w:cs="Arial"/>
      <w:szCs w:val="20"/>
      <w:lang w:val="en-GB"/>
    </w:rPr>
  </w:style>
  <w:style w:type="paragraph" w:styleId="BodyText30">
    <w:name w:val="Body Text 3"/>
    <w:basedOn w:val="Normal"/>
    <w:link w:val="BodyText3Char"/>
    <w:semiHidden/>
    <w:rsid w:val="00D8141B"/>
    <w:pPr>
      <w:spacing w:after="160" w:line="480" w:lineRule="auto"/>
    </w:pPr>
    <w:rPr>
      <w:rFonts w:ascii="Times New Roman" w:eastAsia="Times New Roman" w:hAnsi="Times New Roman" w:cs="Times New Roman"/>
      <w:b/>
      <w:sz w:val="28"/>
      <w:szCs w:val="20"/>
      <w:lang w:val="en-GB"/>
    </w:rPr>
  </w:style>
  <w:style w:type="character" w:customStyle="1" w:styleId="BodyText3Char">
    <w:name w:val="Body Text 3 Char"/>
    <w:basedOn w:val="DefaultParagraphFont"/>
    <w:link w:val="BodyText30"/>
    <w:semiHidden/>
    <w:rsid w:val="00D8141B"/>
    <w:rPr>
      <w:rFonts w:ascii="Times New Roman" w:eastAsia="Times New Roman" w:hAnsi="Times New Roman" w:cs="Times New Roman"/>
      <w:b/>
      <w:sz w:val="28"/>
      <w:szCs w:val="20"/>
      <w:lang w:val="en-GB"/>
    </w:rPr>
  </w:style>
  <w:style w:type="paragraph" w:customStyle="1" w:styleId="Normalindent">
    <w:name w:val="Normalindent"/>
    <w:basedOn w:val="ListNumber"/>
    <w:rsid w:val="00D8141B"/>
    <w:pPr>
      <w:tabs>
        <w:tab w:val="clear" w:pos="360"/>
      </w:tabs>
      <w:spacing w:after="120" w:line="260" w:lineRule="exact"/>
      <w:ind w:left="480" w:firstLine="0"/>
    </w:pPr>
    <w:rPr>
      <w:rFonts w:ascii="TradeGothic" w:hAnsi="TradeGothic"/>
      <w:snapToGrid w:val="0"/>
      <w:sz w:val="22"/>
      <w:lang w:val="en-GB"/>
    </w:rPr>
  </w:style>
  <w:style w:type="paragraph" w:styleId="ListNumber">
    <w:name w:val="List Number"/>
    <w:basedOn w:val="Normal"/>
    <w:semiHidden/>
    <w:rsid w:val="00D8141B"/>
    <w:pPr>
      <w:tabs>
        <w:tab w:val="num" w:pos="360"/>
      </w:tabs>
      <w:spacing w:after="0" w:line="240" w:lineRule="auto"/>
      <w:ind w:left="360" w:hanging="360"/>
    </w:pPr>
    <w:rPr>
      <w:rFonts w:eastAsia="Times New Roman" w:cs="Times New Roman"/>
      <w:sz w:val="24"/>
      <w:szCs w:val="20"/>
      <w:lang w:val="en-US"/>
    </w:rPr>
  </w:style>
  <w:style w:type="paragraph" w:customStyle="1" w:styleId="Nortablehead">
    <w:name w:val="Nortablehead"/>
    <w:basedOn w:val="Normal"/>
    <w:rsid w:val="00D8141B"/>
    <w:pPr>
      <w:keepNext/>
      <w:keepLines/>
      <w:widowControl w:val="0"/>
      <w:suppressAutoHyphens/>
      <w:spacing w:before="80" w:after="80" w:line="240" w:lineRule="auto"/>
    </w:pPr>
    <w:rPr>
      <w:rFonts w:ascii="TradeGothic Bold" w:eastAsia="Times New Roman" w:hAnsi="TradeGothic Bold" w:cs="Times New Roman"/>
      <w:snapToGrid w:val="0"/>
      <w:color w:val="000000"/>
      <w:sz w:val="18"/>
      <w:szCs w:val="20"/>
      <w:lang w:val="en-GB"/>
    </w:rPr>
  </w:style>
  <w:style w:type="paragraph" w:customStyle="1" w:styleId="Nortable">
    <w:name w:val="Nortable"/>
    <w:basedOn w:val="Nortablehead"/>
    <w:rsid w:val="00D8141B"/>
    <w:pPr>
      <w:keepNext w:val="0"/>
      <w:spacing w:before="40" w:after="40"/>
    </w:pPr>
    <w:rPr>
      <w:rFonts w:ascii="TradeGothic" w:hAnsi="TradeGothic"/>
    </w:rPr>
  </w:style>
  <w:style w:type="paragraph" w:styleId="Header">
    <w:name w:val="header"/>
    <w:basedOn w:val="Normal"/>
    <w:link w:val="HeaderChar"/>
    <w:semiHidden/>
    <w:rsid w:val="00D8141B"/>
    <w:pPr>
      <w:tabs>
        <w:tab w:val="center" w:pos="4153"/>
        <w:tab w:val="right" w:pos="8306"/>
      </w:tabs>
      <w:spacing w:after="160" w:line="260" w:lineRule="exact"/>
    </w:pPr>
    <w:rPr>
      <w:rFonts w:ascii="TradeGothic" w:eastAsia="Times New Roman" w:hAnsi="TradeGothic" w:cs="Times New Roman"/>
      <w:szCs w:val="20"/>
      <w:lang w:val="en-GB"/>
    </w:rPr>
  </w:style>
  <w:style w:type="character" w:customStyle="1" w:styleId="HeaderChar">
    <w:name w:val="Header Char"/>
    <w:basedOn w:val="DefaultParagraphFont"/>
    <w:link w:val="Header"/>
    <w:semiHidden/>
    <w:rsid w:val="00D8141B"/>
    <w:rPr>
      <w:rFonts w:ascii="TradeGothic" w:eastAsia="Times New Roman" w:hAnsi="TradeGothic" w:cs="Times New Roman"/>
      <w:szCs w:val="20"/>
      <w:lang w:val="en-GB"/>
    </w:rPr>
  </w:style>
  <w:style w:type="paragraph" w:styleId="Footer">
    <w:name w:val="footer"/>
    <w:basedOn w:val="Normal"/>
    <w:link w:val="FooterChar"/>
    <w:uiPriority w:val="99"/>
    <w:rsid w:val="00D8141B"/>
    <w:pPr>
      <w:tabs>
        <w:tab w:val="center" w:pos="4153"/>
        <w:tab w:val="right" w:pos="8306"/>
      </w:tabs>
      <w:spacing w:after="160" w:line="260" w:lineRule="exact"/>
    </w:pPr>
    <w:rPr>
      <w:rFonts w:ascii="TradeGothic" w:eastAsia="Times New Roman" w:hAnsi="TradeGothic" w:cs="Times New Roman"/>
      <w:szCs w:val="20"/>
      <w:lang w:val="en-GB"/>
    </w:rPr>
  </w:style>
  <w:style w:type="character" w:customStyle="1" w:styleId="FooterChar">
    <w:name w:val="Footer Char"/>
    <w:basedOn w:val="DefaultParagraphFont"/>
    <w:link w:val="Footer"/>
    <w:uiPriority w:val="99"/>
    <w:rsid w:val="00D8141B"/>
    <w:rPr>
      <w:rFonts w:ascii="TradeGothic" w:eastAsia="Times New Roman" w:hAnsi="TradeGothic" w:cs="Times New Roman"/>
      <w:szCs w:val="20"/>
      <w:lang w:val="en-GB"/>
    </w:rPr>
  </w:style>
  <w:style w:type="paragraph" w:styleId="EndnoteText">
    <w:name w:val="endnote text"/>
    <w:basedOn w:val="Normal"/>
    <w:link w:val="EndnoteTextChar"/>
    <w:semiHidden/>
    <w:rsid w:val="00D8141B"/>
    <w:pPr>
      <w:spacing w:after="160" w:line="260" w:lineRule="exact"/>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D8141B"/>
    <w:rPr>
      <w:rFonts w:ascii="Times New Roman" w:eastAsia="Times New Roman" w:hAnsi="Times New Roman" w:cs="Times New Roman"/>
      <w:sz w:val="20"/>
      <w:szCs w:val="20"/>
    </w:rPr>
  </w:style>
  <w:style w:type="paragraph" w:customStyle="1" w:styleId="Palatino">
    <w:name w:val="Palatino"/>
    <w:basedOn w:val="Normal"/>
    <w:rsid w:val="00D8141B"/>
    <w:pPr>
      <w:spacing w:after="160" w:line="260" w:lineRule="exact"/>
    </w:pPr>
    <w:rPr>
      <w:rFonts w:ascii="Palatino" w:eastAsia="Times New Roman" w:hAnsi="Palatino" w:cs="Times New Roman"/>
      <w:szCs w:val="20"/>
    </w:rPr>
  </w:style>
  <w:style w:type="paragraph" w:styleId="Title">
    <w:name w:val="Title"/>
    <w:basedOn w:val="Normal"/>
    <w:link w:val="TitleChar"/>
    <w:qFormat/>
    <w:rsid w:val="00D8141B"/>
    <w:pPr>
      <w:spacing w:after="160" w:line="260" w:lineRule="exact"/>
      <w:jc w:val="center"/>
    </w:pPr>
    <w:rPr>
      <w:rFonts w:ascii="Times New Roman" w:eastAsia="Times New Roman" w:hAnsi="Times New Roman" w:cs="Times New Roman"/>
      <w:sz w:val="36"/>
      <w:szCs w:val="20"/>
    </w:rPr>
  </w:style>
  <w:style w:type="character" w:customStyle="1" w:styleId="TitleChar">
    <w:name w:val="Title Char"/>
    <w:basedOn w:val="DefaultParagraphFont"/>
    <w:link w:val="Title"/>
    <w:rsid w:val="00D8141B"/>
    <w:rPr>
      <w:rFonts w:ascii="Times New Roman" w:eastAsia="Times New Roman" w:hAnsi="Times New Roman" w:cs="Times New Roman"/>
      <w:sz w:val="36"/>
      <w:szCs w:val="20"/>
    </w:rPr>
  </w:style>
  <w:style w:type="paragraph" w:styleId="NormalWeb">
    <w:name w:val="Normal (Web)"/>
    <w:basedOn w:val="Normal"/>
    <w:semiHidden/>
    <w:rsid w:val="00D8141B"/>
    <w:pPr>
      <w:spacing w:before="100" w:after="100" w:line="260" w:lineRule="exact"/>
    </w:pPr>
    <w:rPr>
      <w:rFonts w:ascii="Times New Roman" w:eastAsia="Times New Roman" w:hAnsi="Times New Roman" w:cs="Times New Roman"/>
      <w:color w:val="000000"/>
      <w:szCs w:val="20"/>
    </w:rPr>
  </w:style>
  <w:style w:type="paragraph" w:customStyle="1" w:styleId="Quick1">
    <w:name w:val="Quick 1."/>
    <w:basedOn w:val="Normal"/>
    <w:rsid w:val="00D8141B"/>
    <w:pPr>
      <w:widowControl w:val="0"/>
      <w:tabs>
        <w:tab w:val="num" w:pos="720"/>
      </w:tabs>
      <w:spacing w:after="160" w:line="260" w:lineRule="exact"/>
      <w:ind w:left="720" w:hanging="720"/>
    </w:pPr>
    <w:rPr>
      <w:rFonts w:ascii="Courier" w:eastAsia="Times New Roman" w:hAnsi="Courier" w:cs="Times New Roman"/>
      <w:snapToGrid w:val="0"/>
      <w:szCs w:val="20"/>
      <w:lang w:val="en-GB"/>
    </w:rPr>
  </w:style>
  <w:style w:type="character" w:styleId="PageNumber">
    <w:name w:val="page number"/>
    <w:basedOn w:val="DefaultParagraphFont"/>
    <w:semiHidden/>
    <w:rsid w:val="00D8141B"/>
  </w:style>
  <w:style w:type="paragraph" w:styleId="TOC2">
    <w:name w:val="toc 2"/>
    <w:basedOn w:val="Normal"/>
    <w:next w:val="Normal"/>
    <w:autoRedefine/>
    <w:uiPriority w:val="39"/>
    <w:rsid w:val="00D8141B"/>
    <w:pPr>
      <w:spacing w:after="160" w:line="260" w:lineRule="exact"/>
      <w:ind w:left="200"/>
    </w:pPr>
    <w:rPr>
      <w:rFonts w:ascii="TradeGothic" w:eastAsia="Times New Roman" w:hAnsi="TradeGothic" w:cs="Times New Roman"/>
      <w:szCs w:val="20"/>
      <w:lang w:val="en-GB"/>
    </w:rPr>
  </w:style>
  <w:style w:type="paragraph" w:customStyle="1" w:styleId="Nortabfoot">
    <w:name w:val="Nortabfoot"/>
    <w:basedOn w:val="Nortable"/>
    <w:rsid w:val="00D8141B"/>
    <w:pPr>
      <w:spacing w:before="80" w:after="240"/>
    </w:pPr>
    <w:rPr>
      <w:sz w:val="16"/>
    </w:rPr>
  </w:style>
  <w:style w:type="paragraph" w:styleId="TOC1">
    <w:name w:val="toc 1"/>
    <w:basedOn w:val="Normal"/>
    <w:next w:val="Normal"/>
    <w:autoRedefine/>
    <w:uiPriority w:val="39"/>
    <w:rsid w:val="00535AFE"/>
    <w:pPr>
      <w:tabs>
        <w:tab w:val="left" w:pos="567"/>
        <w:tab w:val="right" w:pos="9016"/>
      </w:tabs>
      <w:spacing w:after="120" w:line="240" w:lineRule="auto"/>
      <w:ind w:left="567" w:hanging="567"/>
    </w:pPr>
    <w:rPr>
      <w:rFonts w:eastAsia="Times New Roman" w:cs="Times New Roman"/>
      <w:noProof/>
      <w:szCs w:val="20"/>
      <w:lang w:val="en-GB"/>
    </w:rPr>
  </w:style>
  <w:style w:type="paragraph" w:styleId="TOC3">
    <w:name w:val="toc 3"/>
    <w:basedOn w:val="Normal"/>
    <w:next w:val="Normal"/>
    <w:autoRedefine/>
    <w:uiPriority w:val="39"/>
    <w:rsid w:val="00D8141B"/>
    <w:pPr>
      <w:spacing w:after="160" w:line="260" w:lineRule="exact"/>
      <w:ind w:left="400"/>
    </w:pPr>
    <w:rPr>
      <w:rFonts w:ascii="TradeGothic" w:eastAsia="Times New Roman" w:hAnsi="TradeGothic" w:cs="Times New Roman"/>
      <w:szCs w:val="20"/>
      <w:lang w:val="en-GB"/>
    </w:rPr>
  </w:style>
  <w:style w:type="paragraph" w:styleId="TOC4">
    <w:name w:val="toc 4"/>
    <w:basedOn w:val="Normal"/>
    <w:next w:val="Normal"/>
    <w:autoRedefine/>
    <w:uiPriority w:val="39"/>
    <w:rsid w:val="00D8141B"/>
    <w:pPr>
      <w:spacing w:after="160" w:line="260" w:lineRule="exact"/>
      <w:ind w:left="600"/>
    </w:pPr>
    <w:rPr>
      <w:rFonts w:ascii="TradeGothic" w:eastAsia="Times New Roman" w:hAnsi="TradeGothic" w:cs="Times New Roman"/>
      <w:szCs w:val="20"/>
      <w:lang w:val="en-GB"/>
    </w:rPr>
  </w:style>
  <w:style w:type="paragraph" w:styleId="TOC5">
    <w:name w:val="toc 5"/>
    <w:basedOn w:val="Normal"/>
    <w:next w:val="Normal"/>
    <w:autoRedefine/>
    <w:uiPriority w:val="39"/>
    <w:rsid w:val="00D8141B"/>
    <w:pPr>
      <w:spacing w:after="160" w:line="260" w:lineRule="exact"/>
      <w:ind w:left="800"/>
    </w:pPr>
    <w:rPr>
      <w:rFonts w:ascii="TradeGothic" w:eastAsia="Times New Roman" w:hAnsi="TradeGothic" w:cs="Times New Roman"/>
      <w:szCs w:val="20"/>
      <w:lang w:val="en-GB"/>
    </w:rPr>
  </w:style>
  <w:style w:type="paragraph" w:styleId="TOC6">
    <w:name w:val="toc 6"/>
    <w:basedOn w:val="Normal"/>
    <w:next w:val="Normal"/>
    <w:autoRedefine/>
    <w:uiPriority w:val="39"/>
    <w:rsid w:val="00D8141B"/>
    <w:pPr>
      <w:spacing w:after="160" w:line="260" w:lineRule="exact"/>
      <w:ind w:left="1000"/>
    </w:pPr>
    <w:rPr>
      <w:rFonts w:ascii="TradeGothic" w:eastAsia="Times New Roman" w:hAnsi="TradeGothic" w:cs="Times New Roman"/>
      <w:szCs w:val="20"/>
      <w:lang w:val="en-GB"/>
    </w:rPr>
  </w:style>
  <w:style w:type="paragraph" w:styleId="TOC7">
    <w:name w:val="toc 7"/>
    <w:basedOn w:val="Normal"/>
    <w:next w:val="Normal"/>
    <w:autoRedefine/>
    <w:uiPriority w:val="39"/>
    <w:rsid w:val="00D8141B"/>
    <w:pPr>
      <w:spacing w:after="160" w:line="260" w:lineRule="exact"/>
      <w:ind w:left="1200"/>
    </w:pPr>
    <w:rPr>
      <w:rFonts w:ascii="TradeGothic" w:eastAsia="Times New Roman" w:hAnsi="TradeGothic" w:cs="Times New Roman"/>
      <w:szCs w:val="20"/>
      <w:lang w:val="en-GB"/>
    </w:rPr>
  </w:style>
  <w:style w:type="paragraph" w:styleId="TOC8">
    <w:name w:val="toc 8"/>
    <w:basedOn w:val="Normal"/>
    <w:next w:val="Normal"/>
    <w:autoRedefine/>
    <w:uiPriority w:val="39"/>
    <w:rsid w:val="00D8141B"/>
    <w:pPr>
      <w:spacing w:after="160" w:line="260" w:lineRule="exact"/>
      <w:ind w:left="1400"/>
    </w:pPr>
    <w:rPr>
      <w:rFonts w:ascii="TradeGothic" w:eastAsia="Times New Roman" w:hAnsi="TradeGothic" w:cs="Times New Roman"/>
      <w:szCs w:val="20"/>
      <w:lang w:val="en-GB"/>
    </w:rPr>
  </w:style>
  <w:style w:type="paragraph" w:styleId="TOC9">
    <w:name w:val="toc 9"/>
    <w:basedOn w:val="Normal"/>
    <w:next w:val="Normal"/>
    <w:autoRedefine/>
    <w:uiPriority w:val="39"/>
    <w:rsid w:val="00D8141B"/>
    <w:pPr>
      <w:spacing w:after="160" w:line="260" w:lineRule="exact"/>
      <w:ind w:left="1600"/>
    </w:pPr>
    <w:rPr>
      <w:rFonts w:ascii="TradeGothic" w:eastAsia="Times New Roman" w:hAnsi="TradeGothic" w:cs="Times New Roman"/>
      <w:szCs w:val="20"/>
      <w:lang w:val="en-GB"/>
    </w:rPr>
  </w:style>
  <w:style w:type="paragraph" w:styleId="BlockText">
    <w:name w:val="Block Text"/>
    <w:basedOn w:val="Normal"/>
    <w:semiHidden/>
    <w:rsid w:val="00D8141B"/>
    <w:pPr>
      <w:spacing w:after="120" w:line="260" w:lineRule="exact"/>
      <w:ind w:left="1440" w:right="1440"/>
    </w:pPr>
    <w:rPr>
      <w:rFonts w:ascii="TradeGothic" w:eastAsia="Times New Roman" w:hAnsi="TradeGothic" w:cs="Times New Roman"/>
      <w:szCs w:val="20"/>
      <w:lang w:val="en-GB"/>
    </w:rPr>
  </w:style>
  <w:style w:type="paragraph" w:styleId="BodyTextFirstIndent">
    <w:name w:val="Body Text First Indent"/>
    <w:basedOn w:val="BodyText"/>
    <w:link w:val="BodyTextFirstIndentChar"/>
    <w:semiHidden/>
    <w:rsid w:val="00D8141B"/>
    <w:pPr>
      <w:spacing w:after="120"/>
      <w:ind w:firstLine="210"/>
    </w:pPr>
    <w:rPr>
      <w:b w:val="0"/>
    </w:rPr>
  </w:style>
  <w:style w:type="character" w:customStyle="1" w:styleId="BodyTextFirstIndentChar">
    <w:name w:val="Body Text First Indent Char"/>
    <w:basedOn w:val="BodyTextChar"/>
    <w:link w:val="BodyTextFirstIndent"/>
    <w:semiHidden/>
    <w:rsid w:val="00D8141B"/>
    <w:rPr>
      <w:rFonts w:ascii="TradeGothic" w:eastAsia="Times New Roman" w:hAnsi="TradeGothic" w:cs="Times New Roman"/>
      <w:b w:val="0"/>
      <w:bCs/>
      <w:szCs w:val="20"/>
      <w:lang w:val="en-GB"/>
    </w:rPr>
  </w:style>
  <w:style w:type="paragraph" w:styleId="BodyTextFirstIndent2">
    <w:name w:val="Body Text First Indent 2"/>
    <w:basedOn w:val="BodyTextIndent"/>
    <w:link w:val="BodyTextFirstIndent2Char"/>
    <w:semiHidden/>
    <w:rsid w:val="00D8141B"/>
    <w:pPr>
      <w:spacing w:after="120" w:line="260" w:lineRule="exact"/>
      <w:ind w:left="283" w:firstLine="210"/>
    </w:pPr>
    <w:rPr>
      <w:rFonts w:ascii="TradeGothic" w:hAnsi="TradeGothic" w:cs="Times New Roman"/>
      <w:sz w:val="22"/>
      <w:lang w:val="en-GB"/>
    </w:rPr>
  </w:style>
  <w:style w:type="character" w:customStyle="1" w:styleId="BodyTextFirstIndent2Char">
    <w:name w:val="Body Text First Indent 2 Char"/>
    <w:basedOn w:val="BodyTextIndentChar"/>
    <w:link w:val="BodyTextFirstIndent2"/>
    <w:semiHidden/>
    <w:rsid w:val="00D8141B"/>
    <w:rPr>
      <w:rFonts w:ascii="TradeGothic" w:eastAsia="Times New Roman" w:hAnsi="TradeGothic" w:cs="Times New Roman"/>
      <w:sz w:val="24"/>
      <w:szCs w:val="20"/>
      <w:lang w:val="en-GB"/>
    </w:rPr>
  </w:style>
  <w:style w:type="paragraph" w:styleId="Caption">
    <w:name w:val="caption"/>
    <w:basedOn w:val="Normal"/>
    <w:next w:val="Normal"/>
    <w:qFormat/>
    <w:rsid w:val="00D8141B"/>
    <w:pPr>
      <w:spacing w:before="120" w:after="120" w:line="260" w:lineRule="exact"/>
    </w:pPr>
    <w:rPr>
      <w:rFonts w:ascii="TradeGothic" w:eastAsia="Times New Roman" w:hAnsi="TradeGothic" w:cs="Times New Roman"/>
      <w:b/>
      <w:szCs w:val="20"/>
      <w:lang w:val="en-GB"/>
    </w:rPr>
  </w:style>
  <w:style w:type="paragraph" w:styleId="Closing">
    <w:name w:val="Closing"/>
    <w:basedOn w:val="Normal"/>
    <w:link w:val="ClosingChar"/>
    <w:semiHidden/>
    <w:rsid w:val="00D8141B"/>
    <w:pPr>
      <w:spacing w:after="160" w:line="260" w:lineRule="exact"/>
      <w:ind w:left="4252"/>
    </w:pPr>
    <w:rPr>
      <w:rFonts w:ascii="TradeGothic" w:eastAsia="Times New Roman" w:hAnsi="TradeGothic" w:cs="Times New Roman"/>
      <w:szCs w:val="20"/>
      <w:lang w:val="en-GB"/>
    </w:rPr>
  </w:style>
  <w:style w:type="character" w:customStyle="1" w:styleId="ClosingChar">
    <w:name w:val="Closing Char"/>
    <w:basedOn w:val="DefaultParagraphFont"/>
    <w:link w:val="Closing"/>
    <w:semiHidden/>
    <w:rsid w:val="00D8141B"/>
    <w:rPr>
      <w:rFonts w:ascii="TradeGothic" w:eastAsia="Times New Roman" w:hAnsi="TradeGothic" w:cs="Times New Roman"/>
      <w:szCs w:val="20"/>
      <w:lang w:val="en-GB"/>
    </w:rPr>
  </w:style>
  <w:style w:type="paragraph" w:styleId="CommentText">
    <w:name w:val="annotation text"/>
    <w:basedOn w:val="Normal"/>
    <w:link w:val="CommentTextChar"/>
    <w:uiPriority w:val="99"/>
    <w:semiHidden/>
    <w:rsid w:val="00D8141B"/>
    <w:pPr>
      <w:spacing w:after="160" w:line="260" w:lineRule="exact"/>
    </w:pPr>
    <w:rPr>
      <w:rFonts w:ascii="TradeGothic" w:eastAsia="Times New Roman" w:hAnsi="TradeGothic" w:cs="Times New Roman"/>
      <w:sz w:val="20"/>
      <w:szCs w:val="20"/>
      <w:lang w:val="en-GB"/>
    </w:rPr>
  </w:style>
  <w:style w:type="character" w:customStyle="1" w:styleId="CommentTextChar">
    <w:name w:val="Comment Text Char"/>
    <w:basedOn w:val="DefaultParagraphFont"/>
    <w:link w:val="CommentText"/>
    <w:uiPriority w:val="99"/>
    <w:semiHidden/>
    <w:rsid w:val="00D8141B"/>
    <w:rPr>
      <w:rFonts w:ascii="TradeGothic" w:eastAsia="Times New Roman" w:hAnsi="TradeGothic" w:cs="Times New Roman"/>
      <w:sz w:val="20"/>
      <w:szCs w:val="20"/>
      <w:lang w:val="en-GB"/>
    </w:rPr>
  </w:style>
  <w:style w:type="paragraph" w:styleId="Date">
    <w:name w:val="Date"/>
    <w:basedOn w:val="Normal"/>
    <w:next w:val="Normal"/>
    <w:link w:val="DateChar"/>
    <w:semiHidden/>
    <w:rsid w:val="00D8141B"/>
    <w:pPr>
      <w:spacing w:after="160" w:line="260" w:lineRule="exact"/>
    </w:pPr>
    <w:rPr>
      <w:rFonts w:ascii="TradeGothic" w:eastAsia="Times New Roman" w:hAnsi="TradeGothic" w:cs="Times New Roman"/>
      <w:szCs w:val="20"/>
      <w:lang w:val="en-GB"/>
    </w:rPr>
  </w:style>
  <w:style w:type="character" w:customStyle="1" w:styleId="DateChar">
    <w:name w:val="Date Char"/>
    <w:basedOn w:val="DefaultParagraphFont"/>
    <w:link w:val="Date"/>
    <w:semiHidden/>
    <w:rsid w:val="00D8141B"/>
    <w:rPr>
      <w:rFonts w:ascii="TradeGothic" w:eastAsia="Times New Roman" w:hAnsi="TradeGothic" w:cs="Times New Roman"/>
      <w:szCs w:val="20"/>
      <w:lang w:val="en-GB"/>
    </w:rPr>
  </w:style>
  <w:style w:type="paragraph" w:styleId="DocumentMap">
    <w:name w:val="Document Map"/>
    <w:basedOn w:val="Normal"/>
    <w:link w:val="DocumentMapChar"/>
    <w:semiHidden/>
    <w:rsid w:val="00D8141B"/>
    <w:pPr>
      <w:shd w:val="clear" w:color="auto" w:fill="000080"/>
      <w:spacing w:after="160" w:line="260" w:lineRule="exact"/>
    </w:pPr>
    <w:rPr>
      <w:rFonts w:ascii="Tahoma" w:eastAsia="Times New Roman" w:hAnsi="Tahoma" w:cs="Times New Roman"/>
      <w:szCs w:val="20"/>
      <w:lang w:val="en-GB"/>
    </w:rPr>
  </w:style>
  <w:style w:type="character" w:customStyle="1" w:styleId="DocumentMapChar">
    <w:name w:val="Document Map Char"/>
    <w:basedOn w:val="DefaultParagraphFont"/>
    <w:link w:val="DocumentMap"/>
    <w:semiHidden/>
    <w:rsid w:val="00D8141B"/>
    <w:rPr>
      <w:rFonts w:ascii="Tahoma" w:eastAsia="Times New Roman" w:hAnsi="Tahoma" w:cs="Times New Roman"/>
      <w:szCs w:val="20"/>
      <w:shd w:val="clear" w:color="auto" w:fill="000080"/>
      <w:lang w:val="en-GB"/>
    </w:rPr>
  </w:style>
  <w:style w:type="paragraph" w:styleId="EnvelopeAddress">
    <w:name w:val="envelope address"/>
    <w:basedOn w:val="Normal"/>
    <w:semiHidden/>
    <w:rsid w:val="00D8141B"/>
    <w:pPr>
      <w:framePr w:w="7920" w:h="1980" w:hRule="exact" w:hSpace="180" w:wrap="auto" w:hAnchor="page" w:xAlign="center" w:yAlign="bottom"/>
      <w:spacing w:after="160" w:line="260" w:lineRule="exact"/>
      <w:ind w:left="2880"/>
    </w:pPr>
    <w:rPr>
      <w:rFonts w:eastAsia="Times New Roman" w:cs="Times New Roman"/>
      <w:sz w:val="24"/>
      <w:szCs w:val="20"/>
      <w:lang w:val="en-GB"/>
    </w:rPr>
  </w:style>
  <w:style w:type="paragraph" w:styleId="EnvelopeReturn">
    <w:name w:val="envelope return"/>
    <w:basedOn w:val="Normal"/>
    <w:semiHidden/>
    <w:rsid w:val="00D8141B"/>
    <w:pPr>
      <w:spacing w:after="160" w:line="260" w:lineRule="exact"/>
    </w:pPr>
    <w:rPr>
      <w:rFonts w:eastAsia="Times New Roman" w:cs="Times New Roman"/>
      <w:sz w:val="20"/>
      <w:szCs w:val="20"/>
      <w:lang w:val="en-GB"/>
    </w:rPr>
  </w:style>
  <w:style w:type="paragraph" w:styleId="FootnoteText">
    <w:name w:val="footnote text"/>
    <w:basedOn w:val="Normal"/>
    <w:link w:val="FootnoteTextChar"/>
    <w:semiHidden/>
    <w:rsid w:val="00D8141B"/>
    <w:pPr>
      <w:spacing w:after="160" w:line="260" w:lineRule="exact"/>
    </w:pPr>
    <w:rPr>
      <w:rFonts w:ascii="TradeGothic" w:eastAsia="Times New Roman" w:hAnsi="TradeGothic" w:cs="Times New Roman"/>
      <w:sz w:val="20"/>
      <w:szCs w:val="20"/>
      <w:lang w:val="en-GB"/>
    </w:rPr>
  </w:style>
  <w:style w:type="character" w:customStyle="1" w:styleId="FootnoteTextChar">
    <w:name w:val="Footnote Text Char"/>
    <w:basedOn w:val="DefaultParagraphFont"/>
    <w:link w:val="FootnoteText"/>
    <w:semiHidden/>
    <w:rsid w:val="00D8141B"/>
    <w:rPr>
      <w:rFonts w:ascii="TradeGothic" w:eastAsia="Times New Roman" w:hAnsi="TradeGothic" w:cs="Times New Roman"/>
      <w:sz w:val="20"/>
      <w:szCs w:val="20"/>
      <w:lang w:val="en-GB"/>
    </w:rPr>
  </w:style>
  <w:style w:type="paragraph" w:styleId="Index1">
    <w:name w:val="index 1"/>
    <w:basedOn w:val="Normal"/>
    <w:next w:val="Normal"/>
    <w:autoRedefine/>
    <w:semiHidden/>
    <w:rsid w:val="00D8141B"/>
    <w:pPr>
      <w:spacing w:after="160" w:line="260" w:lineRule="exact"/>
      <w:ind w:left="220" w:hanging="220"/>
    </w:pPr>
    <w:rPr>
      <w:rFonts w:ascii="TradeGothic" w:eastAsia="Times New Roman" w:hAnsi="TradeGothic" w:cs="Times New Roman"/>
      <w:szCs w:val="20"/>
      <w:lang w:val="en-GB"/>
    </w:rPr>
  </w:style>
  <w:style w:type="paragraph" w:styleId="Index2">
    <w:name w:val="index 2"/>
    <w:basedOn w:val="Normal"/>
    <w:next w:val="Normal"/>
    <w:autoRedefine/>
    <w:semiHidden/>
    <w:rsid w:val="00D8141B"/>
    <w:pPr>
      <w:spacing w:after="160" w:line="260" w:lineRule="exact"/>
      <w:ind w:left="440" w:hanging="220"/>
    </w:pPr>
    <w:rPr>
      <w:rFonts w:ascii="TradeGothic" w:eastAsia="Times New Roman" w:hAnsi="TradeGothic" w:cs="Times New Roman"/>
      <w:szCs w:val="20"/>
      <w:lang w:val="en-GB"/>
    </w:rPr>
  </w:style>
  <w:style w:type="paragraph" w:styleId="Index3">
    <w:name w:val="index 3"/>
    <w:basedOn w:val="Normal"/>
    <w:next w:val="Normal"/>
    <w:autoRedefine/>
    <w:semiHidden/>
    <w:rsid w:val="00D8141B"/>
    <w:pPr>
      <w:spacing w:after="160" w:line="260" w:lineRule="exact"/>
      <w:ind w:left="660" w:hanging="220"/>
    </w:pPr>
    <w:rPr>
      <w:rFonts w:ascii="TradeGothic" w:eastAsia="Times New Roman" w:hAnsi="TradeGothic" w:cs="Times New Roman"/>
      <w:szCs w:val="20"/>
      <w:lang w:val="en-GB"/>
    </w:rPr>
  </w:style>
  <w:style w:type="paragraph" w:styleId="Index4">
    <w:name w:val="index 4"/>
    <w:basedOn w:val="Normal"/>
    <w:next w:val="Normal"/>
    <w:autoRedefine/>
    <w:semiHidden/>
    <w:rsid w:val="00D8141B"/>
    <w:pPr>
      <w:spacing w:after="160" w:line="260" w:lineRule="exact"/>
      <w:ind w:left="880" w:hanging="220"/>
    </w:pPr>
    <w:rPr>
      <w:rFonts w:ascii="TradeGothic" w:eastAsia="Times New Roman" w:hAnsi="TradeGothic" w:cs="Times New Roman"/>
      <w:szCs w:val="20"/>
      <w:lang w:val="en-GB"/>
    </w:rPr>
  </w:style>
  <w:style w:type="paragraph" w:styleId="Index5">
    <w:name w:val="index 5"/>
    <w:basedOn w:val="Normal"/>
    <w:next w:val="Normal"/>
    <w:autoRedefine/>
    <w:semiHidden/>
    <w:rsid w:val="00D8141B"/>
    <w:pPr>
      <w:spacing w:after="160" w:line="260" w:lineRule="exact"/>
      <w:ind w:left="1100" w:hanging="220"/>
    </w:pPr>
    <w:rPr>
      <w:rFonts w:ascii="TradeGothic" w:eastAsia="Times New Roman" w:hAnsi="TradeGothic" w:cs="Times New Roman"/>
      <w:szCs w:val="20"/>
      <w:lang w:val="en-GB"/>
    </w:rPr>
  </w:style>
  <w:style w:type="paragraph" w:styleId="Index6">
    <w:name w:val="index 6"/>
    <w:basedOn w:val="Normal"/>
    <w:next w:val="Normal"/>
    <w:autoRedefine/>
    <w:semiHidden/>
    <w:rsid w:val="00D8141B"/>
    <w:pPr>
      <w:spacing w:after="160" w:line="260" w:lineRule="exact"/>
      <w:ind w:left="1320" w:hanging="220"/>
    </w:pPr>
    <w:rPr>
      <w:rFonts w:ascii="TradeGothic" w:eastAsia="Times New Roman" w:hAnsi="TradeGothic" w:cs="Times New Roman"/>
      <w:szCs w:val="20"/>
      <w:lang w:val="en-GB"/>
    </w:rPr>
  </w:style>
  <w:style w:type="paragraph" w:styleId="Index7">
    <w:name w:val="index 7"/>
    <w:basedOn w:val="Normal"/>
    <w:next w:val="Normal"/>
    <w:autoRedefine/>
    <w:semiHidden/>
    <w:rsid w:val="00D8141B"/>
    <w:pPr>
      <w:spacing w:after="160" w:line="260" w:lineRule="exact"/>
      <w:ind w:left="1540" w:hanging="220"/>
    </w:pPr>
    <w:rPr>
      <w:rFonts w:ascii="TradeGothic" w:eastAsia="Times New Roman" w:hAnsi="TradeGothic" w:cs="Times New Roman"/>
      <w:szCs w:val="20"/>
      <w:lang w:val="en-GB"/>
    </w:rPr>
  </w:style>
  <w:style w:type="paragraph" w:styleId="Index8">
    <w:name w:val="index 8"/>
    <w:basedOn w:val="Normal"/>
    <w:next w:val="Normal"/>
    <w:autoRedefine/>
    <w:semiHidden/>
    <w:rsid w:val="00D8141B"/>
    <w:pPr>
      <w:spacing w:after="160" w:line="260" w:lineRule="exact"/>
      <w:ind w:left="1760" w:hanging="220"/>
    </w:pPr>
    <w:rPr>
      <w:rFonts w:ascii="TradeGothic" w:eastAsia="Times New Roman" w:hAnsi="TradeGothic" w:cs="Times New Roman"/>
      <w:szCs w:val="20"/>
      <w:lang w:val="en-GB"/>
    </w:rPr>
  </w:style>
  <w:style w:type="paragraph" w:styleId="Index9">
    <w:name w:val="index 9"/>
    <w:basedOn w:val="Normal"/>
    <w:next w:val="Normal"/>
    <w:autoRedefine/>
    <w:semiHidden/>
    <w:rsid w:val="00D8141B"/>
    <w:pPr>
      <w:spacing w:after="160" w:line="260" w:lineRule="exact"/>
      <w:ind w:left="1980" w:hanging="220"/>
    </w:pPr>
    <w:rPr>
      <w:rFonts w:ascii="TradeGothic" w:eastAsia="Times New Roman" w:hAnsi="TradeGothic" w:cs="Times New Roman"/>
      <w:szCs w:val="20"/>
      <w:lang w:val="en-GB"/>
    </w:rPr>
  </w:style>
  <w:style w:type="paragraph" w:styleId="IndexHeading">
    <w:name w:val="index heading"/>
    <w:basedOn w:val="Normal"/>
    <w:next w:val="Index1"/>
    <w:semiHidden/>
    <w:rsid w:val="00D8141B"/>
    <w:pPr>
      <w:spacing w:after="160" w:line="260" w:lineRule="exact"/>
    </w:pPr>
    <w:rPr>
      <w:rFonts w:eastAsia="Times New Roman" w:cs="Times New Roman"/>
      <w:b/>
      <w:szCs w:val="20"/>
      <w:lang w:val="en-GB"/>
    </w:rPr>
  </w:style>
  <w:style w:type="paragraph" w:styleId="List">
    <w:name w:val="List"/>
    <w:basedOn w:val="Normal"/>
    <w:semiHidden/>
    <w:rsid w:val="00D8141B"/>
    <w:pPr>
      <w:spacing w:after="160" w:line="260" w:lineRule="exact"/>
      <w:ind w:left="283" w:hanging="283"/>
    </w:pPr>
    <w:rPr>
      <w:rFonts w:ascii="TradeGothic" w:eastAsia="Times New Roman" w:hAnsi="TradeGothic" w:cs="Times New Roman"/>
      <w:szCs w:val="20"/>
      <w:lang w:val="en-GB"/>
    </w:rPr>
  </w:style>
  <w:style w:type="paragraph" w:styleId="List2">
    <w:name w:val="List 2"/>
    <w:basedOn w:val="Normal"/>
    <w:semiHidden/>
    <w:rsid w:val="00D8141B"/>
    <w:pPr>
      <w:spacing w:after="160" w:line="260" w:lineRule="exact"/>
      <w:ind w:left="566" w:hanging="283"/>
    </w:pPr>
    <w:rPr>
      <w:rFonts w:ascii="TradeGothic" w:eastAsia="Times New Roman" w:hAnsi="TradeGothic" w:cs="Times New Roman"/>
      <w:szCs w:val="20"/>
      <w:lang w:val="en-GB"/>
    </w:rPr>
  </w:style>
  <w:style w:type="paragraph" w:styleId="List3">
    <w:name w:val="List 3"/>
    <w:basedOn w:val="Normal"/>
    <w:semiHidden/>
    <w:rsid w:val="00D8141B"/>
    <w:pPr>
      <w:spacing w:after="160" w:line="260" w:lineRule="exact"/>
      <w:ind w:left="849" w:hanging="283"/>
    </w:pPr>
    <w:rPr>
      <w:rFonts w:ascii="TradeGothic" w:eastAsia="Times New Roman" w:hAnsi="TradeGothic" w:cs="Times New Roman"/>
      <w:szCs w:val="20"/>
      <w:lang w:val="en-GB"/>
    </w:rPr>
  </w:style>
  <w:style w:type="paragraph" w:styleId="List4">
    <w:name w:val="List 4"/>
    <w:basedOn w:val="Normal"/>
    <w:semiHidden/>
    <w:rsid w:val="00D8141B"/>
    <w:pPr>
      <w:spacing w:after="160" w:line="260" w:lineRule="exact"/>
      <w:ind w:left="1132" w:hanging="283"/>
    </w:pPr>
    <w:rPr>
      <w:rFonts w:ascii="TradeGothic" w:eastAsia="Times New Roman" w:hAnsi="TradeGothic" w:cs="Times New Roman"/>
      <w:szCs w:val="20"/>
      <w:lang w:val="en-GB"/>
    </w:rPr>
  </w:style>
  <w:style w:type="paragraph" w:styleId="List5">
    <w:name w:val="List 5"/>
    <w:basedOn w:val="Normal"/>
    <w:semiHidden/>
    <w:rsid w:val="00D8141B"/>
    <w:pPr>
      <w:spacing w:after="160" w:line="260" w:lineRule="exact"/>
      <w:ind w:left="1415" w:hanging="283"/>
    </w:pPr>
    <w:rPr>
      <w:rFonts w:ascii="TradeGothic" w:eastAsia="Times New Roman" w:hAnsi="TradeGothic" w:cs="Times New Roman"/>
      <w:szCs w:val="20"/>
      <w:lang w:val="en-GB"/>
    </w:rPr>
  </w:style>
  <w:style w:type="paragraph" w:styleId="ListBullet2">
    <w:name w:val="List Bullet 2"/>
    <w:basedOn w:val="Normal"/>
    <w:autoRedefine/>
    <w:semiHidden/>
    <w:rsid w:val="00D8141B"/>
    <w:pPr>
      <w:numPr>
        <w:numId w:val="1"/>
      </w:numPr>
      <w:spacing w:after="160" w:line="260" w:lineRule="exact"/>
    </w:pPr>
    <w:rPr>
      <w:rFonts w:ascii="TradeGothic" w:eastAsia="Times New Roman" w:hAnsi="TradeGothic" w:cs="Times New Roman"/>
      <w:szCs w:val="20"/>
      <w:lang w:val="en-GB"/>
    </w:rPr>
  </w:style>
  <w:style w:type="paragraph" w:styleId="ListBullet3">
    <w:name w:val="List Bullet 3"/>
    <w:basedOn w:val="Normal"/>
    <w:autoRedefine/>
    <w:semiHidden/>
    <w:rsid w:val="00D8141B"/>
    <w:pPr>
      <w:numPr>
        <w:numId w:val="2"/>
      </w:numPr>
      <w:spacing w:after="160" w:line="260" w:lineRule="exact"/>
    </w:pPr>
    <w:rPr>
      <w:rFonts w:ascii="TradeGothic" w:eastAsia="Times New Roman" w:hAnsi="TradeGothic" w:cs="Times New Roman"/>
      <w:szCs w:val="20"/>
      <w:lang w:val="en-GB"/>
    </w:rPr>
  </w:style>
  <w:style w:type="paragraph" w:styleId="ListBullet4">
    <w:name w:val="List Bullet 4"/>
    <w:basedOn w:val="Normal"/>
    <w:autoRedefine/>
    <w:semiHidden/>
    <w:rsid w:val="00D8141B"/>
    <w:pPr>
      <w:numPr>
        <w:numId w:val="3"/>
      </w:numPr>
      <w:spacing w:after="160" w:line="260" w:lineRule="exact"/>
    </w:pPr>
    <w:rPr>
      <w:rFonts w:ascii="TradeGothic" w:eastAsia="Times New Roman" w:hAnsi="TradeGothic" w:cs="Times New Roman"/>
      <w:szCs w:val="20"/>
      <w:lang w:val="en-GB"/>
    </w:rPr>
  </w:style>
  <w:style w:type="paragraph" w:styleId="ListBullet5">
    <w:name w:val="List Bullet 5"/>
    <w:basedOn w:val="Normal"/>
    <w:autoRedefine/>
    <w:semiHidden/>
    <w:rsid w:val="00D8141B"/>
    <w:pPr>
      <w:numPr>
        <w:numId w:val="4"/>
      </w:numPr>
      <w:spacing w:after="160" w:line="260" w:lineRule="exact"/>
    </w:pPr>
    <w:rPr>
      <w:rFonts w:ascii="TradeGothic" w:eastAsia="Times New Roman" w:hAnsi="TradeGothic" w:cs="Times New Roman"/>
      <w:szCs w:val="20"/>
      <w:lang w:val="en-GB"/>
    </w:rPr>
  </w:style>
  <w:style w:type="paragraph" w:styleId="ListContinue">
    <w:name w:val="List Continue"/>
    <w:basedOn w:val="Normal"/>
    <w:semiHidden/>
    <w:rsid w:val="00D8141B"/>
    <w:pPr>
      <w:spacing w:after="120" w:line="260" w:lineRule="exact"/>
      <w:ind w:left="283"/>
    </w:pPr>
    <w:rPr>
      <w:rFonts w:ascii="TradeGothic" w:eastAsia="Times New Roman" w:hAnsi="TradeGothic" w:cs="Times New Roman"/>
      <w:szCs w:val="20"/>
      <w:lang w:val="en-GB"/>
    </w:rPr>
  </w:style>
  <w:style w:type="paragraph" w:styleId="ListContinue2">
    <w:name w:val="List Continue 2"/>
    <w:basedOn w:val="Normal"/>
    <w:semiHidden/>
    <w:rsid w:val="00D8141B"/>
    <w:pPr>
      <w:spacing w:after="120" w:line="260" w:lineRule="exact"/>
      <w:ind w:left="566"/>
    </w:pPr>
    <w:rPr>
      <w:rFonts w:ascii="TradeGothic" w:eastAsia="Times New Roman" w:hAnsi="TradeGothic" w:cs="Times New Roman"/>
      <w:szCs w:val="20"/>
      <w:lang w:val="en-GB"/>
    </w:rPr>
  </w:style>
  <w:style w:type="paragraph" w:styleId="ListContinue3">
    <w:name w:val="List Continue 3"/>
    <w:basedOn w:val="Normal"/>
    <w:semiHidden/>
    <w:rsid w:val="00D8141B"/>
    <w:pPr>
      <w:spacing w:after="120" w:line="260" w:lineRule="exact"/>
      <w:ind w:left="849"/>
    </w:pPr>
    <w:rPr>
      <w:rFonts w:ascii="TradeGothic" w:eastAsia="Times New Roman" w:hAnsi="TradeGothic" w:cs="Times New Roman"/>
      <w:szCs w:val="20"/>
      <w:lang w:val="en-GB"/>
    </w:rPr>
  </w:style>
  <w:style w:type="paragraph" w:styleId="ListContinue4">
    <w:name w:val="List Continue 4"/>
    <w:basedOn w:val="Normal"/>
    <w:semiHidden/>
    <w:rsid w:val="00D8141B"/>
    <w:pPr>
      <w:spacing w:after="120" w:line="260" w:lineRule="exact"/>
      <w:ind w:left="1132"/>
    </w:pPr>
    <w:rPr>
      <w:rFonts w:ascii="TradeGothic" w:eastAsia="Times New Roman" w:hAnsi="TradeGothic" w:cs="Times New Roman"/>
      <w:szCs w:val="20"/>
      <w:lang w:val="en-GB"/>
    </w:rPr>
  </w:style>
  <w:style w:type="paragraph" w:styleId="ListContinue5">
    <w:name w:val="List Continue 5"/>
    <w:basedOn w:val="Normal"/>
    <w:semiHidden/>
    <w:rsid w:val="00D8141B"/>
    <w:pPr>
      <w:spacing w:after="120" w:line="260" w:lineRule="exact"/>
      <w:ind w:left="1415"/>
    </w:pPr>
    <w:rPr>
      <w:rFonts w:ascii="TradeGothic" w:eastAsia="Times New Roman" w:hAnsi="TradeGothic" w:cs="Times New Roman"/>
      <w:szCs w:val="20"/>
      <w:lang w:val="en-GB"/>
    </w:rPr>
  </w:style>
  <w:style w:type="paragraph" w:styleId="ListNumber2">
    <w:name w:val="List Number 2"/>
    <w:basedOn w:val="Normal"/>
    <w:semiHidden/>
    <w:rsid w:val="00D8141B"/>
    <w:pPr>
      <w:numPr>
        <w:numId w:val="5"/>
      </w:numPr>
      <w:spacing w:after="160" w:line="260" w:lineRule="exact"/>
    </w:pPr>
    <w:rPr>
      <w:rFonts w:ascii="TradeGothic" w:eastAsia="Times New Roman" w:hAnsi="TradeGothic" w:cs="Times New Roman"/>
      <w:szCs w:val="20"/>
      <w:lang w:val="en-GB"/>
    </w:rPr>
  </w:style>
  <w:style w:type="paragraph" w:styleId="ListNumber3">
    <w:name w:val="List Number 3"/>
    <w:basedOn w:val="Normal"/>
    <w:semiHidden/>
    <w:rsid w:val="00D8141B"/>
    <w:pPr>
      <w:numPr>
        <w:numId w:val="6"/>
      </w:numPr>
      <w:spacing w:after="160" w:line="260" w:lineRule="exact"/>
    </w:pPr>
    <w:rPr>
      <w:rFonts w:ascii="TradeGothic" w:eastAsia="Times New Roman" w:hAnsi="TradeGothic" w:cs="Times New Roman"/>
      <w:szCs w:val="20"/>
      <w:lang w:val="en-GB"/>
    </w:rPr>
  </w:style>
  <w:style w:type="paragraph" w:styleId="ListNumber4">
    <w:name w:val="List Number 4"/>
    <w:basedOn w:val="Normal"/>
    <w:semiHidden/>
    <w:rsid w:val="00D8141B"/>
    <w:pPr>
      <w:numPr>
        <w:numId w:val="7"/>
      </w:numPr>
      <w:spacing w:after="160" w:line="260" w:lineRule="exact"/>
    </w:pPr>
    <w:rPr>
      <w:rFonts w:ascii="TradeGothic" w:eastAsia="Times New Roman" w:hAnsi="TradeGothic" w:cs="Times New Roman"/>
      <w:szCs w:val="20"/>
      <w:lang w:val="en-GB"/>
    </w:rPr>
  </w:style>
  <w:style w:type="paragraph" w:styleId="ListNumber5">
    <w:name w:val="List Number 5"/>
    <w:basedOn w:val="Normal"/>
    <w:semiHidden/>
    <w:rsid w:val="00D8141B"/>
    <w:pPr>
      <w:numPr>
        <w:numId w:val="8"/>
      </w:numPr>
      <w:spacing w:after="160" w:line="260" w:lineRule="exact"/>
    </w:pPr>
    <w:rPr>
      <w:rFonts w:ascii="TradeGothic" w:eastAsia="Times New Roman" w:hAnsi="TradeGothic" w:cs="Times New Roman"/>
      <w:szCs w:val="20"/>
      <w:lang w:val="en-GB"/>
    </w:rPr>
  </w:style>
  <w:style w:type="paragraph" w:styleId="MacroText">
    <w:name w:val="macro"/>
    <w:link w:val="MacroTextChar"/>
    <w:semiHidden/>
    <w:rsid w:val="00D8141B"/>
    <w:pPr>
      <w:tabs>
        <w:tab w:val="left" w:pos="480"/>
        <w:tab w:val="left" w:pos="960"/>
        <w:tab w:val="left" w:pos="1440"/>
        <w:tab w:val="left" w:pos="1920"/>
        <w:tab w:val="left" w:pos="2400"/>
        <w:tab w:val="left" w:pos="2880"/>
        <w:tab w:val="left" w:pos="3360"/>
        <w:tab w:val="left" w:pos="3840"/>
        <w:tab w:val="left" w:pos="4320"/>
      </w:tabs>
      <w:spacing w:after="160" w:line="260" w:lineRule="exact"/>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sid w:val="00D8141B"/>
    <w:rPr>
      <w:rFonts w:ascii="Courier New" w:eastAsia="Times New Roman" w:hAnsi="Courier New" w:cs="Times New Roman"/>
      <w:sz w:val="20"/>
      <w:szCs w:val="20"/>
      <w:lang w:val="en-GB"/>
    </w:rPr>
  </w:style>
  <w:style w:type="paragraph" w:styleId="MessageHeader">
    <w:name w:val="Message Header"/>
    <w:basedOn w:val="Normal"/>
    <w:link w:val="MessageHeaderChar"/>
    <w:semiHidden/>
    <w:rsid w:val="00D8141B"/>
    <w:pPr>
      <w:pBdr>
        <w:top w:val="single" w:sz="6" w:space="1" w:color="auto"/>
        <w:left w:val="single" w:sz="6" w:space="1" w:color="auto"/>
        <w:bottom w:val="single" w:sz="6" w:space="1" w:color="auto"/>
        <w:right w:val="single" w:sz="6" w:space="1" w:color="auto"/>
      </w:pBdr>
      <w:shd w:val="pct20" w:color="auto" w:fill="auto"/>
      <w:spacing w:after="160" w:line="260" w:lineRule="exact"/>
      <w:ind w:left="1134" w:hanging="1134"/>
    </w:pPr>
    <w:rPr>
      <w:rFonts w:eastAsia="Times New Roman" w:cs="Times New Roman"/>
      <w:sz w:val="24"/>
      <w:szCs w:val="20"/>
      <w:lang w:val="en-GB"/>
    </w:rPr>
  </w:style>
  <w:style w:type="character" w:customStyle="1" w:styleId="MessageHeaderChar">
    <w:name w:val="Message Header Char"/>
    <w:basedOn w:val="DefaultParagraphFont"/>
    <w:link w:val="MessageHeader"/>
    <w:semiHidden/>
    <w:rsid w:val="00D8141B"/>
    <w:rPr>
      <w:rFonts w:ascii="Arial" w:eastAsia="Times New Roman" w:hAnsi="Arial" w:cs="Times New Roman"/>
      <w:sz w:val="24"/>
      <w:szCs w:val="20"/>
      <w:shd w:val="pct20" w:color="auto" w:fill="auto"/>
      <w:lang w:val="en-GB"/>
    </w:rPr>
  </w:style>
  <w:style w:type="paragraph" w:styleId="NormalIndent0">
    <w:name w:val="Normal Indent"/>
    <w:basedOn w:val="Normal"/>
    <w:semiHidden/>
    <w:rsid w:val="00D8141B"/>
    <w:pPr>
      <w:spacing w:after="160" w:line="260" w:lineRule="exact"/>
      <w:ind w:left="720"/>
    </w:pPr>
    <w:rPr>
      <w:rFonts w:ascii="TradeGothic" w:eastAsia="Times New Roman" w:hAnsi="TradeGothic" w:cs="Times New Roman"/>
      <w:szCs w:val="20"/>
      <w:lang w:val="en-GB"/>
    </w:rPr>
  </w:style>
  <w:style w:type="paragraph" w:styleId="NoteHeading">
    <w:name w:val="Note Heading"/>
    <w:basedOn w:val="Normal"/>
    <w:next w:val="Normal"/>
    <w:link w:val="NoteHeadingChar"/>
    <w:semiHidden/>
    <w:rsid w:val="00D8141B"/>
    <w:pPr>
      <w:spacing w:after="160" w:line="260" w:lineRule="exact"/>
    </w:pPr>
    <w:rPr>
      <w:rFonts w:ascii="TradeGothic" w:eastAsia="Times New Roman" w:hAnsi="TradeGothic" w:cs="Times New Roman"/>
      <w:szCs w:val="20"/>
      <w:lang w:val="en-GB"/>
    </w:rPr>
  </w:style>
  <w:style w:type="character" w:customStyle="1" w:styleId="NoteHeadingChar">
    <w:name w:val="Note Heading Char"/>
    <w:basedOn w:val="DefaultParagraphFont"/>
    <w:link w:val="NoteHeading"/>
    <w:semiHidden/>
    <w:rsid w:val="00D8141B"/>
    <w:rPr>
      <w:rFonts w:ascii="TradeGothic" w:eastAsia="Times New Roman" w:hAnsi="TradeGothic" w:cs="Times New Roman"/>
      <w:szCs w:val="20"/>
      <w:lang w:val="en-GB"/>
    </w:rPr>
  </w:style>
  <w:style w:type="paragraph" w:styleId="PlainText">
    <w:name w:val="Plain Text"/>
    <w:basedOn w:val="Normal"/>
    <w:link w:val="PlainTextChar"/>
    <w:semiHidden/>
    <w:rsid w:val="00D8141B"/>
    <w:pPr>
      <w:spacing w:after="160" w:line="260" w:lineRule="exact"/>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semiHidden/>
    <w:rsid w:val="00D8141B"/>
    <w:rPr>
      <w:rFonts w:ascii="Courier New" w:eastAsia="Times New Roman" w:hAnsi="Courier New" w:cs="Times New Roman"/>
      <w:sz w:val="20"/>
      <w:szCs w:val="20"/>
      <w:lang w:val="en-GB"/>
    </w:rPr>
  </w:style>
  <w:style w:type="paragraph" w:styleId="Salutation">
    <w:name w:val="Salutation"/>
    <w:basedOn w:val="Normal"/>
    <w:next w:val="Normal"/>
    <w:link w:val="SalutationChar"/>
    <w:semiHidden/>
    <w:rsid w:val="00D8141B"/>
    <w:pPr>
      <w:spacing w:after="160" w:line="260" w:lineRule="exact"/>
    </w:pPr>
    <w:rPr>
      <w:rFonts w:ascii="TradeGothic" w:eastAsia="Times New Roman" w:hAnsi="TradeGothic" w:cs="Times New Roman"/>
      <w:szCs w:val="20"/>
      <w:lang w:val="en-GB"/>
    </w:rPr>
  </w:style>
  <w:style w:type="character" w:customStyle="1" w:styleId="SalutationChar">
    <w:name w:val="Salutation Char"/>
    <w:basedOn w:val="DefaultParagraphFont"/>
    <w:link w:val="Salutation"/>
    <w:semiHidden/>
    <w:rsid w:val="00D8141B"/>
    <w:rPr>
      <w:rFonts w:ascii="TradeGothic" w:eastAsia="Times New Roman" w:hAnsi="TradeGothic" w:cs="Times New Roman"/>
      <w:szCs w:val="20"/>
      <w:lang w:val="en-GB"/>
    </w:rPr>
  </w:style>
  <w:style w:type="paragraph" w:styleId="Signature">
    <w:name w:val="Signature"/>
    <w:basedOn w:val="Normal"/>
    <w:link w:val="SignatureChar"/>
    <w:semiHidden/>
    <w:rsid w:val="00D8141B"/>
    <w:pPr>
      <w:spacing w:after="160" w:line="260" w:lineRule="exact"/>
      <w:ind w:left="4252"/>
    </w:pPr>
    <w:rPr>
      <w:rFonts w:ascii="TradeGothic" w:eastAsia="Times New Roman" w:hAnsi="TradeGothic" w:cs="Times New Roman"/>
      <w:szCs w:val="20"/>
      <w:lang w:val="en-GB"/>
    </w:rPr>
  </w:style>
  <w:style w:type="character" w:customStyle="1" w:styleId="SignatureChar">
    <w:name w:val="Signature Char"/>
    <w:basedOn w:val="DefaultParagraphFont"/>
    <w:link w:val="Signature"/>
    <w:semiHidden/>
    <w:rsid w:val="00D8141B"/>
    <w:rPr>
      <w:rFonts w:ascii="TradeGothic" w:eastAsia="Times New Roman" w:hAnsi="TradeGothic" w:cs="Times New Roman"/>
      <w:szCs w:val="20"/>
      <w:lang w:val="en-GB"/>
    </w:rPr>
  </w:style>
  <w:style w:type="paragraph" w:styleId="Subtitle">
    <w:name w:val="Subtitle"/>
    <w:basedOn w:val="Normal"/>
    <w:link w:val="SubtitleChar"/>
    <w:qFormat/>
    <w:rsid w:val="00D8141B"/>
    <w:pPr>
      <w:spacing w:after="60" w:line="260" w:lineRule="exact"/>
      <w:jc w:val="center"/>
      <w:outlineLvl w:val="1"/>
    </w:pPr>
    <w:rPr>
      <w:rFonts w:eastAsia="Times New Roman" w:cs="Times New Roman"/>
      <w:sz w:val="24"/>
      <w:szCs w:val="20"/>
      <w:lang w:val="en-GB"/>
    </w:rPr>
  </w:style>
  <w:style w:type="character" w:customStyle="1" w:styleId="SubtitleChar">
    <w:name w:val="Subtitle Char"/>
    <w:basedOn w:val="DefaultParagraphFont"/>
    <w:link w:val="Subtitle"/>
    <w:rsid w:val="00D8141B"/>
    <w:rPr>
      <w:rFonts w:ascii="Arial" w:eastAsia="Times New Roman" w:hAnsi="Arial" w:cs="Times New Roman"/>
      <w:sz w:val="24"/>
      <w:szCs w:val="20"/>
      <w:lang w:val="en-GB"/>
    </w:rPr>
  </w:style>
  <w:style w:type="paragraph" w:styleId="TableofAuthorities">
    <w:name w:val="table of authorities"/>
    <w:basedOn w:val="Normal"/>
    <w:next w:val="Normal"/>
    <w:semiHidden/>
    <w:rsid w:val="00D8141B"/>
    <w:pPr>
      <w:spacing w:after="160" w:line="260" w:lineRule="exact"/>
      <w:ind w:left="220" w:hanging="220"/>
    </w:pPr>
    <w:rPr>
      <w:rFonts w:ascii="TradeGothic" w:eastAsia="Times New Roman" w:hAnsi="TradeGothic" w:cs="Times New Roman"/>
      <w:szCs w:val="20"/>
      <w:lang w:val="en-GB"/>
    </w:rPr>
  </w:style>
  <w:style w:type="paragraph" w:styleId="TableofFigures">
    <w:name w:val="table of figures"/>
    <w:basedOn w:val="Normal"/>
    <w:next w:val="Normal"/>
    <w:semiHidden/>
    <w:rsid w:val="00D8141B"/>
    <w:pPr>
      <w:spacing w:after="160" w:line="260" w:lineRule="exact"/>
      <w:ind w:left="440" w:hanging="440"/>
    </w:pPr>
    <w:rPr>
      <w:rFonts w:ascii="TradeGothic" w:eastAsia="Times New Roman" w:hAnsi="TradeGothic" w:cs="Times New Roman"/>
      <w:szCs w:val="20"/>
      <w:lang w:val="en-GB"/>
    </w:rPr>
  </w:style>
  <w:style w:type="paragraph" w:styleId="TOAHeading">
    <w:name w:val="toa heading"/>
    <w:basedOn w:val="Normal"/>
    <w:next w:val="Normal"/>
    <w:semiHidden/>
    <w:rsid w:val="00D8141B"/>
    <w:pPr>
      <w:spacing w:before="120" w:after="160" w:line="260" w:lineRule="exact"/>
    </w:pPr>
    <w:rPr>
      <w:rFonts w:eastAsia="Times New Roman" w:cs="Times New Roman"/>
      <w:b/>
      <w:sz w:val="24"/>
      <w:szCs w:val="20"/>
      <w:lang w:val="en-GB"/>
    </w:rPr>
  </w:style>
  <w:style w:type="paragraph" w:styleId="BalloonText">
    <w:name w:val="Balloon Text"/>
    <w:basedOn w:val="Normal"/>
    <w:link w:val="BalloonTextChar"/>
    <w:semiHidden/>
    <w:rsid w:val="00D8141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D8141B"/>
    <w:rPr>
      <w:rFonts w:ascii="Tahoma" w:eastAsia="Times New Roman" w:hAnsi="Tahoma" w:cs="Tahoma"/>
      <w:sz w:val="16"/>
      <w:szCs w:val="16"/>
      <w:lang w:val="en-US"/>
    </w:rPr>
  </w:style>
  <w:style w:type="character" w:styleId="Emphasis">
    <w:name w:val="Emphasis"/>
    <w:basedOn w:val="DefaultParagraphFont"/>
    <w:uiPriority w:val="20"/>
    <w:qFormat/>
    <w:rsid w:val="00D8141B"/>
    <w:rPr>
      <w:i/>
      <w:iCs/>
    </w:rPr>
  </w:style>
  <w:style w:type="character" w:styleId="CommentReference">
    <w:name w:val="annotation reference"/>
    <w:basedOn w:val="DefaultParagraphFont"/>
    <w:uiPriority w:val="99"/>
    <w:semiHidden/>
    <w:unhideWhenUsed/>
    <w:rsid w:val="00D8141B"/>
    <w:rPr>
      <w:sz w:val="16"/>
      <w:szCs w:val="16"/>
    </w:rPr>
  </w:style>
  <w:style w:type="paragraph" w:styleId="ListParagraph">
    <w:name w:val="List Paragraph"/>
    <w:basedOn w:val="Normal"/>
    <w:uiPriority w:val="34"/>
    <w:qFormat/>
    <w:rsid w:val="00D8141B"/>
    <w:pPr>
      <w:spacing w:after="0" w:line="240" w:lineRule="auto"/>
      <w:ind w:left="720"/>
    </w:pPr>
    <w:rPr>
      <w:rFonts w:eastAsia="Times New Roman" w:cs="Times New Roman"/>
      <w:sz w:val="24"/>
      <w:szCs w:val="20"/>
      <w:lang w:val="en-US"/>
    </w:rPr>
  </w:style>
  <w:style w:type="paragraph" w:styleId="CommentSubject">
    <w:name w:val="annotation subject"/>
    <w:basedOn w:val="CommentText"/>
    <w:next w:val="CommentText"/>
    <w:link w:val="CommentSubjectChar"/>
    <w:uiPriority w:val="99"/>
    <w:semiHidden/>
    <w:unhideWhenUsed/>
    <w:rsid w:val="00D8141B"/>
    <w:pPr>
      <w:spacing w:after="0" w:line="240" w:lineRule="auto"/>
    </w:pPr>
    <w:rPr>
      <w:rFonts w:ascii="Arial" w:hAnsi="Arial"/>
      <w:b/>
      <w:bCs/>
      <w:lang w:val="en-US"/>
    </w:rPr>
  </w:style>
  <w:style w:type="character" w:customStyle="1" w:styleId="CommentSubjectChar">
    <w:name w:val="Comment Subject Char"/>
    <w:basedOn w:val="CommentTextChar"/>
    <w:link w:val="CommentSubject"/>
    <w:uiPriority w:val="99"/>
    <w:semiHidden/>
    <w:rsid w:val="00D8141B"/>
    <w:rPr>
      <w:rFonts w:ascii="Arial" w:eastAsia="Times New Roman" w:hAnsi="Arial" w:cs="Times New Roman"/>
      <w:b/>
      <w:bCs/>
      <w:sz w:val="20"/>
      <w:szCs w:val="20"/>
      <w:lang w:val="en-US"/>
    </w:rPr>
  </w:style>
  <w:style w:type="paragraph" w:styleId="Revision">
    <w:name w:val="Revision"/>
    <w:hidden/>
    <w:uiPriority w:val="99"/>
    <w:semiHidden/>
    <w:rsid w:val="00D8141B"/>
    <w:pPr>
      <w:spacing w:after="0" w:line="240" w:lineRule="auto"/>
    </w:pPr>
    <w:rPr>
      <w:rFonts w:ascii="Arial" w:eastAsia="Times New Roman" w:hAnsi="Arial" w:cs="Times New Roman"/>
      <w:sz w:val="24"/>
      <w:szCs w:val="20"/>
      <w:lang w:val="en-US"/>
    </w:rPr>
  </w:style>
  <w:style w:type="table" w:styleId="TableGrid">
    <w:name w:val="Table Grid"/>
    <w:basedOn w:val="TableNormal"/>
    <w:uiPriority w:val="39"/>
    <w:rsid w:val="00D8141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9">
    <w:name w:val="Pa19"/>
    <w:basedOn w:val="Normal"/>
    <w:next w:val="Normal"/>
    <w:uiPriority w:val="99"/>
    <w:rsid w:val="00D8141B"/>
    <w:pPr>
      <w:autoSpaceDE w:val="0"/>
      <w:autoSpaceDN w:val="0"/>
      <w:adjustRightInd w:val="0"/>
      <w:spacing w:after="0" w:line="181" w:lineRule="atLeast"/>
    </w:pPr>
    <w:rPr>
      <w:rFonts w:ascii="Univers 55" w:eastAsia="Times New Roman" w:hAnsi="Univers 55" w:cs="Times New Roman"/>
      <w:sz w:val="24"/>
      <w:szCs w:val="24"/>
      <w:lang w:val="en-US" w:eastAsia="en-AU"/>
    </w:rPr>
  </w:style>
  <w:style w:type="table" w:customStyle="1" w:styleId="TableGrid1">
    <w:name w:val="Table Grid1"/>
    <w:basedOn w:val="TableNormal"/>
    <w:next w:val="TableGrid"/>
    <w:uiPriority w:val="59"/>
    <w:rsid w:val="00D8141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7D24"/>
    <w:pPr>
      <w:spacing w:after="0" w:line="240" w:lineRule="auto"/>
    </w:pPr>
    <w:rPr>
      <w:rFonts w:ascii="Arial" w:hAnsi="Arial"/>
    </w:rPr>
  </w:style>
  <w:style w:type="character" w:customStyle="1" w:styleId="ParagraphChar">
    <w:name w:val="Paragraph Char"/>
    <w:link w:val="Paragraph"/>
    <w:rsid w:val="00F06162"/>
    <w:rPr>
      <w:rFonts w:ascii="Helvetica" w:hAnsi="Helvetica"/>
      <w:sz w:val="24"/>
      <w:szCs w:val="24"/>
    </w:rPr>
  </w:style>
  <w:style w:type="character" w:customStyle="1" w:styleId="SubsectionChar">
    <w:name w:val="Subsection Char"/>
    <w:link w:val="Subsection"/>
    <w:rsid w:val="00F06162"/>
    <w:rPr>
      <w:rFonts w:ascii="Helvetica" w:hAnsi="Helvetica"/>
      <w:sz w:val="24"/>
      <w:szCs w:val="24"/>
    </w:rPr>
  </w:style>
  <w:style w:type="paragraph" w:customStyle="1" w:styleId="Subsection">
    <w:name w:val="Subsection"/>
    <w:basedOn w:val="Normal"/>
    <w:link w:val="SubsectionChar"/>
    <w:rsid w:val="00F06162"/>
    <w:pPr>
      <w:widowControl w:val="0"/>
      <w:tabs>
        <w:tab w:val="right" w:pos="902"/>
      </w:tabs>
      <w:spacing w:after="240" w:line="240" w:lineRule="auto"/>
      <w:ind w:left="1100" w:hanging="1100"/>
      <w:jc w:val="both"/>
    </w:pPr>
    <w:rPr>
      <w:rFonts w:ascii="Helvetica" w:hAnsi="Helvetica"/>
      <w:sz w:val="24"/>
      <w:szCs w:val="24"/>
    </w:rPr>
  </w:style>
  <w:style w:type="paragraph" w:customStyle="1" w:styleId="Paragraph">
    <w:name w:val="Paragraph"/>
    <w:basedOn w:val="Normal"/>
    <w:link w:val="ParagraphChar"/>
    <w:rsid w:val="00F06162"/>
    <w:pPr>
      <w:widowControl w:val="0"/>
      <w:spacing w:after="240" w:line="240" w:lineRule="auto"/>
      <w:ind w:left="1667" w:hanging="567"/>
      <w:jc w:val="both"/>
    </w:pPr>
    <w:rPr>
      <w:rFonts w:ascii="Helvetica" w:hAnsi="Helvetica"/>
      <w:sz w:val="24"/>
      <w:szCs w:val="24"/>
    </w:rPr>
  </w:style>
  <w:style w:type="paragraph" w:customStyle="1" w:styleId="BodyText1">
    <w:name w:val="Body Text1"/>
    <w:basedOn w:val="Normal"/>
    <w:qFormat/>
    <w:rsid w:val="00BB678A"/>
    <w:pPr>
      <w:numPr>
        <w:ilvl w:val="1"/>
        <w:numId w:val="25"/>
      </w:numPr>
      <w:tabs>
        <w:tab w:val="left" w:pos="851"/>
      </w:tabs>
      <w:spacing w:line="240" w:lineRule="auto"/>
    </w:pPr>
    <w:rPr>
      <w:rFonts w:eastAsia="Times New Roman" w:cs="Arial"/>
      <w:lang w:eastAsia="en-AU"/>
    </w:rPr>
  </w:style>
  <w:style w:type="paragraph" w:customStyle="1" w:styleId="Paragraph2">
    <w:name w:val="Paragraph 2"/>
    <w:basedOn w:val="Normal"/>
    <w:qFormat/>
    <w:rsid w:val="00F04C11"/>
    <w:pPr>
      <w:keepNext/>
      <w:spacing w:line="240" w:lineRule="auto"/>
      <w:ind w:left="1702" w:hanging="851"/>
    </w:pPr>
    <w:rPr>
      <w:rFonts w:eastAsia="Times New Roman" w:cs="Arial"/>
      <w:lang w:eastAsia="en-AU"/>
    </w:rPr>
  </w:style>
  <w:style w:type="paragraph" w:customStyle="1" w:styleId="Bulletpoint">
    <w:name w:val="Bullet point"/>
    <w:basedOn w:val="Normal"/>
    <w:qFormat/>
    <w:rsid w:val="00F04C11"/>
    <w:pPr>
      <w:keepNext/>
      <w:numPr>
        <w:ilvl w:val="1"/>
        <w:numId w:val="26"/>
      </w:numPr>
      <w:spacing w:before="120" w:after="120" w:line="240" w:lineRule="auto"/>
      <w:ind w:left="2155" w:hanging="454"/>
    </w:pPr>
    <w:rPr>
      <w:rFonts w:eastAsia="Times New Roman" w:cs="Arial"/>
      <w:lang w:eastAsia="en-AU"/>
    </w:rPr>
  </w:style>
  <w:style w:type="paragraph" w:customStyle="1" w:styleId="BodyText2">
    <w:name w:val="Body Text2"/>
    <w:basedOn w:val="BodyText1"/>
    <w:qFormat/>
    <w:rsid w:val="00BB678A"/>
    <w:pPr>
      <w:numPr>
        <w:ilvl w:val="0"/>
        <w:numId w:val="29"/>
      </w:numPr>
      <w:tabs>
        <w:tab w:val="clear" w:pos="851"/>
        <w:tab w:val="left" w:pos="709"/>
      </w:tabs>
      <w:ind w:left="709" w:hanging="709"/>
    </w:pPr>
  </w:style>
  <w:style w:type="paragraph" w:customStyle="1" w:styleId="BodyText3">
    <w:name w:val="Body Text3"/>
    <w:basedOn w:val="BodyText2"/>
    <w:qFormat/>
    <w:rsid w:val="00A51088"/>
    <w:pPr>
      <w:numPr>
        <w:numId w:val="30"/>
      </w:numPr>
      <w:ind w:left="709" w:hanging="709"/>
    </w:pPr>
    <w:rPr>
      <w:lang w:val="en-US"/>
    </w:rPr>
  </w:style>
  <w:style w:type="paragraph" w:customStyle="1" w:styleId="BodyText4">
    <w:name w:val="Body Text4"/>
    <w:basedOn w:val="BodyText3"/>
    <w:qFormat/>
    <w:rsid w:val="00DF788A"/>
    <w:pPr>
      <w:numPr>
        <w:numId w:val="32"/>
      </w:numPr>
      <w:ind w:left="709" w:hanging="709"/>
    </w:pPr>
  </w:style>
  <w:style w:type="paragraph" w:customStyle="1" w:styleId="BodyText5">
    <w:name w:val="Body Text5"/>
    <w:basedOn w:val="BodyText4"/>
    <w:qFormat/>
    <w:rsid w:val="00F81C40"/>
    <w:pPr>
      <w:numPr>
        <w:numId w:val="34"/>
      </w:numPr>
      <w:ind w:left="709" w:hanging="709"/>
    </w:pPr>
  </w:style>
  <w:style w:type="paragraph" w:customStyle="1" w:styleId="BodyText6">
    <w:name w:val="Body Text6"/>
    <w:basedOn w:val="BodyText5"/>
    <w:qFormat/>
    <w:rsid w:val="00773899"/>
    <w:pPr>
      <w:numPr>
        <w:numId w:val="35"/>
      </w:numPr>
      <w:ind w:left="709" w:hanging="709"/>
    </w:pPr>
  </w:style>
  <w:style w:type="paragraph" w:customStyle="1" w:styleId="BodyText7">
    <w:name w:val="Body Text7"/>
    <w:basedOn w:val="BodyText6"/>
    <w:qFormat/>
    <w:rsid w:val="00FA5A29"/>
    <w:pPr>
      <w:numPr>
        <w:numId w:val="36"/>
      </w:numPr>
      <w:ind w:left="709" w:hanging="709"/>
    </w:pPr>
  </w:style>
  <w:style w:type="paragraph" w:customStyle="1" w:styleId="BodyText8">
    <w:name w:val="Body Text8"/>
    <w:basedOn w:val="BodyText7"/>
    <w:qFormat/>
    <w:rsid w:val="00564D1A"/>
    <w:pPr>
      <w:numPr>
        <w:numId w:val="37"/>
      </w:numPr>
      <w:ind w:left="709" w:hanging="709"/>
    </w:pPr>
  </w:style>
  <w:style w:type="paragraph" w:customStyle="1" w:styleId="BodyText9">
    <w:name w:val="Body Text9"/>
    <w:basedOn w:val="BodyText8"/>
    <w:qFormat/>
    <w:rsid w:val="0057644C"/>
    <w:pPr>
      <w:numPr>
        <w:numId w:val="38"/>
      </w:numPr>
      <w:ind w:left="709" w:hanging="709"/>
    </w:pPr>
  </w:style>
  <w:style w:type="paragraph" w:customStyle="1" w:styleId="BodyText10">
    <w:name w:val="Body Text10"/>
    <w:basedOn w:val="BodyText9"/>
    <w:qFormat/>
    <w:rsid w:val="00E80BE5"/>
    <w:pPr>
      <w:numPr>
        <w:numId w:val="39"/>
      </w:numPr>
      <w:ind w:left="709" w:hanging="709"/>
    </w:pPr>
  </w:style>
  <w:style w:type="paragraph" w:customStyle="1" w:styleId="BodyText11">
    <w:name w:val="Body Text11"/>
    <w:basedOn w:val="BodyText6"/>
    <w:qFormat/>
    <w:rsid w:val="00E80BE5"/>
    <w:pPr>
      <w:numPr>
        <w:numId w:val="40"/>
      </w:numPr>
      <w:ind w:left="709" w:hanging="709"/>
    </w:pPr>
  </w:style>
  <w:style w:type="paragraph" w:customStyle="1" w:styleId="BodyText12">
    <w:name w:val="Body Text12"/>
    <w:basedOn w:val="BodyText11"/>
    <w:qFormat/>
    <w:rsid w:val="00980036"/>
    <w:pPr>
      <w:numPr>
        <w:numId w:val="42"/>
      </w:numPr>
      <w:ind w:left="709" w:hanging="709"/>
    </w:pPr>
  </w:style>
  <w:style w:type="paragraph" w:customStyle="1" w:styleId="BodyText13">
    <w:name w:val="Body Text13"/>
    <w:basedOn w:val="BodyText12"/>
    <w:qFormat/>
    <w:rsid w:val="006C341F"/>
    <w:pPr>
      <w:numPr>
        <w:numId w:val="43"/>
      </w:numPr>
      <w:ind w:left="709" w:hanging="709"/>
    </w:pPr>
  </w:style>
  <w:style w:type="paragraph" w:customStyle="1" w:styleId="BodyText14">
    <w:name w:val="Body Text14"/>
    <w:basedOn w:val="BodyText13"/>
    <w:qFormat/>
    <w:rsid w:val="00187696"/>
    <w:pPr>
      <w:numPr>
        <w:numId w:val="44"/>
      </w:numPr>
      <w:ind w:left="709" w:hanging="709"/>
    </w:pPr>
  </w:style>
  <w:style w:type="paragraph" w:customStyle="1" w:styleId="BodyText15">
    <w:name w:val="Body Text15"/>
    <w:basedOn w:val="BodyText6"/>
    <w:qFormat/>
    <w:rsid w:val="00DC2B23"/>
    <w:pPr>
      <w:numPr>
        <w:numId w:val="45"/>
      </w:numPr>
      <w:ind w:left="709" w:hanging="709"/>
    </w:pPr>
  </w:style>
  <w:style w:type="paragraph" w:customStyle="1" w:styleId="BodyText16">
    <w:name w:val="Body Text16"/>
    <w:basedOn w:val="BodyText15"/>
    <w:qFormat/>
    <w:rsid w:val="009B089D"/>
    <w:pPr>
      <w:numPr>
        <w:numId w:val="46"/>
      </w:numPr>
      <w:ind w:left="709" w:hanging="709"/>
    </w:pPr>
  </w:style>
  <w:style w:type="paragraph" w:customStyle="1" w:styleId="BodyText17">
    <w:name w:val="Body Text17"/>
    <w:basedOn w:val="BodyText16"/>
    <w:qFormat/>
    <w:rsid w:val="009B3943"/>
    <w:pPr>
      <w:numPr>
        <w:numId w:val="48"/>
      </w:numPr>
      <w:ind w:left="709" w:hanging="709"/>
    </w:pPr>
  </w:style>
  <w:style w:type="paragraph" w:customStyle="1" w:styleId="BodyText0">
    <w:name w:val="Body Text0"/>
    <w:basedOn w:val="BodyText1"/>
    <w:qFormat/>
    <w:rsid w:val="00424ABD"/>
    <w:pPr>
      <w:numPr>
        <w:ilvl w:val="0"/>
        <w:numId w:val="0"/>
      </w:numPr>
    </w:pPr>
  </w:style>
  <w:style w:type="paragraph" w:styleId="TOCHeading">
    <w:name w:val="TOC Heading"/>
    <w:basedOn w:val="Heading1"/>
    <w:next w:val="Normal"/>
    <w:uiPriority w:val="39"/>
    <w:unhideWhenUsed/>
    <w:qFormat/>
    <w:rsid w:val="009F4601"/>
    <w:pPr>
      <w:keepNext/>
      <w:keepLines/>
      <w:numPr>
        <w:numId w:val="0"/>
      </w:numPr>
      <w:tabs>
        <w:tab w:val="clear" w:pos="567"/>
      </w:tabs>
      <w:spacing w:before="240" w:after="0" w:line="259" w:lineRule="auto"/>
      <w:outlineLvl w:val="9"/>
    </w:pPr>
    <w:rPr>
      <w:rFonts w:asciiTheme="majorHAnsi" w:eastAsiaTheme="majorEastAsia" w:hAnsiTheme="majorHAnsi" w:cstheme="majorBidi"/>
      <w:b w:val="0"/>
      <w:noProof w:val="0"/>
      <w:color w:val="365F91" w:themeColor="accent1" w:themeShade="BF"/>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420144">
      <w:bodyDiv w:val="1"/>
      <w:marLeft w:val="0"/>
      <w:marRight w:val="0"/>
      <w:marTop w:val="0"/>
      <w:marBottom w:val="0"/>
      <w:divBdr>
        <w:top w:val="none" w:sz="0" w:space="0" w:color="auto"/>
        <w:left w:val="none" w:sz="0" w:space="0" w:color="auto"/>
        <w:bottom w:val="none" w:sz="0" w:space="0" w:color="auto"/>
        <w:right w:val="none" w:sz="0" w:space="0" w:color="auto"/>
      </w:divBdr>
    </w:div>
    <w:div w:id="904489178">
      <w:bodyDiv w:val="1"/>
      <w:marLeft w:val="0"/>
      <w:marRight w:val="0"/>
      <w:marTop w:val="0"/>
      <w:marBottom w:val="0"/>
      <w:divBdr>
        <w:top w:val="none" w:sz="0" w:space="0" w:color="auto"/>
        <w:left w:val="none" w:sz="0" w:space="0" w:color="auto"/>
        <w:bottom w:val="none" w:sz="0" w:space="0" w:color="auto"/>
        <w:right w:val="none" w:sz="0" w:space="0" w:color="auto"/>
      </w:divBdr>
    </w:div>
    <w:div w:id="1382098832">
      <w:bodyDiv w:val="1"/>
      <w:marLeft w:val="0"/>
      <w:marRight w:val="0"/>
      <w:marTop w:val="0"/>
      <w:marBottom w:val="0"/>
      <w:divBdr>
        <w:top w:val="none" w:sz="0" w:space="0" w:color="auto"/>
        <w:left w:val="none" w:sz="0" w:space="0" w:color="auto"/>
        <w:bottom w:val="none" w:sz="0" w:space="0" w:color="auto"/>
        <w:right w:val="none" w:sz="0" w:space="0" w:color="auto"/>
      </w:divBdr>
    </w:div>
    <w:div w:id="1493984147">
      <w:bodyDiv w:val="1"/>
      <w:marLeft w:val="0"/>
      <w:marRight w:val="0"/>
      <w:marTop w:val="0"/>
      <w:marBottom w:val="0"/>
      <w:divBdr>
        <w:top w:val="none" w:sz="0" w:space="0" w:color="auto"/>
        <w:left w:val="none" w:sz="0" w:space="0" w:color="auto"/>
        <w:bottom w:val="none" w:sz="0" w:space="0" w:color="auto"/>
        <w:right w:val="none" w:sz="0" w:space="0" w:color="auto"/>
      </w:divBdr>
    </w:div>
    <w:div w:id="178811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safeworkaustralia.gov.au/sites/swa/about/publications/pages/comparison" TargetMode="External"/><Relationship Id="rId26" Type="http://schemas.openxmlformats.org/officeDocument/2006/relationships/hyperlink" Target="http://www.mja.com.au/public/issues/apr19/colman/" TargetMode="External"/><Relationship Id="rId39" Type="http://schemas.openxmlformats.org/officeDocument/2006/relationships/image" Target="media/image7.png"/><Relationship Id="rId21" Type="http://schemas.openxmlformats.org/officeDocument/2006/relationships/header" Target="header2.xml"/><Relationship Id="rId34" Type="http://schemas.openxmlformats.org/officeDocument/2006/relationships/hyperlink" Target="http://www.mja.com.au/public/issues/apr19/colman/" TargetMode="External"/><Relationship Id="rId42" Type="http://schemas.openxmlformats.org/officeDocument/2006/relationships/hyperlink" Target="http://www.mja.com.au/public/issues/apr19/colman/" TargetMode="External"/><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mja.com.au/public/issues/apr19/colman/" TargetMode="External"/><Relationship Id="rId11" Type="http://schemas.openxmlformats.org/officeDocument/2006/relationships/image" Target="media/image4.jpg"/><Relationship Id="rId24" Type="http://schemas.openxmlformats.org/officeDocument/2006/relationships/hyperlink" Target="http://www.mja.com.au/public/issues/apr19/colman/" TargetMode="External"/><Relationship Id="rId32" Type="http://schemas.openxmlformats.org/officeDocument/2006/relationships/hyperlink" Target="http://www.mja.com.au/public/issues/apr19/colman/" TargetMode="External"/><Relationship Id="rId37" Type="http://schemas.openxmlformats.org/officeDocument/2006/relationships/hyperlink" Target="http://www.mja.com.au/public/issues/apr19/colman/" TargetMode="External"/><Relationship Id="rId40" Type="http://schemas.openxmlformats.org/officeDocument/2006/relationships/image" Target="media/image70.png"/><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mailto:datantworksafe@nt.gov.au" TargetMode="External"/><Relationship Id="rId31" Type="http://schemas.openxmlformats.org/officeDocument/2006/relationships/hyperlink" Target="http://www.mja.com.au/public/issues/apr19/colman/" TargetMode="External"/><Relationship Id="rId44" Type="http://schemas.openxmlformats.org/officeDocument/2006/relationships/header" Target="head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www.mja.com.au/public/issues/apr19/colman/" TargetMode="External"/><Relationship Id="rId30" Type="http://schemas.openxmlformats.org/officeDocument/2006/relationships/hyperlink" Target="http://www.mja.com.au/public/issues/apr19/colman/" TargetMode="External"/><Relationship Id="rId35" Type="http://schemas.openxmlformats.org/officeDocument/2006/relationships/hyperlink" Target="http://www.mja.com.au/public/issues/apr19/colman/" TargetMode="External"/><Relationship Id="rId43" Type="http://schemas.openxmlformats.org/officeDocument/2006/relationships/header" Target="header3.xml"/><Relationship Id="rId48" Type="http://schemas.openxmlformats.org/officeDocument/2006/relationships/header" Target="header8.xml"/><Relationship Id="rId56"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hyperlink" Target="http://www.mja.com.au/public/issues/apr19/colman/" TargetMode="External"/><Relationship Id="rId33" Type="http://schemas.openxmlformats.org/officeDocument/2006/relationships/hyperlink" Target="http://www.mja.com.au/public/issues/apr19/colman/" TargetMode="External"/><Relationship Id="rId38" Type="http://schemas.openxmlformats.org/officeDocument/2006/relationships/hyperlink" Target="http://www.mja.com.au/public/issues/apr19/colman/" TargetMode="External"/><Relationship Id="rId46" Type="http://schemas.openxmlformats.org/officeDocument/2006/relationships/header" Target="header6.xml"/><Relationship Id="rId20" Type="http://schemas.openxmlformats.org/officeDocument/2006/relationships/footer" Target="footer4.xml"/><Relationship Id="rId41" Type="http://schemas.openxmlformats.org/officeDocument/2006/relationships/hyperlink" Target="http://www.mja.com.au/public/issues/apr19/colman/"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www.mja.com.au/public/issues/apr19/colman/" TargetMode="External"/><Relationship Id="rId36" Type="http://schemas.openxmlformats.org/officeDocument/2006/relationships/hyperlink" Target="http://www.mja.com.au/public/issues/apr19/colman/" TargetMode="External"/><Relationship Id="rId49" Type="http://schemas.openxmlformats.org/officeDocument/2006/relationships/header" Target="header9.xml"/></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kSafe Resource" ma:contentTypeID="0x010100D0EB5375E3C86245AEF23D5DEFF38C9200F0A59824860E934B9BC4AEE5E863050D" ma:contentTypeVersion="47" ma:contentTypeDescription="" ma:contentTypeScope="" ma:versionID="e89f5d657f6cdf22772996b27fa6f06a">
  <xsd:schema xmlns:xsd="http://www.w3.org/2001/XMLSchema" xmlns:xs="http://www.w3.org/2001/XMLSchema" xmlns:p="http://schemas.microsoft.com/office/2006/metadata/properties" xmlns:ns1="http://schemas.microsoft.com/sharepoint/v3" xmlns:ns2="eb399b68-b676-431b-a7f2-330aea86a718" xmlns:ns3="7c6ffd00-bb68-4206-866a-14e79ead1e87" targetNamespace="http://schemas.microsoft.com/office/2006/metadata/properties" ma:root="true" ma:fieldsID="106b1f5a16c5c18d1f37d8f653c95dee" ns1:_="" ns2:_="" ns3:_="">
    <xsd:import namespace="http://schemas.microsoft.com/sharepoint/v3"/>
    <xsd:import namespace="eb399b68-b676-431b-a7f2-330aea86a718"/>
    <xsd:import namespace="7c6ffd00-bb68-4206-866a-14e79ead1e87"/>
    <xsd:element name="properties">
      <xsd:complexType>
        <xsd:sequence>
          <xsd:element name="documentManagement">
            <xsd:complexType>
              <xsd:all>
                <xsd:element ref="ns2:Web_x0020_Section" minOccurs="0"/>
                <xsd:element ref="ns2:Topics" minOccurs="0"/>
                <xsd:element ref="ns2:Document_x0020_type" minOccurs="0"/>
                <xsd:element ref="ns3:NTWorkSafe_x0020_Filter" minOccurs="0"/>
                <xsd:element ref="ns1:PublishingStartDate" minOccurs="0"/>
                <xsd:element ref="ns1:PublishingExpirationDate" minOccurs="0"/>
                <xsd:element ref="ns2:PDF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internalName="Scheduling_x0020_Start_x0020_Date">
      <xsd:simpleType>
        <xsd:restriction base="dms:Unknown"/>
      </xsd:simpleType>
    </xsd:element>
    <xsd:element name="PublishingExpirationDate" ma:index="8" nillable="true" ma:displayName="Scheduling End Date"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399b68-b676-431b-a7f2-330aea86a718" elementFormDefault="qualified">
    <xsd:import namespace="http://schemas.microsoft.com/office/2006/documentManagement/types"/>
    <xsd:import namespace="http://schemas.microsoft.com/office/infopath/2007/PartnerControls"/>
    <xsd:element name="Web_x0020_Section" ma:index="2" nillable="true" ma:displayName="Web section" ma:internalName="Web_x0020_Section" ma:readOnly="false">
      <xsd:complexType>
        <xsd:complexContent>
          <xsd:extension base="dms:MultiChoice">
            <xsd:sequence>
              <xsd:element name="Value" maxOccurs="unbounded" minOccurs="0" nillable="true">
                <xsd:simpleType>
                  <xsd:restriction base="dms:Choice">
                    <xsd:enumeration value="Safety and prevention"/>
                    <xsd:enumeration value="Licensing and registration"/>
                    <xsd:enumeration value="Workers compensation"/>
                    <xsd:enumeration value="Laws and compliance"/>
                  </xsd:restriction>
                </xsd:simpleType>
              </xsd:element>
            </xsd:sequence>
          </xsd:extension>
        </xsd:complexContent>
      </xsd:complexType>
    </xsd:element>
    <xsd:element name="Topics" ma:index="3" nillable="true" ma:displayName="Topics" ma:internalName="Topics" ma:readOnly="false">
      <xsd:complexType>
        <xsd:complexContent>
          <xsd:extension base="dms:MultiChoice">
            <xsd:sequence>
              <xsd:element name="Value" maxOccurs="unbounded" minOccurs="0" nillable="true">
                <xsd:simpleType>
                  <xsd:restriction base="dms:Choice">
                    <xsd:enumeration value="Asbestos"/>
                    <xsd:enumeration value="Assessor"/>
                    <xsd:enumeration value="Bullying"/>
                    <xsd:enumeration value="Confined space"/>
                    <xsd:enumeration value="Construction"/>
                    <xsd:enumeration value="Consultation"/>
                    <xsd:enumeration value="Corporate"/>
                    <xsd:enumeration value="Dangerous goods driver"/>
                    <xsd:enumeration value="Electrical safety"/>
                    <xsd:enumeration value="Entry permit holder"/>
                    <xsd:enumeration value="Explosives"/>
                    <xsd:enumeration value="Fatigue"/>
                    <xsd:enumeration value="Fireworks"/>
                    <xsd:enumeration value="Gas safety"/>
                    <xsd:enumeration value="Gasfitter"/>
                    <xsd:enumeration value="Hazardous chemicals"/>
                    <xsd:enumeration value="Health and safety representative"/>
                    <xsd:enumeration value="High risk"/>
                    <xsd:enumeration value="Legislation"/>
                    <xsd:enumeration value="Manual handling"/>
                    <xsd:enumeration value="Major hazard facility"/>
                    <xsd:enumeration value="Mediation"/>
                    <xsd:enumeration value="Mining"/>
                    <xsd:enumeration value="Notification requirements"/>
                    <xsd:enumeration value="Permanent impairment"/>
                    <xsd:enumeration value="Plant and machinery"/>
                    <xsd:enumeration value="Plant registration"/>
                    <xsd:enumeration value="Primary industry"/>
                    <xsd:enumeration value="Return to work"/>
                    <xsd:enumeration value="Small Business Safety Program"/>
                    <xsd:enumeration value="Shotfirer"/>
                    <xsd:enumeration value="Traffic management"/>
                    <xsd:enumeration value="Transport and storage"/>
                    <xsd:enumeration value="White card"/>
                    <xsd:enumeration value="Working in heat"/>
                    <xsd:enumeration value="Working at heights"/>
                    <xsd:enumeration value="Young Worker Program"/>
                  </xsd:restriction>
                </xsd:simpleType>
              </xsd:element>
            </xsd:sequence>
          </xsd:extension>
        </xsd:complexContent>
      </xsd:complexType>
    </xsd:element>
    <xsd:element name="Document_x0020_type" ma:index="4" nillable="true" ma:displayName="Document type" ma:format="Dropdown" ma:internalName="Document_x0020_type" ma:readOnly="false">
      <xsd:simpleType>
        <xsd:restriction base="dms:Choice">
          <xsd:enumeration value="Information Bulletin"/>
          <xsd:enumeration value="Form"/>
          <xsd:enumeration value="Guide"/>
          <xsd:enumeration value="Checklist"/>
          <xsd:enumeration value="Safety Alert"/>
          <xsd:enumeration value="Reports"/>
          <xsd:enumeration value="Legislation"/>
        </xsd:restriction>
      </xsd:simpleType>
    </xsd:element>
    <xsd:element name="PDFFileSize" ma:index="10" nillable="true" ma:displayName="PDFFileSize" ma:hidden="true" ma:internalName="PDFFileSiz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6ffd00-bb68-4206-866a-14e79ead1e87" elementFormDefault="qualified">
    <xsd:import namespace="http://schemas.microsoft.com/office/2006/documentManagement/types"/>
    <xsd:import namespace="http://schemas.microsoft.com/office/infopath/2007/PartnerControls"/>
    <xsd:element name="NTWorkSafe_x0020_Filter" ma:index="5" nillable="true" ma:displayName="NTWorkSafe Filter" ma:internalName="NTWorkSafe_x0020_Filt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Web_x0020_Section xmlns="eb399b68-b676-431b-a7f2-330aea86a718">
      <Value>Workers compensation</Value>
    </Web_x0020_Section>
    <NTWorkSafe_x0020_Filter xmlns="7c6ffd00-bb68-4206-866a-14e79ead1e87" xsi:nil="true"/>
    <PublishingExpirationDate xmlns="http://schemas.microsoft.com/sharepoint/v3" xsi:nil="true"/>
    <PublishingStartDate xmlns="http://schemas.microsoft.com/sharepoint/v3" xsi:nil="true"/>
    <Document_x0020_type xmlns="eb399b68-b676-431b-a7f2-330aea86a718">Guide</Document_x0020_type>
    <PDFFileSize xmlns="eb399b68-b676-431b-a7f2-330aea86a718">2648772</PDFFileSize>
    <Topics xmlns="eb399b68-b676-431b-a7f2-330aea86a718">
      <Value>Permanent impairment</Value>
    </Topics>
  </documentManagement>
</p:properties>
</file>

<file path=customXml/itemProps1.xml><?xml version="1.0" encoding="utf-8"?>
<ds:datastoreItem xmlns:ds="http://schemas.openxmlformats.org/officeDocument/2006/customXml" ds:itemID="{DB9870AA-C11F-451E-BC16-96709B033301}"/>
</file>

<file path=customXml/itemProps2.xml><?xml version="1.0" encoding="utf-8"?>
<ds:datastoreItem xmlns:ds="http://schemas.openxmlformats.org/officeDocument/2006/customXml" ds:itemID="{0E20640C-73C3-445D-8FF1-6E01F9E53FA2}"/>
</file>

<file path=customXml/itemProps3.xml><?xml version="1.0" encoding="utf-8"?>
<ds:datastoreItem xmlns:ds="http://schemas.openxmlformats.org/officeDocument/2006/customXml" ds:itemID="{6C443436-306B-441B-AE94-921B135C8673}"/>
</file>

<file path=customXml/itemProps4.xml><?xml version="1.0" encoding="utf-8"?>
<ds:datastoreItem xmlns:ds="http://schemas.openxmlformats.org/officeDocument/2006/customXml" ds:itemID="{761CAEA1-30A0-4008-BDDA-FCBEAA479F11}"/>
</file>

<file path=docProps/app.xml><?xml version="1.0" encoding="utf-8"?>
<Properties xmlns="http://schemas.openxmlformats.org/officeDocument/2006/extended-properties" xmlns:vt="http://schemas.openxmlformats.org/officeDocument/2006/docPropsVTypes">
  <Template>Normal.dotm</Template>
  <TotalTime>3</TotalTime>
  <Pages>91</Pages>
  <Words>31666</Words>
  <Characters>178918</Characters>
  <Application>Microsoft Office Word</Application>
  <DocSecurity>0</DocSecurity>
  <Lines>8132</Lines>
  <Paragraphs>7019</Paragraphs>
  <ScaleCrop>false</ScaleCrop>
  <HeadingPairs>
    <vt:vector size="2" baseType="variant">
      <vt:variant>
        <vt:lpstr>Title</vt:lpstr>
      </vt:variant>
      <vt:variant>
        <vt:i4>1</vt:i4>
      </vt:variant>
    </vt:vector>
  </HeadingPairs>
  <TitlesOfParts>
    <vt:vector size="1" baseType="lpstr">
      <vt:lpstr>NT Guidelines for the Evaluation of Permanent Impairment</vt:lpstr>
    </vt:vector>
  </TitlesOfParts>
  <Company>Australian Government</Company>
  <LinksUpToDate>false</LinksUpToDate>
  <CharactersWithSpaces>203565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WorkSafe Guidelines for the Evaluation of Permanent Impairment</dc:title>
  <dc:creator>Kerry.Barnaart@nt.gov.au</dc:creator>
  <cp:lastModifiedBy>Amanda Baker</cp:lastModifiedBy>
  <cp:revision>4</cp:revision>
  <cp:lastPrinted>2018-08-09T06:49:00Z</cp:lastPrinted>
  <dcterms:created xsi:type="dcterms:W3CDTF">2018-08-16T22:51:00Z</dcterms:created>
  <dcterms:modified xsi:type="dcterms:W3CDTF">2018-09-20T05:57:00Z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0x010100D0EB5375E3C86245AEF23D5DEFF38C9200F0A59824860E934B9BC4AEE5E863050D</vt:lpwstr>
  </property>
</Properties>
</file>