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F6363" w14:textId="77777777" w:rsidR="0029081D" w:rsidRDefault="0029081D" w:rsidP="0029081D">
      <w:pPr>
        <w:pStyle w:val="Title"/>
        <w:tabs>
          <w:tab w:val="left" w:pos="3840"/>
        </w:tabs>
        <w:spacing w:before="1560" w:after="1560"/>
        <w:ind w:left="2977"/>
        <w:contextualSpacing w:val="0"/>
      </w:pPr>
      <w:r w:rsidRPr="00F75320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13E9BFB6" wp14:editId="096C5B9F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7561816" cy="10692000"/>
            <wp:effectExtent l="0" t="0" r="1270" b="0"/>
            <wp:wrapNone/>
            <wp:docPr id="2" name="Picture 2" descr="Cover geometric image using NT WorkSafe Corporate colours of black, white, orange and dark gre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safe Annual Report 16-17 CO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816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50E48516" w14:textId="77777777" w:rsidR="002F411F" w:rsidRDefault="002F411F" w:rsidP="00BB0D8F">
      <w:pPr>
        <w:pStyle w:val="Title"/>
        <w:spacing w:before="1560" w:after="1560"/>
        <w:ind w:left="2977" w:firstLine="142"/>
        <w:contextualSpacing w:val="0"/>
      </w:pPr>
      <w:r>
        <w:t xml:space="preserve">Electricity Safety Regulator </w:t>
      </w:r>
    </w:p>
    <w:p w14:paraId="69D278B4" w14:textId="77777777" w:rsidR="002F411F" w:rsidRDefault="002F411F" w:rsidP="002F15EA">
      <w:pPr>
        <w:pStyle w:val="Subtitle"/>
        <w:ind w:left="3402" w:hanging="141"/>
      </w:pPr>
      <w:r>
        <w:t>Annual Report</w:t>
      </w:r>
    </w:p>
    <w:p w14:paraId="4A6D77D1" w14:textId="7CB925D3" w:rsidR="002F411F" w:rsidRDefault="002F411F" w:rsidP="002F15EA">
      <w:pPr>
        <w:pStyle w:val="Subtitle"/>
        <w:ind w:left="2977" w:firstLine="284"/>
      </w:pPr>
      <w:r>
        <w:t>20</w:t>
      </w:r>
      <w:r w:rsidR="005812F3">
        <w:t>20-2021</w:t>
      </w:r>
    </w:p>
    <w:p w14:paraId="649A7260" w14:textId="77777777" w:rsidR="00FF6EF7" w:rsidRPr="0029081D" w:rsidRDefault="002F411F" w:rsidP="0029081D">
      <w:pPr>
        <w:ind w:left="2977"/>
        <w:rPr>
          <w:rFonts w:eastAsiaTheme="minorEastAsia" w:cstheme="majorBidi"/>
          <w:color w:val="FFFFFF" w:themeColor="background1"/>
          <w:spacing w:val="15"/>
          <w:kern w:val="28"/>
          <w:sz w:val="48"/>
          <w:szCs w:val="56"/>
        </w:rPr>
        <w:sectPr w:rsidR="00FF6EF7" w:rsidRPr="0029081D" w:rsidSect="00FF6EF7">
          <w:footerReference w:type="default" r:id="rId9"/>
          <w:footerReference w:type="first" r:id="rId10"/>
          <w:pgSz w:w="11906" w:h="16838" w:code="9"/>
          <w:pgMar w:top="0" w:right="0" w:bottom="0" w:left="0" w:header="0" w:footer="0" w:gutter="0"/>
          <w:cols w:space="708"/>
          <w:titlePg/>
          <w:docGrid w:linePitch="360"/>
        </w:sectPr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-144885090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422CAD5" w14:textId="77777777" w:rsidR="00773AF8" w:rsidRPr="00773AF8" w:rsidRDefault="00773AF8" w:rsidP="00773AF8">
          <w:pPr>
            <w:pStyle w:val="TOCHeading"/>
            <w:spacing w:before="720" w:after="120" w:line="360" w:lineRule="auto"/>
            <w:rPr>
              <w:rStyle w:val="Heading2Char"/>
              <w:sz w:val="32"/>
              <w:szCs w:val="32"/>
            </w:rPr>
          </w:pPr>
          <w:r w:rsidRPr="00773AF8">
            <w:rPr>
              <w:rStyle w:val="Heading2Char"/>
              <w:sz w:val="32"/>
              <w:szCs w:val="32"/>
            </w:rPr>
            <w:t>Contents</w:t>
          </w:r>
        </w:p>
        <w:p w14:paraId="15CC0DD2" w14:textId="548E5ED2" w:rsidR="008A4616" w:rsidRPr="0099261A" w:rsidRDefault="00773AF8">
          <w:pPr>
            <w:pStyle w:val="TOC1"/>
            <w:tabs>
              <w:tab w:val="right" w:leader="dot" w:pos="9016"/>
            </w:tabs>
            <w:rPr>
              <w:rFonts w:ascii="Lato" w:eastAsiaTheme="minorEastAsia" w:hAnsi="Lato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552337" w:history="1">
            <w:r w:rsidR="008A4616" w:rsidRPr="0099261A">
              <w:rPr>
                <w:rStyle w:val="Hyperlink"/>
                <w:rFonts w:ascii="Lato" w:hAnsi="Lato"/>
                <w:noProof/>
              </w:rPr>
              <w:t>Role and Responsibilities of the Electricity Safety Regulator</w:t>
            </w:r>
            <w:r w:rsidR="008A4616" w:rsidRPr="0099261A">
              <w:rPr>
                <w:rFonts w:ascii="Lato" w:hAnsi="Lato"/>
                <w:noProof/>
                <w:webHidden/>
              </w:rPr>
              <w:tab/>
            </w:r>
            <w:r w:rsidR="008A4616" w:rsidRPr="0099261A">
              <w:rPr>
                <w:rFonts w:ascii="Lato" w:hAnsi="Lato"/>
                <w:noProof/>
                <w:webHidden/>
              </w:rPr>
              <w:fldChar w:fldCharType="begin"/>
            </w:r>
            <w:r w:rsidR="008A4616" w:rsidRPr="0099261A">
              <w:rPr>
                <w:rFonts w:ascii="Lato" w:hAnsi="Lato"/>
                <w:noProof/>
                <w:webHidden/>
              </w:rPr>
              <w:instrText xml:space="preserve"> PAGEREF _Toc50552337 \h </w:instrText>
            </w:r>
            <w:r w:rsidR="008A4616" w:rsidRPr="0099261A">
              <w:rPr>
                <w:rFonts w:ascii="Lato" w:hAnsi="Lato"/>
                <w:noProof/>
                <w:webHidden/>
              </w:rPr>
            </w:r>
            <w:r w:rsidR="008A4616" w:rsidRPr="0099261A">
              <w:rPr>
                <w:rFonts w:ascii="Lato" w:hAnsi="Lato"/>
                <w:noProof/>
                <w:webHidden/>
              </w:rPr>
              <w:fldChar w:fldCharType="separate"/>
            </w:r>
            <w:r w:rsidR="00E3273B">
              <w:rPr>
                <w:rFonts w:ascii="Lato" w:hAnsi="Lato"/>
                <w:noProof/>
                <w:webHidden/>
              </w:rPr>
              <w:t>2</w:t>
            </w:r>
            <w:r w:rsidR="008A4616" w:rsidRPr="0099261A">
              <w:rPr>
                <w:rFonts w:ascii="Lato" w:hAnsi="Lato"/>
                <w:noProof/>
                <w:webHidden/>
              </w:rPr>
              <w:fldChar w:fldCharType="end"/>
            </w:r>
          </w:hyperlink>
        </w:p>
        <w:p w14:paraId="503AECDB" w14:textId="74D88D08" w:rsidR="008A4616" w:rsidRPr="0099261A" w:rsidRDefault="00DE59B8">
          <w:pPr>
            <w:pStyle w:val="TOC1"/>
            <w:tabs>
              <w:tab w:val="right" w:leader="dot" w:pos="9016"/>
            </w:tabs>
            <w:rPr>
              <w:rFonts w:ascii="Lato" w:eastAsiaTheme="minorEastAsia" w:hAnsi="Lato"/>
              <w:noProof/>
              <w:lang w:eastAsia="en-AU"/>
            </w:rPr>
          </w:pPr>
          <w:hyperlink w:anchor="_Toc50552338" w:history="1">
            <w:r w:rsidR="008A4616" w:rsidRPr="0099261A">
              <w:rPr>
                <w:rStyle w:val="Hyperlink"/>
                <w:rFonts w:ascii="Lato" w:hAnsi="Lato"/>
                <w:noProof/>
              </w:rPr>
              <w:t>Electricity Reform (Safety and Technical) Regulations</w:t>
            </w:r>
            <w:r w:rsidR="008A4616" w:rsidRPr="0099261A">
              <w:rPr>
                <w:rFonts w:ascii="Lato" w:hAnsi="Lato"/>
                <w:noProof/>
                <w:webHidden/>
              </w:rPr>
              <w:tab/>
            </w:r>
            <w:r w:rsidR="008A4616" w:rsidRPr="0099261A">
              <w:rPr>
                <w:rFonts w:ascii="Lato" w:hAnsi="Lato"/>
                <w:noProof/>
                <w:webHidden/>
              </w:rPr>
              <w:fldChar w:fldCharType="begin"/>
            </w:r>
            <w:r w:rsidR="008A4616" w:rsidRPr="0099261A">
              <w:rPr>
                <w:rFonts w:ascii="Lato" w:hAnsi="Lato"/>
                <w:noProof/>
                <w:webHidden/>
              </w:rPr>
              <w:instrText xml:space="preserve"> PAGEREF _Toc50552338 \h </w:instrText>
            </w:r>
            <w:r w:rsidR="008A4616" w:rsidRPr="0099261A">
              <w:rPr>
                <w:rFonts w:ascii="Lato" w:hAnsi="Lato"/>
                <w:noProof/>
                <w:webHidden/>
              </w:rPr>
            </w:r>
            <w:r w:rsidR="008A4616" w:rsidRPr="0099261A">
              <w:rPr>
                <w:rFonts w:ascii="Lato" w:hAnsi="Lato"/>
                <w:noProof/>
                <w:webHidden/>
              </w:rPr>
              <w:fldChar w:fldCharType="separate"/>
            </w:r>
            <w:r w:rsidR="00E3273B">
              <w:rPr>
                <w:rFonts w:ascii="Lato" w:hAnsi="Lato"/>
                <w:noProof/>
                <w:webHidden/>
              </w:rPr>
              <w:t>2</w:t>
            </w:r>
            <w:r w:rsidR="008A4616" w:rsidRPr="0099261A">
              <w:rPr>
                <w:rFonts w:ascii="Lato" w:hAnsi="Lato"/>
                <w:noProof/>
                <w:webHidden/>
              </w:rPr>
              <w:fldChar w:fldCharType="end"/>
            </w:r>
          </w:hyperlink>
        </w:p>
        <w:p w14:paraId="7F9D76E7" w14:textId="32A75794" w:rsidR="008A4616" w:rsidRPr="0099261A" w:rsidRDefault="00DE59B8">
          <w:pPr>
            <w:pStyle w:val="TOC1"/>
            <w:tabs>
              <w:tab w:val="right" w:leader="dot" w:pos="9016"/>
            </w:tabs>
            <w:rPr>
              <w:rFonts w:ascii="Lato" w:eastAsiaTheme="minorEastAsia" w:hAnsi="Lato"/>
              <w:noProof/>
              <w:lang w:eastAsia="en-AU"/>
            </w:rPr>
          </w:pPr>
          <w:hyperlink w:anchor="_Toc50552339" w:history="1">
            <w:r w:rsidR="008A4616" w:rsidRPr="0099261A">
              <w:rPr>
                <w:rStyle w:val="Hyperlink"/>
                <w:rFonts w:ascii="Lato" w:hAnsi="Lato"/>
                <w:noProof/>
              </w:rPr>
              <w:t>Work Health and Safety Legislation</w:t>
            </w:r>
            <w:r w:rsidR="008A4616" w:rsidRPr="0099261A">
              <w:rPr>
                <w:rFonts w:ascii="Lato" w:hAnsi="Lato"/>
                <w:noProof/>
                <w:webHidden/>
              </w:rPr>
              <w:tab/>
            </w:r>
            <w:r w:rsidR="008A4616" w:rsidRPr="0099261A">
              <w:rPr>
                <w:rFonts w:ascii="Lato" w:hAnsi="Lato"/>
                <w:noProof/>
                <w:webHidden/>
              </w:rPr>
              <w:fldChar w:fldCharType="begin"/>
            </w:r>
            <w:r w:rsidR="008A4616" w:rsidRPr="0099261A">
              <w:rPr>
                <w:rFonts w:ascii="Lato" w:hAnsi="Lato"/>
                <w:noProof/>
                <w:webHidden/>
              </w:rPr>
              <w:instrText xml:space="preserve"> PAGEREF _Toc50552339 \h </w:instrText>
            </w:r>
            <w:r w:rsidR="008A4616" w:rsidRPr="0099261A">
              <w:rPr>
                <w:rFonts w:ascii="Lato" w:hAnsi="Lato"/>
                <w:noProof/>
                <w:webHidden/>
              </w:rPr>
            </w:r>
            <w:r w:rsidR="008A4616" w:rsidRPr="0099261A">
              <w:rPr>
                <w:rFonts w:ascii="Lato" w:hAnsi="Lato"/>
                <w:noProof/>
                <w:webHidden/>
              </w:rPr>
              <w:fldChar w:fldCharType="separate"/>
            </w:r>
            <w:r w:rsidR="00E3273B">
              <w:rPr>
                <w:rFonts w:ascii="Lato" w:hAnsi="Lato"/>
                <w:noProof/>
                <w:webHidden/>
              </w:rPr>
              <w:t>2</w:t>
            </w:r>
            <w:r w:rsidR="008A4616" w:rsidRPr="0099261A">
              <w:rPr>
                <w:rFonts w:ascii="Lato" w:hAnsi="Lato"/>
                <w:noProof/>
                <w:webHidden/>
              </w:rPr>
              <w:fldChar w:fldCharType="end"/>
            </w:r>
          </w:hyperlink>
        </w:p>
        <w:p w14:paraId="56E78AF4" w14:textId="58D7A35A" w:rsidR="008A4616" w:rsidRPr="0099261A" w:rsidRDefault="00DE59B8">
          <w:pPr>
            <w:pStyle w:val="TOC1"/>
            <w:tabs>
              <w:tab w:val="right" w:leader="dot" w:pos="9016"/>
            </w:tabs>
            <w:rPr>
              <w:rFonts w:ascii="Lato" w:eastAsiaTheme="minorEastAsia" w:hAnsi="Lato"/>
              <w:noProof/>
              <w:lang w:eastAsia="en-AU"/>
            </w:rPr>
          </w:pPr>
          <w:hyperlink w:anchor="_Toc50552340" w:history="1">
            <w:r w:rsidR="008A4616" w:rsidRPr="0099261A">
              <w:rPr>
                <w:rStyle w:val="Hyperlink"/>
                <w:rFonts w:ascii="Lato" w:hAnsi="Lato"/>
                <w:noProof/>
              </w:rPr>
              <w:t>Public Awareness and Advice</w:t>
            </w:r>
            <w:r w:rsidR="008A4616" w:rsidRPr="0099261A">
              <w:rPr>
                <w:rFonts w:ascii="Lato" w:hAnsi="Lato"/>
                <w:noProof/>
                <w:webHidden/>
              </w:rPr>
              <w:tab/>
            </w:r>
            <w:r w:rsidR="008A4616" w:rsidRPr="0099261A">
              <w:rPr>
                <w:rFonts w:ascii="Lato" w:hAnsi="Lato"/>
                <w:noProof/>
                <w:webHidden/>
              </w:rPr>
              <w:fldChar w:fldCharType="begin"/>
            </w:r>
            <w:r w:rsidR="008A4616" w:rsidRPr="0099261A">
              <w:rPr>
                <w:rFonts w:ascii="Lato" w:hAnsi="Lato"/>
                <w:noProof/>
                <w:webHidden/>
              </w:rPr>
              <w:instrText xml:space="preserve"> PAGEREF _Toc50552340 \h </w:instrText>
            </w:r>
            <w:r w:rsidR="008A4616" w:rsidRPr="0099261A">
              <w:rPr>
                <w:rFonts w:ascii="Lato" w:hAnsi="Lato"/>
                <w:noProof/>
                <w:webHidden/>
              </w:rPr>
            </w:r>
            <w:r w:rsidR="008A4616" w:rsidRPr="0099261A">
              <w:rPr>
                <w:rFonts w:ascii="Lato" w:hAnsi="Lato"/>
                <w:noProof/>
                <w:webHidden/>
              </w:rPr>
              <w:fldChar w:fldCharType="separate"/>
            </w:r>
            <w:r w:rsidR="00E3273B">
              <w:rPr>
                <w:rFonts w:ascii="Lato" w:hAnsi="Lato"/>
                <w:noProof/>
                <w:webHidden/>
              </w:rPr>
              <w:t>2</w:t>
            </w:r>
            <w:r w:rsidR="008A4616" w:rsidRPr="0099261A">
              <w:rPr>
                <w:rFonts w:ascii="Lato" w:hAnsi="Lato"/>
                <w:noProof/>
                <w:webHidden/>
              </w:rPr>
              <w:fldChar w:fldCharType="end"/>
            </w:r>
          </w:hyperlink>
        </w:p>
        <w:p w14:paraId="0BCAA968" w14:textId="63A2A4AF" w:rsidR="008A4616" w:rsidRPr="0099261A" w:rsidRDefault="00DE59B8">
          <w:pPr>
            <w:pStyle w:val="TOC2"/>
            <w:tabs>
              <w:tab w:val="right" w:leader="dot" w:pos="9016"/>
            </w:tabs>
            <w:rPr>
              <w:rFonts w:ascii="Lato" w:eastAsiaTheme="minorEastAsia" w:hAnsi="Lato"/>
              <w:noProof/>
              <w:lang w:eastAsia="en-AU"/>
            </w:rPr>
          </w:pPr>
          <w:hyperlink w:anchor="_Toc50552341" w:history="1">
            <w:r w:rsidR="008A4616" w:rsidRPr="0099261A">
              <w:rPr>
                <w:rStyle w:val="Hyperlink"/>
                <w:rFonts w:ascii="Lato" w:hAnsi="Lato"/>
                <w:noProof/>
              </w:rPr>
              <w:t>Safety Alerts</w:t>
            </w:r>
            <w:r w:rsidR="008A4616" w:rsidRPr="0099261A">
              <w:rPr>
                <w:rFonts w:ascii="Lato" w:hAnsi="Lato"/>
                <w:noProof/>
                <w:webHidden/>
              </w:rPr>
              <w:tab/>
            </w:r>
            <w:r w:rsidR="008A4616" w:rsidRPr="0099261A">
              <w:rPr>
                <w:rFonts w:ascii="Lato" w:hAnsi="Lato"/>
                <w:noProof/>
                <w:webHidden/>
              </w:rPr>
              <w:fldChar w:fldCharType="begin"/>
            </w:r>
            <w:r w:rsidR="008A4616" w:rsidRPr="0099261A">
              <w:rPr>
                <w:rFonts w:ascii="Lato" w:hAnsi="Lato"/>
                <w:noProof/>
                <w:webHidden/>
              </w:rPr>
              <w:instrText xml:space="preserve"> PAGEREF _Toc50552341 \h </w:instrText>
            </w:r>
            <w:r w:rsidR="008A4616" w:rsidRPr="0099261A">
              <w:rPr>
                <w:rFonts w:ascii="Lato" w:hAnsi="Lato"/>
                <w:noProof/>
                <w:webHidden/>
              </w:rPr>
            </w:r>
            <w:r w:rsidR="008A4616" w:rsidRPr="0099261A">
              <w:rPr>
                <w:rFonts w:ascii="Lato" w:hAnsi="Lato"/>
                <w:noProof/>
                <w:webHidden/>
              </w:rPr>
              <w:fldChar w:fldCharType="separate"/>
            </w:r>
            <w:r w:rsidR="00E3273B">
              <w:rPr>
                <w:rFonts w:ascii="Lato" w:hAnsi="Lato"/>
                <w:noProof/>
                <w:webHidden/>
              </w:rPr>
              <w:t>2</w:t>
            </w:r>
            <w:r w:rsidR="008A4616" w:rsidRPr="0099261A">
              <w:rPr>
                <w:rFonts w:ascii="Lato" w:hAnsi="Lato"/>
                <w:noProof/>
                <w:webHidden/>
              </w:rPr>
              <w:fldChar w:fldCharType="end"/>
            </w:r>
          </w:hyperlink>
        </w:p>
        <w:p w14:paraId="78D1AA6F" w14:textId="7194CA7A" w:rsidR="008A4616" w:rsidRPr="0099261A" w:rsidRDefault="00DE59B8">
          <w:pPr>
            <w:pStyle w:val="TOC2"/>
            <w:tabs>
              <w:tab w:val="right" w:leader="dot" w:pos="9016"/>
            </w:tabs>
            <w:rPr>
              <w:rFonts w:ascii="Lato" w:eastAsiaTheme="minorEastAsia" w:hAnsi="Lato"/>
              <w:noProof/>
              <w:lang w:eastAsia="en-AU"/>
            </w:rPr>
          </w:pPr>
          <w:hyperlink w:anchor="_Toc50552342" w:history="1">
            <w:r w:rsidR="008A4616" w:rsidRPr="0099261A">
              <w:rPr>
                <w:rStyle w:val="Hyperlink"/>
                <w:rFonts w:ascii="Lato" w:hAnsi="Lato"/>
                <w:noProof/>
              </w:rPr>
              <w:t>Bulletins</w:t>
            </w:r>
            <w:r w:rsidR="008A4616" w:rsidRPr="0099261A">
              <w:rPr>
                <w:rFonts w:ascii="Lato" w:hAnsi="Lato"/>
                <w:noProof/>
                <w:webHidden/>
              </w:rPr>
              <w:tab/>
            </w:r>
            <w:r w:rsidR="008A4616" w:rsidRPr="0099261A">
              <w:rPr>
                <w:rFonts w:ascii="Lato" w:hAnsi="Lato"/>
                <w:noProof/>
                <w:webHidden/>
              </w:rPr>
              <w:fldChar w:fldCharType="begin"/>
            </w:r>
            <w:r w:rsidR="008A4616" w:rsidRPr="0099261A">
              <w:rPr>
                <w:rFonts w:ascii="Lato" w:hAnsi="Lato"/>
                <w:noProof/>
                <w:webHidden/>
              </w:rPr>
              <w:instrText xml:space="preserve"> PAGEREF _Toc50552342 \h </w:instrText>
            </w:r>
            <w:r w:rsidR="008A4616" w:rsidRPr="0099261A">
              <w:rPr>
                <w:rFonts w:ascii="Lato" w:hAnsi="Lato"/>
                <w:noProof/>
                <w:webHidden/>
              </w:rPr>
            </w:r>
            <w:r w:rsidR="008A4616" w:rsidRPr="0099261A">
              <w:rPr>
                <w:rFonts w:ascii="Lato" w:hAnsi="Lato"/>
                <w:noProof/>
                <w:webHidden/>
              </w:rPr>
              <w:fldChar w:fldCharType="separate"/>
            </w:r>
            <w:r w:rsidR="00E3273B">
              <w:rPr>
                <w:rFonts w:ascii="Lato" w:hAnsi="Lato"/>
                <w:noProof/>
                <w:webHidden/>
              </w:rPr>
              <w:t>2</w:t>
            </w:r>
            <w:r w:rsidR="008A4616" w:rsidRPr="0099261A">
              <w:rPr>
                <w:rFonts w:ascii="Lato" w:hAnsi="Lato"/>
                <w:noProof/>
                <w:webHidden/>
              </w:rPr>
              <w:fldChar w:fldCharType="end"/>
            </w:r>
          </w:hyperlink>
        </w:p>
        <w:p w14:paraId="1E84523F" w14:textId="55F4D614" w:rsidR="008A4616" w:rsidRDefault="00DE59B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0552343" w:history="1">
            <w:r w:rsidR="008A4616" w:rsidRPr="0099261A">
              <w:rPr>
                <w:rStyle w:val="Hyperlink"/>
                <w:rFonts w:ascii="Lato" w:hAnsi="Lato"/>
                <w:noProof/>
              </w:rPr>
              <w:t>Activities of the Electricity Safety Regulator for 20</w:t>
            </w:r>
            <w:r w:rsidR="005812F3">
              <w:rPr>
                <w:rStyle w:val="Hyperlink"/>
                <w:rFonts w:ascii="Lato" w:hAnsi="Lato"/>
                <w:noProof/>
              </w:rPr>
              <w:t>20-2021</w:t>
            </w:r>
            <w:r w:rsidR="008A4616" w:rsidRPr="0099261A">
              <w:rPr>
                <w:rFonts w:ascii="Lato" w:hAnsi="Lato"/>
                <w:noProof/>
                <w:webHidden/>
              </w:rPr>
              <w:tab/>
            </w:r>
            <w:r w:rsidR="008A4616" w:rsidRPr="0099261A">
              <w:rPr>
                <w:rFonts w:ascii="Lato" w:hAnsi="Lato"/>
                <w:noProof/>
                <w:webHidden/>
              </w:rPr>
              <w:fldChar w:fldCharType="begin"/>
            </w:r>
            <w:r w:rsidR="008A4616" w:rsidRPr="0099261A">
              <w:rPr>
                <w:rFonts w:ascii="Lato" w:hAnsi="Lato"/>
                <w:noProof/>
                <w:webHidden/>
              </w:rPr>
              <w:instrText xml:space="preserve"> PAGEREF _Toc50552343 \h </w:instrText>
            </w:r>
            <w:r w:rsidR="008A4616" w:rsidRPr="0099261A">
              <w:rPr>
                <w:rFonts w:ascii="Lato" w:hAnsi="Lato"/>
                <w:noProof/>
                <w:webHidden/>
              </w:rPr>
            </w:r>
            <w:r w:rsidR="008A4616" w:rsidRPr="0099261A">
              <w:rPr>
                <w:rFonts w:ascii="Lato" w:hAnsi="Lato"/>
                <w:noProof/>
                <w:webHidden/>
              </w:rPr>
              <w:fldChar w:fldCharType="separate"/>
            </w:r>
            <w:r w:rsidR="00E3273B">
              <w:rPr>
                <w:rFonts w:ascii="Lato" w:hAnsi="Lato"/>
                <w:noProof/>
                <w:webHidden/>
              </w:rPr>
              <w:t>2</w:t>
            </w:r>
            <w:r w:rsidR="008A4616" w:rsidRPr="0099261A">
              <w:rPr>
                <w:rFonts w:ascii="Lato" w:hAnsi="Lato"/>
                <w:noProof/>
                <w:webHidden/>
              </w:rPr>
              <w:fldChar w:fldCharType="end"/>
            </w:r>
          </w:hyperlink>
        </w:p>
        <w:p w14:paraId="20DCD56B" w14:textId="77777777" w:rsidR="00773AF8" w:rsidRDefault="00773AF8" w:rsidP="00773AF8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811AB70" w14:textId="40FA854D" w:rsidR="00E86DE7" w:rsidRDefault="00E86DE7" w:rsidP="00E86DE7">
      <w:pPr>
        <w:tabs>
          <w:tab w:val="left" w:pos="3860"/>
        </w:tabs>
      </w:pPr>
      <w:bookmarkStart w:id="0" w:name="_GoBack"/>
      <w:bookmarkEnd w:id="0"/>
    </w:p>
    <w:p w14:paraId="08EAC7C0" w14:textId="77777777" w:rsidR="00773AF8" w:rsidRDefault="00773AF8" w:rsidP="00BF4896">
      <w:pPr>
        <w:tabs>
          <w:tab w:val="left" w:pos="3860"/>
        </w:tabs>
        <w:rPr>
          <w:rFonts w:ascii="Lato Black" w:eastAsiaTheme="majorEastAsia" w:hAnsi="Lato Black" w:cstheme="majorBidi"/>
          <w:bCs/>
          <w:kern w:val="32"/>
          <w:sz w:val="32"/>
          <w:szCs w:val="32"/>
          <w:lang w:eastAsia="en-AU"/>
        </w:rPr>
      </w:pPr>
      <w:r w:rsidRPr="00E86DE7">
        <w:br w:type="page"/>
      </w:r>
      <w:r w:rsidR="00E86DE7">
        <w:lastRenderedPageBreak/>
        <w:tab/>
      </w:r>
    </w:p>
    <w:p w14:paraId="31FDBEFB" w14:textId="77777777" w:rsidR="008941F1" w:rsidRPr="00F303AD" w:rsidRDefault="00DE0F82" w:rsidP="008941F1">
      <w:pPr>
        <w:pStyle w:val="Heading1"/>
      </w:pPr>
      <w:bookmarkStart w:id="1" w:name="_Toc50552337"/>
      <w:r>
        <w:t>Role and Re</w:t>
      </w:r>
      <w:r w:rsidR="00356CE3">
        <w:t>sponsibilities of the Electricity</w:t>
      </w:r>
      <w:r>
        <w:t xml:space="preserve"> Safety Regulator</w:t>
      </w:r>
      <w:bookmarkEnd w:id="1"/>
    </w:p>
    <w:p w14:paraId="6E947FCB" w14:textId="77777777" w:rsidR="00DE0F82" w:rsidRPr="004E41BE" w:rsidRDefault="00DE0F82" w:rsidP="006B14F6">
      <w:pPr>
        <w:spacing w:after="240" w:line="360" w:lineRule="auto"/>
        <w:jc w:val="both"/>
        <w:rPr>
          <w:rFonts w:ascii="Lato" w:hAnsi="Lato"/>
          <w:sz w:val="24"/>
          <w:szCs w:val="24"/>
        </w:rPr>
      </w:pPr>
      <w:r w:rsidRPr="004E41BE">
        <w:rPr>
          <w:rFonts w:ascii="Lato" w:hAnsi="Lato"/>
          <w:sz w:val="24"/>
          <w:szCs w:val="24"/>
        </w:rPr>
        <w:t xml:space="preserve">The role of the Electricity Safety Regulator was established by the introduction of the </w:t>
      </w:r>
      <w:r w:rsidRPr="005A3DC7">
        <w:rPr>
          <w:rFonts w:ascii="Lato" w:hAnsi="Lato"/>
          <w:i/>
          <w:sz w:val="24"/>
          <w:szCs w:val="24"/>
        </w:rPr>
        <w:t>Electricity Reform Act</w:t>
      </w:r>
      <w:r w:rsidR="002A7E18">
        <w:rPr>
          <w:rFonts w:ascii="Lato" w:hAnsi="Lato"/>
          <w:i/>
          <w:sz w:val="24"/>
          <w:szCs w:val="24"/>
        </w:rPr>
        <w:t xml:space="preserve"> </w:t>
      </w:r>
      <w:r w:rsidR="002A7E18" w:rsidRPr="00BF4896">
        <w:rPr>
          <w:rFonts w:ascii="Lato" w:hAnsi="Lato"/>
          <w:sz w:val="24"/>
          <w:szCs w:val="24"/>
        </w:rPr>
        <w:t>2000</w:t>
      </w:r>
      <w:r w:rsidR="00BF4896">
        <w:rPr>
          <w:rFonts w:ascii="Lato" w:hAnsi="Lato"/>
          <w:sz w:val="24"/>
          <w:szCs w:val="24"/>
        </w:rPr>
        <w:t xml:space="preserve"> (the Act)</w:t>
      </w:r>
      <w:r w:rsidRPr="004E41BE">
        <w:rPr>
          <w:rFonts w:ascii="Lato" w:hAnsi="Lato"/>
          <w:sz w:val="24"/>
          <w:szCs w:val="24"/>
        </w:rPr>
        <w:t xml:space="preserve">, which came into force on 1 April 2000. </w:t>
      </w:r>
    </w:p>
    <w:p w14:paraId="42CC174D" w14:textId="72BA1849" w:rsidR="005A3DC7" w:rsidRPr="0099261A" w:rsidRDefault="00DE0F82" w:rsidP="0099261A">
      <w:pPr>
        <w:spacing w:after="240" w:line="360" w:lineRule="auto"/>
        <w:jc w:val="both"/>
        <w:rPr>
          <w:sz w:val="24"/>
          <w:szCs w:val="24"/>
        </w:rPr>
      </w:pPr>
      <w:r w:rsidRPr="004E41BE">
        <w:rPr>
          <w:rFonts w:ascii="Lato" w:hAnsi="Lato"/>
          <w:sz w:val="24"/>
          <w:szCs w:val="24"/>
        </w:rPr>
        <w:t xml:space="preserve">The </w:t>
      </w:r>
      <w:r w:rsidR="005D24CE">
        <w:rPr>
          <w:rFonts w:ascii="Lato" w:hAnsi="Lato"/>
          <w:sz w:val="24"/>
          <w:szCs w:val="24"/>
        </w:rPr>
        <w:t xml:space="preserve">functions of the </w:t>
      </w:r>
      <w:r w:rsidRPr="004E41BE">
        <w:rPr>
          <w:rFonts w:ascii="Lato" w:hAnsi="Lato"/>
          <w:sz w:val="24"/>
          <w:szCs w:val="24"/>
        </w:rPr>
        <w:t xml:space="preserve">Electricity Safety Regulator </w:t>
      </w:r>
      <w:r w:rsidR="005D24CE">
        <w:rPr>
          <w:rFonts w:ascii="Lato" w:hAnsi="Lato"/>
          <w:sz w:val="24"/>
          <w:szCs w:val="24"/>
        </w:rPr>
        <w:t>are to monitor</w:t>
      </w:r>
      <w:r w:rsidRPr="004E41BE">
        <w:rPr>
          <w:rFonts w:ascii="Lato" w:hAnsi="Lato"/>
          <w:sz w:val="24"/>
          <w:szCs w:val="24"/>
        </w:rPr>
        <w:t xml:space="preserve"> and </w:t>
      </w:r>
      <w:r w:rsidR="005D24CE">
        <w:rPr>
          <w:rFonts w:ascii="Lato" w:hAnsi="Lato"/>
          <w:sz w:val="24"/>
          <w:szCs w:val="24"/>
        </w:rPr>
        <w:t>regulate safety and technical</w:t>
      </w:r>
      <w:r w:rsidRPr="004E41BE">
        <w:rPr>
          <w:rFonts w:ascii="Lato" w:hAnsi="Lato"/>
          <w:sz w:val="24"/>
          <w:szCs w:val="24"/>
        </w:rPr>
        <w:t xml:space="preserve"> standards </w:t>
      </w:r>
      <w:r w:rsidR="005D24CE">
        <w:rPr>
          <w:rFonts w:ascii="Lato" w:hAnsi="Lato"/>
          <w:sz w:val="24"/>
          <w:szCs w:val="24"/>
        </w:rPr>
        <w:t xml:space="preserve">with respect to electrical installations (excluding electrical infrastructure owned and operated by an electricity entity, and </w:t>
      </w:r>
      <w:r w:rsidR="005D24CE" w:rsidRPr="0099261A">
        <w:rPr>
          <w:rFonts w:ascii="Lato" w:hAnsi="Lato"/>
          <w:sz w:val="24"/>
          <w:szCs w:val="24"/>
        </w:rPr>
        <w:t>wires, fittings, equipment or accessories connected to and beyond an electrical outlet at which fixed wiring terminates</w:t>
      </w:r>
      <w:r w:rsidR="005D24CE">
        <w:rPr>
          <w:rFonts w:ascii="Lato" w:hAnsi="Lato"/>
          <w:sz w:val="24"/>
          <w:szCs w:val="24"/>
        </w:rPr>
        <w:t>).</w:t>
      </w:r>
    </w:p>
    <w:p w14:paraId="2AA6BAEB" w14:textId="68429696" w:rsidR="00E3273B" w:rsidRDefault="005A3DC7" w:rsidP="0099261A">
      <w:pPr>
        <w:spacing w:after="240" w:line="360" w:lineRule="auto"/>
        <w:jc w:val="both"/>
        <w:rPr>
          <w:sz w:val="24"/>
          <w:szCs w:val="24"/>
        </w:rPr>
      </w:pPr>
      <w:r w:rsidRPr="0099261A">
        <w:rPr>
          <w:rFonts w:ascii="Lato" w:hAnsi="Lato"/>
          <w:sz w:val="24"/>
          <w:szCs w:val="24"/>
        </w:rPr>
        <w:t>The Electricity Safety R</w:t>
      </w:r>
      <w:r w:rsidR="00DE0F82" w:rsidRPr="0099261A">
        <w:rPr>
          <w:rFonts w:ascii="Lato" w:hAnsi="Lato"/>
          <w:sz w:val="24"/>
          <w:szCs w:val="24"/>
        </w:rPr>
        <w:t xml:space="preserve">egulator has the power to do all things that are necessary or convenient to be done for or in connection with or incidental to the performance </w:t>
      </w:r>
      <w:r w:rsidR="005D24CE">
        <w:rPr>
          <w:rFonts w:ascii="Lato" w:hAnsi="Lato"/>
          <w:sz w:val="24"/>
          <w:szCs w:val="24"/>
        </w:rPr>
        <w:t>those</w:t>
      </w:r>
      <w:r w:rsidR="00DE0F82" w:rsidRPr="0099261A">
        <w:rPr>
          <w:rFonts w:ascii="Lato" w:hAnsi="Lato"/>
          <w:sz w:val="24"/>
          <w:szCs w:val="24"/>
        </w:rPr>
        <w:t xml:space="preserve"> functions</w:t>
      </w:r>
      <w:r w:rsidR="005D24CE">
        <w:rPr>
          <w:rFonts w:ascii="Lato" w:hAnsi="Lato"/>
          <w:sz w:val="24"/>
          <w:szCs w:val="24"/>
        </w:rPr>
        <w:t>, which includes:</w:t>
      </w:r>
    </w:p>
    <w:p w14:paraId="62DB97E2" w14:textId="6873F87F" w:rsidR="00565D6F" w:rsidRDefault="00565D6F" w:rsidP="00EE054E">
      <w:pPr>
        <w:pStyle w:val="ListParagraph"/>
        <w:numPr>
          <w:ilvl w:val="0"/>
          <w:numId w:val="13"/>
        </w:numPr>
        <w:spacing w:before="24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Inspections, site visits, and investigations;</w:t>
      </w:r>
    </w:p>
    <w:p w14:paraId="595D89F5" w14:textId="4808A366" w:rsidR="00E3273B" w:rsidRPr="0099261A" w:rsidRDefault="00E3273B" w:rsidP="00EE054E">
      <w:pPr>
        <w:pStyle w:val="ListParagraph"/>
        <w:numPr>
          <w:ilvl w:val="0"/>
          <w:numId w:val="13"/>
        </w:numPr>
        <w:spacing w:before="240" w:line="360" w:lineRule="auto"/>
        <w:ind w:left="714" w:hanging="357"/>
        <w:rPr>
          <w:sz w:val="24"/>
          <w:szCs w:val="24"/>
        </w:rPr>
      </w:pPr>
      <w:r w:rsidRPr="0099261A">
        <w:rPr>
          <w:sz w:val="24"/>
          <w:szCs w:val="24"/>
        </w:rPr>
        <w:t>The provision of electrical safety advice and information;</w:t>
      </w:r>
    </w:p>
    <w:p w14:paraId="1A75C46F" w14:textId="5B8BBEB6" w:rsidR="00DE0F82" w:rsidRPr="0099261A" w:rsidRDefault="005D24CE" w:rsidP="00EE054E">
      <w:pPr>
        <w:pStyle w:val="ListParagraph"/>
        <w:numPr>
          <w:ilvl w:val="0"/>
          <w:numId w:val="10"/>
        </w:numPr>
        <w:spacing w:before="240" w:line="360" w:lineRule="auto"/>
        <w:ind w:left="714" w:hanging="357"/>
        <w:rPr>
          <w:sz w:val="24"/>
          <w:szCs w:val="24"/>
        </w:rPr>
      </w:pPr>
      <w:r w:rsidRPr="005F37FC">
        <w:rPr>
          <w:sz w:val="24"/>
          <w:szCs w:val="24"/>
        </w:rPr>
        <w:t xml:space="preserve">Advice in relation to </w:t>
      </w:r>
      <w:r w:rsidR="00DE0F82" w:rsidRPr="005F37FC">
        <w:rPr>
          <w:sz w:val="24"/>
          <w:szCs w:val="24"/>
        </w:rPr>
        <w:t xml:space="preserve">national performance standards for appliances and </w:t>
      </w:r>
      <w:r w:rsidRPr="003818E0">
        <w:rPr>
          <w:sz w:val="24"/>
          <w:szCs w:val="24"/>
        </w:rPr>
        <w:t xml:space="preserve">electrical </w:t>
      </w:r>
      <w:r w:rsidR="00DE0F82" w:rsidRPr="003818E0">
        <w:rPr>
          <w:sz w:val="24"/>
          <w:szCs w:val="24"/>
        </w:rPr>
        <w:t>equipment</w:t>
      </w:r>
      <w:r w:rsidR="00E3273B" w:rsidRPr="0099261A">
        <w:rPr>
          <w:sz w:val="24"/>
          <w:szCs w:val="24"/>
        </w:rPr>
        <w:t>;</w:t>
      </w:r>
    </w:p>
    <w:p w14:paraId="32FDA2AD" w14:textId="7EB7E3E8" w:rsidR="00DE0F82" w:rsidRPr="0099261A" w:rsidRDefault="005D24CE" w:rsidP="00EE054E">
      <w:pPr>
        <w:pStyle w:val="ListParagraph"/>
        <w:numPr>
          <w:ilvl w:val="0"/>
          <w:numId w:val="10"/>
        </w:numPr>
        <w:spacing w:before="240" w:line="360" w:lineRule="auto"/>
        <w:ind w:left="714" w:hanging="357"/>
        <w:rPr>
          <w:sz w:val="24"/>
          <w:szCs w:val="24"/>
        </w:rPr>
      </w:pPr>
      <w:r w:rsidRPr="0099261A">
        <w:rPr>
          <w:sz w:val="24"/>
          <w:szCs w:val="24"/>
        </w:rPr>
        <w:t xml:space="preserve">Input </w:t>
      </w:r>
      <w:r w:rsidR="00DE0F82" w:rsidRPr="0099261A">
        <w:rPr>
          <w:sz w:val="24"/>
          <w:szCs w:val="24"/>
        </w:rPr>
        <w:t xml:space="preserve">into training courses involving </w:t>
      </w:r>
      <w:r w:rsidR="00E3273B" w:rsidRPr="0099261A">
        <w:rPr>
          <w:sz w:val="24"/>
          <w:szCs w:val="24"/>
        </w:rPr>
        <w:t xml:space="preserve">the </w:t>
      </w:r>
      <w:r w:rsidR="00DE0F82" w:rsidRPr="0099261A">
        <w:rPr>
          <w:sz w:val="24"/>
          <w:szCs w:val="24"/>
        </w:rPr>
        <w:t>regulation and standards for electrical wor</w:t>
      </w:r>
      <w:r w:rsidR="00E3273B" w:rsidRPr="0099261A">
        <w:rPr>
          <w:sz w:val="24"/>
          <w:szCs w:val="24"/>
        </w:rPr>
        <w:t>k; and</w:t>
      </w:r>
    </w:p>
    <w:p w14:paraId="4756A435" w14:textId="321963E5" w:rsidR="00E3273B" w:rsidRDefault="00E3273B" w:rsidP="00EE054E">
      <w:pPr>
        <w:pStyle w:val="ListParagraph"/>
        <w:numPr>
          <w:ilvl w:val="0"/>
          <w:numId w:val="10"/>
        </w:numPr>
        <w:spacing w:before="240" w:line="360" w:lineRule="auto"/>
        <w:ind w:left="714" w:hanging="357"/>
        <w:rPr>
          <w:sz w:val="24"/>
          <w:szCs w:val="24"/>
        </w:rPr>
      </w:pPr>
      <w:r w:rsidRPr="0099261A">
        <w:rPr>
          <w:sz w:val="24"/>
          <w:szCs w:val="24"/>
        </w:rPr>
        <w:t xml:space="preserve">Representation </w:t>
      </w:r>
      <w:r w:rsidR="00DE0F82" w:rsidRPr="0099261A">
        <w:rPr>
          <w:sz w:val="24"/>
          <w:szCs w:val="24"/>
        </w:rPr>
        <w:t>on the Electrical Regulatory Authorities Council.</w:t>
      </w:r>
    </w:p>
    <w:p w14:paraId="5FB817EC" w14:textId="0ECCFAF2" w:rsidR="00DE0F82" w:rsidRDefault="00DE0F82" w:rsidP="00DE0F82">
      <w:pPr>
        <w:pStyle w:val="Heading1"/>
      </w:pPr>
      <w:bookmarkStart w:id="2" w:name="_Toc50552338"/>
      <w:r>
        <w:t>Electricity Reform (Safety and Technical) Regulations</w:t>
      </w:r>
      <w:bookmarkEnd w:id="2"/>
    </w:p>
    <w:p w14:paraId="3F826B3B" w14:textId="241DAFA1" w:rsidR="00DE0F82" w:rsidRPr="0099261A" w:rsidRDefault="00DE0F82">
      <w:pPr>
        <w:spacing w:after="240" w:line="360" w:lineRule="auto"/>
        <w:jc w:val="both"/>
        <w:rPr>
          <w:sz w:val="24"/>
          <w:szCs w:val="24"/>
        </w:rPr>
      </w:pPr>
      <w:r w:rsidRPr="004E41BE">
        <w:rPr>
          <w:rFonts w:ascii="Lato" w:hAnsi="Lato"/>
          <w:sz w:val="24"/>
          <w:szCs w:val="24"/>
          <w:lang w:eastAsia="en-AU"/>
        </w:rPr>
        <w:t xml:space="preserve">The Electricity Reform (Safety and Technical) Regulations </w:t>
      </w:r>
      <w:r w:rsidR="00C71815">
        <w:rPr>
          <w:rFonts w:ascii="Lato" w:hAnsi="Lato"/>
          <w:sz w:val="24"/>
          <w:szCs w:val="24"/>
          <w:lang w:eastAsia="en-AU"/>
        </w:rPr>
        <w:t xml:space="preserve">(the Regulations) </w:t>
      </w:r>
      <w:r w:rsidRPr="004E41BE">
        <w:rPr>
          <w:rFonts w:ascii="Lato" w:hAnsi="Lato"/>
          <w:sz w:val="24"/>
          <w:szCs w:val="24"/>
          <w:lang w:eastAsia="en-AU"/>
        </w:rPr>
        <w:t xml:space="preserve">provide for the installation, testing and certification of electrical work carried out. </w:t>
      </w:r>
    </w:p>
    <w:p w14:paraId="0958839D" w14:textId="77777777" w:rsidR="00DE0F82" w:rsidRDefault="00DE0F82" w:rsidP="006B14F6">
      <w:pPr>
        <w:spacing w:after="240" w:line="360" w:lineRule="auto"/>
        <w:jc w:val="both"/>
        <w:rPr>
          <w:rFonts w:ascii="Lato" w:hAnsi="Lato"/>
          <w:sz w:val="24"/>
          <w:szCs w:val="24"/>
          <w:lang w:eastAsia="en-AU"/>
        </w:rPr>
      </w:pPr>
      <w:r w:rsidRPr="004E41BE">
        <w:rPr>
          <w:rFonts w:ascii="Lato" w:hAnsi="Lato"/>
          <w:sz w:val="24"/>
          <w:szCs w:val="24"/>
          <w:lang w:eastAsia="en-AU"/>
        </w:rPr>
        <w:t>The Regulations include safe work practices to assist employers and safeguard electrical workers. Additionally, provisions are made for other persons to work or operate safely in proximity to electrical infrastructure.</w:t>
      </w:r>
    </w:p>
    <w:p w14:paraId="23BDD4F6" w14:textId="21E78C48" w:rsidR="00203F4E" w:rsidRPr="00FE7423" w:rsidRDefault="00F9649F" w:rsidP="00EE054E">
      <w:pPr>
        <w:pStyle w:val="NormalItalics"/>
        <w:spacing w:before="240" w:beforeAutospacing="0" w:after="240" w:afterAutospacing="0" w:line="360" w:lineRule="auto"/>
        <w:jc w:val="both"/>
        <w:rPr>
          <w:rFonts w:ascii="Lato" w:eastAsiaTheme="minorHAnsi" w:hAnsi="Lato" w:cstheme="minorBidi"/>
          <w:i w:val="0"/>
          <w:iCs w:val="0"/>
          <w:sz w:val="24"/>
          <w:szCs w:val="24"/>
        </w:rPr>
      </w:pPr>
      <w:r w:rsidRPr="00411B0F">
        <w:rPr>
          <w:rFonts w:ascii="Lato" w:eastAsiaTheme="minorHAnsi" w:hAnsi="Lato" w:cstheme="minorBidi"/>
          <w:i w:val="0"/>
          <w:iCs w:val="0"/>
          <w:sz w:val="24"/>
          <w:szCs w:val="24"/>
        </w:rPr>
        <w:t>In 2017-18, t</w:t>
      </w:r>
      <w:r w:rsidR="00203F4E" w:rsidRPr="00411B0F">
        <w:rPr>
          <w:rFonts w:ascii="Lato" w:eastAsiaTheme="minorHAnsi" w:hAnsi="Lato" w:cstheme="minorBidi"/>
          <w:i w:val="0"/>
          <w:iCs w:val="0"/>
          <w:sz w:val="24"/>
          <w:szCs w:val="24"/>
        </w:rPr>
        <w:t>he Government established a tri-partite</w:t>
      </w:r>
      <w:r w:rsidRPr="00411B0F">
        <w:rPr>
          <w:rFonts w:ascii="Lato" w:eastAsiaTheme="minorHAnsi" w:hAnsi="Lato" w:cstheme="minorBidi"/>
          <w:i w:val="0"/>
          <w:iCs w:val="0"/>
          <w:sz w:val="24"/>
          <w:szCs w:val="24"/>
        </w:rPr>
        <w:t xml:space="preserve"> </w:t>
      </w:r>
      <w:r w:rsidRPr="00C06A97">
        <w:rPr>
          <w:rFonts w:ascii="Lato" w:eastAsiaTheme="minorHAnsi" w:hAnsi="Lato" w:cstheme="minorBidi"/>
          <w:i w:val="0"/>
          <w:iCs w:val="0"/>
          <w:sz w:val="24"/>
          <w:szCs w:val="24"/>
        </w:rPr>
        <w:t xml:space="preserve">Electrical Safety and Licensing Reference Group to examine the </w:t>
      </w:r>
      <w:r w:rsidR="006B14F6" w:rsidRPr="006B14F6">
        <w:rPr>
          <w:rFonts w:ascii="Lato" w:eastAsiaTheme="minorHAnsi" w:hAnsi="Lato" w:cstheme="minorBidi"/>
          <w:i w:val="0"/>
          <w:iCs w:val="0"/>
          <w:sz w:val="24"/>
          <w:szCs w:val="24"/>
        </w:rPr>
        <w:t>Act</w:t>
      </w:r>
      <w:r w:rsidRPr="006B14F6">
        <w:rPr>
          <w:rFonts w:ascii="Lato" w:eastAsiaTheme="minorHAnsi" w:hAnsi="Lato" w:cstheme="minorBidi"/>
          <w:i w:val="0"/>
          <w:iCs w:val="0"/>
          <w:sz w:val="24"/>
          <w:szCs w:val="24"/>
        </w:rPr>
        <w:t xml:space="preserve"> </w:t>
      </w:r>
      <w:r w:rsidRPr="00C06A97">
        <w:rPr>
          <w:rFonts w:ascii="Lato" w:eastAsiaTheme="minorHAnsi" w:hAnsi="Lato" w:cstheme="minorBidi"/>
          <w:i w:val="0"/>
          <w:iCs w:val="0"/>
          <w:sz w:val="24"/>
          <w:szCs w:val="24"/>
        </w:rPr>
        <w:t xml:space="preserve">and the </w:t>
      </w:r>
      <w:r w:rsidRPr="00D92AFA">
        <w:rPr>
          <w:rFonts w:ascii="Lato" w:eastAsiaTheme="minorHAnsi" w:hAnsi="Lato" w:cstheme="minorBidi"/>
          <w:iCs w:val="0"/>
          <w:sz w:val="24"/>
          <w:szCs w:val="24"/>
        </w:rPr>
        <w:t xml:space="preserve">Electrical Workers </w:t>
      </w:r>
      <w:r w:rsidR="00D92AFA" w:rsidRPr="00D92AFA">
        <w:rPr>
          <w:rFonts w:ascii="Lato" w:eastAsiaTheme="minorHAnsi" w:hAnsi="Lato" w:cstheme="minorBidi"/>
          <w:iCs w:val="0"/>
          <w:sz w:val="24"/>
          <w:szCs w:val="24"/>
        </w:rPr>
        <w:t xml:space="preserve">and Contractors </w:t>
      </w:r>
      <w:r w:rsidRPr="00D92AFA">
        <w:rPr>
          <w:rFonts w:ascii="Lato" w:eastAsiaTheme="minorHAnsi" w:hAnsi="Lato" w:cstheme="minorBidi"/>
          <w:iCs w:val="0"/>
          <w:sz w:val="24"/>
          <w:szCs w:val="24"/>
        </w:rPr>
        <w:t>Act</w:t>
      </w:r>
      <w:r w:rsidR="00D92AFA" w:rsidRPr="00D92AFA">
        <w:rPr>
          <w:rFonts w:ascii="Lato" w:eastAsiaTheme="minorHAnsi" w:hAnsi="Lato" w:cstheme="minorBidi"/>
          <w:iCs w:val="0"/>
          <w:sz w:val="24"/>
          <w:szCs w:val="24"/>
        </w:rPr>
        <w:t xml:space="preserve"> </w:t>
      </w:r>
      <w:r w:rsidR="00D92AFA" w:rsidRPr="00D92AFA">
        <w:rPr>
          <w:rFonts w:ascii="Lato" w:eastAsiaTheme="minorHAnsi" w:hAnsi="Lato" w:cstheme="minorBidi"/>
          <w:i w:val="0"/>
          <w:iCs w:val="0"/>
          <w:sz w:val="24"/>
          <w:szCs w:val="24"/>
        </w:rPr>
        <w:t>1978</w:t>
      </w:r>
      <w:r w:rsidRPr="00D92AFA">
        <w:rPr>
          <w:rFonts w:ascii="Lato" w:eastAsiaTheme="minorHAnsi" w:hAnsi="Lato" w:cstheme="minorBidi"/>
          <w:i w:val="0"/>
          <w:iCs w:val="0"/>
          <w:sz w:val="24"/>
          <w:szCs w:val="24"/>
        </w:rPr>
        <w:t>.</w:t>
      </w:r>
      <w:r>
        <w:rPr>
          <w:rFonts w:ascii="Lato" w:eastAsiaTheme="minorHAnsi" w:hAnsi="Lato" w:cstheme="minorBidi"/>
          <w:i w:val="0"/>
          <w:iCs w:val="0"/>
          <w:sz w:val="24"/>
          <w:szCs w:val="24"/>
        </w:rPr>
        <w:t xml:space="preserve"> </w:t>
      </w:r>
      <w:r w:rsidRPr="00411B0F">
        <w:rPr>
          <w:rFonts w:ascii="Lato" w:eastAsiaTheme="minorHAnsi" w:hAnsi="Lato" w:cstheme="minorBidi"/>
          <w:i w:val="0"/>
          <w:iCs w:val="0"/>
          <w:sz w:val="24"/>
          <w:szCs w:val="24"/>
        </w:rPr>
        <w:t xml:space="preserve">The purpose of the review </w:t>
      </w:r>
      <w:r w:rsidR="00FE7423">
        <w:rPr>
          <w:rFonts w:ascii="Lato" w:eastAsiaTheme="minorHAnsi" w:hAnsi="Lato" w:cstheme="minorBidi"/>
          <w:i w:val="0"/>
          <w:iCs w:val="0"/>
          <w:sz w:val="24"/>
          <w:szCs w:val="24"/>
        </w:rPr>
        <w:t>wa</w:t>
      </w:r>
      <w:r w:rsidRPr="00411B0F">
        <w:rPr>
          <w:rFonts w:ascii="Lato" w:eastAsiaTheme="minorHAnsi" w:hAnsi="Lato" w:cstheme="minorBidi"/>
          <w:i w:val="0"/>
          <w:iCs w:val="0"/>
          <w:sz w:val="24"/>
          <w:szCs w:val="24"/>
        </w:rPr>
        <w:t xml:space="preserve">s </w:t>
      </w:r>
      <w:r w:rsidRPr="00C06A97">
        <w:rPr>
          <w:rFonts w:ascii="Lato" w:eastAsiaTheme="minorHAnsi" w:hAnsi="Lato" w:cstheme="minorBidi"/>
          <w:i w:val="0"/>
          <w:iCs w:val="0"/>
          <w:sz w:val="24"/>
          <w:szCs w:val="24"/>
        </w:rPr>
        <w:t xml:space="preserve">to examine and provide direction to </w:t>
      </w:r>
      <w:r w:rsidR="006B14F6">
        <w:rPr>
          <w:rFonts w:ascii="Lato" w:eastAsiaTheme="minorHAnsi" w:hAnsi="Lato" w:cstheme="minorBidi"/>
          <w:i w:val="0"/>
          <w:iCs w:val="0"/>
          <w:sz w:val="24"/>
          <w:szCs w:val="24"/>
        </w:rPr>
        <w:t xml:space="preserve">the Northern Territory </w:t>
      </w:r>
      <w:r w:rsidRPr="00C06A97">
        <w:rPr>
          <w:rFonts w:ascii="Lato" w:eastAsiaTheme="minorHAnsi" w:hAnsi="Lato" w:cstheme="minorBidi"/>
          <w:i w:val="0"/>
          <w:iCs w:val="0"/>
          <w:sz w:val="24"/>
          <w:szCs w:val="24"/>
        </w:rPr>
        <w:t xml:space="preserve">Government about what amendments are necessary to address concerns in </w:t>
      </w:r>
      <w:r w:rsidRPr="00C06A97">
        <w:rPr>
          <w:rFonts w:ascii="Lato" w:eastAsiaTheme="minorHAnsi" w:hAnsi="Lato" w:cstheme="minorBidi"/>
          <w:i w:val="0"/>
          <w:iCs w:val="0"/>
          <w:sz w:val="24"/>
          <w:szCs w:val="24"/>
        </w:rPr>
        <w:lastRenderedPageBreak/>
        <w:t xml:space="preserve">relation to </w:t>
      </w:r>
      <w:r w:rsidR="00CD4591" w:rsidRPr="00FE7423">
        <w:rPr>
          <w:rFonts w:ascii="Lato" w:eastAsiaTheme="minorHAnsi" w:hAnsi="Lato" w:cstheme="minorBidi"/>
          <w:i w:val="0"/>
          <w:iCs w:val="0"/>
          <w:sz w:val="24"/>
          <w:szCs w:val="24"/>
        </w:rPr>
        <w:t>electrical safety and electrical l</w:t>
      </w:r>
      <w:r w:rsidRPr="00FE7423">
        <w:rPr>
          <w:rFonts w:ascii="Lato" w:eastAsiaTheme="minorHAnsi" w:hAnsi="Lato" w:cstheme="minorBidi"/>
          <w:i w:val="0"/>
          <w:iCs w:val="0"/>
          <w:sz w:val="24"/>
          <w:szCs w:val="24"/>
        </w:rPr>
        <w:t>icensing</w:t>
      </w:r>
      <w:r w:rsidR="006B14F6" w:rsidRPr="00FE7423">
        <w:rPr>
          <w:rFonts w:ascii="Lato" w:eastAsiaTheme="minorHAnsi" w:hAnsi="Lato" w:cstheme="minorBidi"/>
          <w:i w:val="0"/>
          <w:iCs w:val="0"/>
          <w:sz w:val="24"/>
          <w:szCs w:val="24"/>
        </w:rPr>
        <w:t xml:space="preserve">. </w:t>
      </w:r>
      <w:r w:rsidR="00E63DD8" w:rsidRPr="00FE7423">
        <w:rPr>
          <w:rFonts w:ascii="Lato" w:eastAsiaTheme="minorHAnsi" w:hAnsi="Lato" w:cstheme="minorBidi"/>
          <w:i w:val="0"/>
          <w:iCs w:val="0"/>
          <w:sz w:val="24"/>
          <w:szCs w:val="24"/>
        </w:rPr>
        <w:t>NT WorkSafe is participating in this review.</w:t>
      </w:r>
    </w:p>
    <w:p w14:paraId="449F9A50" w14:textId="77777777" w:rsidR="00FE7423" w:rsidRPr="00EE054E" w:rsidRDefault="00FE7423" w:rsidP="00EE054E">
      <w:pPr>
        <w:spacing w:before="240" w:after="240" w:line="360" w:lineRule="auto"/>
        <w:jc w:val="both"/>
        <w:rPr>
          <w:rFonts w:ascii="Lato" w:hAnsi="Lato"/>
          <w:sz w:val="24"/>
          <w:szCs w:val="24"/>
          <w:lang w:eastAsia="en-AU"/>
        </w:rPr>
      </w:pPr>
      <w:r w:rsidRPr="00EE054E">
        <w:rPr>
          <w:rFonts w:ascii="Lato" w:hAnsi="Lato"/>
          <w:sz w:val="24"/>
          <w:szCs w:val="24"/>
          <w:lang w:eastAsia="en-AU"/>
        </w:rPr>
        <w:t>The Electrical Safety and Licensing Reference Group has completed their report in December 2019. The report has 37 recommendations with the main recommendation being that a single piece of legislation should be created that amalgamates and modernises the Electrical Workers and Contractors Act 1978 and the electrical safety provisions of the Electricity Reform Act 2000.</w:t>
      </w:r>
    </w:p>
    <w:p w14:paraId="39EFCAB3" w14:textId="77777777" w:rsidR="00FE7423" w:rsidRPr="00EE054E" w:rsidRDefault="00FE7423" w:rsidP="00EE054E">
      <w:pPr>
        <w:spacing w:before="240" w:after="240" w:line="360" w:lineRule="auto"/>
        <w:jc w:val="both"/>
        <w:rPr>
          <w:rFonts w:ascii="Lato" w:hAnsi="Lato"/>
          <w:sz w:val="24"/>
          <w:szCs w:val="24"/>
          <w:lang w:eastAsia="en-AU"/>
        </w:rPr>
      </w:pPr>
      <w:r w:rsidRPr="00EE054E">
        <w:rPr>
          <w:rFonts w:ascii="Lato" w:hAnsi="Lato"/>
          <w:sz w:val="24"/>
          <w:szCs w:val="24"/>
          <w:lang w:eastAsia="en-AU"/>
        </w:rPr>
        <w:t xml:space="preserve">The group recognises that such a piece of work will take some time and will require extensive consultation. However the group identified a number of issues that require urgent rectification. </w:t>
      </w:r>
      <w:r w:rsidR="00FE338E" w:rsidRPr="00EE054E">
        <w:rPr>
          <w:rFonts w:ascii="Lato" w:hAnsi="Lato"/>
          <w:sz w:val="24"/>
          <w:szCs w:val="24"/>
          <w:lang w:eastAsia="en-AU"/>
        </w:rPr>
        <w:t>The group recommended</w:t>
      </w:r>
      <w:r w:rsidRPr="00EE054E">
        <w:rPr>
          <w:rFonts w:ascii="Lato" w:hAnsi="Lato"/>
          <w:sz w:val="24"/>
          <w:szCs w:val="24"/>
          <w:lang w:eastAsia="en-AU"/>
        </w:rPr>
        <w:t xml:space="preserve"> legislative amendments as soon as possible to:</w:t>
      </w:r>
    </w:p>
    <w:p w14:paraId="3F40147D" w14:textId="4AFD62FF" w:rsidR="00FE7423" w:rsidRPr="00EE054E" w:rsidRDefault="00565D6F" w:rsidP="00EE054E">
      <w:pPr>
        <w:pStyle w:val="ListParagraph"/>
        <w:numPr>
          <w:ilvl w:val="0"/>
          <w:numId w:val="6"/>
        </w:numPr>
        <w:spacing w:before="240" w:after="240" w:line="360" w:lineRule="auto"/>
        <w:ind w:left="425" w:hanging="357"/>
        <w:contextualSpacing w:val="0"/>
        <w:jc w:val="both"/>
        <w:rPr>
          <w:rFonts w:eastAsiaTheme="minorHAnsi" w:cstheme="minorBidi"/>
          <w:sz w:val="24"/>
          <w:szCs w:val="24"/>
        </w:rPr>
      </w:pPr>
      <w:r w:rsidRPr="00EE054E">
        <w:rPr>
          <w:rFonts w:eastAsiaTheme="minorHAnsi" w:cstheme="minorBidi"/>
          <w:sz w:val="24"/>
          <w:szCs w:val="24"/>
        </w:rPr>
        <w:t>E</w:t>
      </w:r>
      <w:r w:rsidR="00FE7423" w:rsidRPr="00EE054E">
        <w:rPr>
          <w:rFonts w:eastAsiaTheme="minorHAnsi" w:cstheme="minorBidi"/>
          <w:sz w:val="24"/>
          <w:szCs w:val="24"/>
        </w:rPr>
        <w:t>xpand the coverage of the safety provisions of the Electricity Reform Act 2000 to electrical systems that involve renewable energy sources and energy storage systems;</w:t>
      </w:r>
    </w:p>
    <w:p w14:paraId="185EC2A0" w14:textId="75CBBD5B" w:rsidR="00FE7423" w:rsidRPr="00EE054E" w:rsidRDefault="00565D6F" w:rsidP="00EE054E">
      <w:pPr>
        <w:pStyle w:val="ListParagraph"/>
        <w:numPr>
          <w:ilvl w:val="0"/>
          <w:numId w:val="6"/>
        </w:numPr>
        <w:spacing w:before="240" w:after="240" w:line="360" w:lineRule="auto"/>
        <w:ind w:left="425" w:hanging="357"/>
        <w:contextualSpacing w:val="0"/>
        <w:jc w:val="both"/>
        <w:rPr>
          <w:rFonts w:eastAsiaTheme="minorHAnsi" w:cstheme="minorBidi"/>
          <w:sz w:val="24"/>
          <w:szCs w:val="24"/>
        </w:rPr>
      </w:pPr>
      <w:r w:rsidRPr="00EE054E">
        <w:rPr>
          <w:rFonts w:eastAsiaTheme="minorHAnsi" w:cstheme="minorBidi"/>
          <w:sz w:val="24"/>
          <w:szCs w:val="24"/>
        </w:rPr>
        <w:t>E</w:t>
      </w:r>
      <w:r w:rsidR="00FE7423" w:rsidRPr="00EE054E">
        <w:rPr>
          <w:rFonts w:eastAsiaTheme="minorHAnsi" w:cstheme="minorBidi"/>
          <w:sz w:val="24"/>
          <w:szCs w:val="24"/>
        </w:rPr>
        <w:t>xpand the coverage of the safety provisions of the Electricity Reform Act 2000 to include electrical appliances;</w:t>
      </w:r>
    </w:p>
    <w:p w14:paraId="065D24FB" w14:textId="242C3B67" w:rsidR="00FE7423" w:rsidRPr="00EE054E" w:rsidRDefault="00565D6F" w:rsidP="00EE054E">
      <w:pPr>
        <w:pStyle w:val="ListParagraph"/>
        <w:numPr>
          <w:ilvl w:val="0"/>
          <w:numId w:val="6"/>
        </w:numPr>
        <w:spacing w:before="240" w:after="240" w:line="360" w:lineRule="auto"/>
        <w:ind w:left="425" w:hanging="357"/>
        <w:contextualSpacing w:val="0"/>
        <w:jc w:val="both"/>
        <w:rPr>
          <w:rFonts w:eastAsiaTheme="minorHAnsi" w:cstheme="minorBidi"/>
          <w:sz w:val="24"/>
          <w:szCs w:val="24"/>
        </w:rPr>
      </w:pPr>
      <w:r w:rsidRPr="00EE054E">
        <w:rPr>
          <w:rFonts w:eastAsiaTheme="minorHAnsi" w:cstheme="minorBidi"/>
          <w:sz w:val="24"/>
          <w:szCs w:val="24"/>
        </w:rPr>
        <w:t>S</w:t>
      </w:r>
      <w:r w:rsidR="00FE7423" w:rsidRPr="00EE054E">
        <w:rPr>
          <w:rFonts w:eastAsiaTheme="minorHAnsi" w:cstheme="minorBidi"/>
          <w:sz w:val="24"/>
          <w:szCs w:val="24"/>
        </w:rPr>
        <w:t>implify and clarify the appointment of inspectors under the Electrical Workers and Contractors Act 1978 and the Electricity Reform Act 2000 and create a single inspectorate;</w:t>
      </w:r>
    </w:p>
    <w:p w14:paraId="3E607525" w14:textId="4FEFB542" w:rsidR="00FE7423" w:rsidRPr="00EE054E" w:rsidRDefault="00565D6F" w:rsidP="00EE054E">
      <w:pPr>
        <w:pStyle w:val="ListParagraph"/>
        <w:numPr>
          <w:ilvl w:val="0"/>
          <w:numId w:val="6"/>
        </w:numPr>
        <w:spacing w:before="240" w:after="240" w:line="360" w:lineRule="auto"/>
        <w:ind w:left="425" w:hanging="357"/>
        <w:contextualSpacing w:val="0"/>
        <w:jc w:val="both"/>
        <w:rPr>
          <w:rFonts w:eastAsiaTheme="minorHAnsi" w:cstheme="minorBidi"/>
          <w:sz w:val="24"/>
          <w:szCs w:val="24"/>
        </w:rPr>
      </w:pPr>
      <w:r w:rsidRPr="00EE054E">
        <w:rPr>
          <w:rFonts w:eastAsiaTheme="minorHAnsi" w:cstheme="minorBidi"/>
          <w:sz w:val="24"/>
          <w:szCs w:val="24"/>
        </w:rPr>
        <w:t>C</w:t>
      </w:r>
      <w:r w:rsidR="00FE7423" w:rsidRPr="00EE054E">
        <w:rPr>
          <w:rFonts w:eastAsiaTheme="minorHAnsi" w:cstheme="minorBidi"/>
          <w:sz w:val="24"/>
          <w:szCs w:val="24"/>
        </w:rPr>
        <w:t>reate reasonable periods of time during which rectification works can be ordered and enforcement options utilised; and</w:t>
      </w:r>
    </w:p>
    <w:p w14:paraId="157ADC9E" w14:textId="3A0992D2" w:rsidR="00FE7423" w:rsidRPr="00EE054E" w:rsidRDefault="00565D6F" w:rsidP="00EE054E">
      <w:pPr>
        <w:pStyle w:val="ListParagraph"/>
        <w:numPr>
          <w:ilvl w:val="0"/>
          <w:numId w:val="6"/>
        </w:numPr>
        <w:spacing w:before="240" w:after="240" w:line="360" w:lineRule="auto"/>
        <w:ind w:left="425" w:hanging="357"/>
        <w:contextualSpacing w:val="0"/>
        <w:jc w:val="both"/>
        <w:rPr>
          <w:rFonts w:eastAsiaTheme="minorHAnsi" w:cstheme="minorBidi"/>
          <w:sz w:val="24"/>
          <w:szCs w:val="24"/>
        </w:rPr>
      </w:pPr>
      <w:r w:rsidRPr="00EE054E">
        <w:rPr>
          <w:rFonts w:eastAsiaTheme="minorHAnsi" w:cstheme="minorBidi"/>
          <w:sz w:val="24"/>
          <w:szCs w:val="24"/>
        </w:rPr>
        <w:t>I</w:t>
      </w:r>
      <w:r w:rsidR="00FE7423" w:rsidRPr="00EE054E">
        <w:rPr>
          <w:rFonts w:eastAsiaTheme="minorHAnsi" w:cstheme="minorBidi"/>
          <w:sz w:val="24"/>
          <w:szCs w:val="24"/>
        </w:rPr>
        <w:t>ncrease the number and effectiveness of enforcement tools available to electrical safety inspectors and clarify what is an offence under the two Acts and who may commence a prosecution.</w:t>
      </w:r>
    </w:p>
    <w:p w14:paraId="256E5A83" w14:textId="77777777" w:rsidR="00FE7423" w:rsidRPr="00C06A97" w:rsidRDefault="005803F5" w:rsidP="00411B0F">
      <w:pPr>
        <w:pStyle w:val="NormalItalics"/>
        <w:spacing w:before="0" w:beforeAutospacing="0" w:after="240" w:afterAutospacing="0" w:line="360" w:lineRule="auto"/>
        <w:jc w:val="both"/>
        <w:rPr>
          <w:rFonts w:ascii="Lato" w:eastAsiaTheme="minorHAnsi" w:hAnsi="Lato" w:cstheme="minorBidi"/>
          <w:i w:val="0"/>
          <w:iCs w:val="0"/>
          <w:sz w:val="24"/>
          <w:szCs w:val="24"/>
        </w:rPr>
      </w:pPr>
      <w:r>
        <w:rPr>
          <w:rFonts w:ascii="Lato" w:eastAsiaTheme="minorHAnsi" w:hAnsi="Lato" w:cstheme="minorBidi"/>
          <w:i w:val="0"/>
          <w:iCs w:val="0"/>
          <w:sz w:val="24"/>
          <w:szCs w:val="24"/>
        </w:rPr>
        <w:t>It is expected that work on implementing these recommendations will commence in late 2020.</w:t>
      </w:r>
    </w:p>
    <w:p w14:paraId="46103C87" w14:textId="77777777" w:rsidR="00EE054E" w:rsidRDefault="00EE054E">
      <w:pPr>
        <w:rPr>
          <w:rFonts w:ascii="Lato Black" w:eastAsiaTheme="majorEastAsia" w:hAnsi="Lato Black" w:cstheme="majorBidi"/>
          <w:bCs/>
          <w:kern w:val="32"/>
          <w:sz w:val="32"/>
          <w:szCs w:val="32"/>
          <w:lang w:eastAsia="en-AU"/>
        </w:rPr>
      </w:pPr>
      <w:bookmarkStart w:id="3" w:name="_Toc50552339"/>
      <w:r>
        <w:br w:type="page"/>
      </w:r>
    </w:p>
    <w:p w14:paraId="15932783" w14:textId="3479F747" w:rsidR="00DE0F82" w:rsidRDefault="00DE0F82" w:rsidP="00DE0F82">
      <w:pPr>
        <w:pStyle w:val="Heading1"/>
      </w:pPr>
      <w:r>
        <w:lastRenderedPageBreak/>
        <w:t xml:space="preserve">Work Health and Safety </w:t>
      </w:r>
      <w:r w:rsidR="00A524AE">
        <w:t>Legislation</w:t>
      </w:r>
      <w:bookmarkEnd w:id="3"/>
    </w:p>
    <w:p w14:paraId="7244C0E0" w14:textId="5393C902" w:rsidR="00C06A97" w:rsidRDefault="00DE0F82" w:rsidP="00C71815">
      <w:pPr>
        <w:spacing w:after="240" w:line="360" w:lineRule="auto"/>
        <w:jc w:val="both"/>
        <w:rPr>
          <w:rFonts w:ascii="Lato" w:hAnsi="Lato"/>
          <w:sz w:val="24"/>
          <w:szCs w:val="24"/>
          <w:lang w:eastAsia="en-AU"/>
        </w:rPr>
      </w:pPr>
      <w:r w:rsidRPr="004E41BE">
        <w:rPr>
          <w:rFonts w:ascii="Lato" w:hAnsi="Lato"/>
          <w:sz w:val="24"/>
          <w:szCs w:val="24"/>
          <w:lang w:eastAsia="en-AU"/>
        </w:rPr>
        <w:t xml:space="preserve">On 1 January 2012, the </w:t>
      </w:r>
      <w:r w:rsidRPr="004E41BE">
        <w:rPr>
          <w:rFonts w:ascii="Lato" w:hAnsi="Lato"/>
          <w:i/>
          <w:sz w:val="24"/>
          <w:szCs w:val="24"/>
          <w:lang w:eastAsia="en-AU"/>
        </w:rPr>
        <w:t>Work Health and Safety (National Uniform Legislation) Act</w:t>
      </w:r>
      <w:r w:rsidR="006B14F6">
        <w:rPr>
          <w:rFonts w:ascii="Lato" w:hAnsi="Lato"/>
          <w:i/>
          <w:sz w:val="24"/>
          <w:szCs w:val="24"/>
          <w:lang w:eastAsia="en-AU"/>
        </w:rPr>
        <w:t xml:space="preserve"> </w:t>
      </w:r>
      <w:r w:rsidR="00411D59" w:rsidRPr="00411D59">
        <w:rPr>
          <w:rFonts w:ascii="Lato" w:hAnsi="Lato"/>
          <w:sz w:val="24"/>
          <w:szCs w:val="24"/>
          <w:lang w:eastAsia="en-AU"/>
        </w:rPr>
        <w:t>2011</w:t>
      </w:r>
      <w:r w:rsidR="00411D59">
        <w:rPr>
          <w:rFonts w:ascii="Lato" w:hAnsi="Lato"/>
          <w:i/>
          <w:sz w:val="24"/>
          <w:szCs w:val="24"/>
          <w:lang w:eastAsia="en-AU"/>
        </w:rPr>
        <w:t xml:space="preserve"> </w:t>
      </w:r>
      <w:r w:rsidR="006B14F6" w:rsidRPr="006B14F6">
        <w:rPr>
          <w:rFonts w:ascii="Lato" w:hAnsi="Lato"/>
          <w:sz w:val="24"/>
          <w:szCs w:val="24"/>
          <w:lang w:eastAsia="en-AU"/>
        </w:rPr>
        <w:t>(WHS Act)</w:t>
      </w:r>
      <w:r w:rsidRPr="004E41BE">
        <w:rPr>
          <w:rFonts w:ascii="Lato" w:hAnsi="Lato"/>
          <w:sz w:val="24"/>
          <w:szCs w:val="24"/>
          <w:lang w:eastAsia="en-AU"/>
        </w:rPr>
        <w:t xml:space="preserve"> and Regulations commenced in the Northern Territory. Part 4.7 of the Regulations – General electrical safety in workplaces and energised electrical work, addresses electrical safety in the workplace.</w:t>
      </w:r>
    </w:p>
    <w:p w14:paraId="52A84EBB" w14:textId="45C3E8D2" w:rsidR="00DE0F82" w:rsidRPr="00EE054E" w:rsidRDefault="00DE0F82" w:rsidP="00EE054E">
      <w:pPr>
        <w:rPr>
          <w:rFonts w:ascii="Lato Black" w:eastAsiaTheme="majorEastAsia" w:hAnsi="Lato Black" w:cstheme="majorBidi"/>
          <w:bCs/>
          <w:kern w:val="32"/>
          <w:sz w:val="32"/>
          <w:szCs w:val="32"/>
          <w:lang w:eastAsia="en-AU"/>
        </w:rPr>
      </w:pPr>
      <w:bookmarkStart w:id="4" w:name="_Toc50552340"/>
      <w:r w:rsidRPr="00EE054E">
        <w:rPr>
          <w:rFonts w:ascii="Lato Black" w:eastAsiaTheme="majorEastAsia" w:hAnsi="Lato Black" w:cstheme="majorBidi"/>
          <w:bCs/>
          <w:kern w:val="32"/>
          <w:sz w:val="32"/>
          <w:szCs w:val="32"/>
          <w:lang w:eastAsia="en-AU"/>
        </w:rPr>
        <w:t>Public Awareness and Advice</w:t>
      </w:r>
      <w:bookmarkEnd w:id="4"/>
    </w:p>
    <w:p w14:paraId="7829BCF5" w14:textId="775BFB37" w:rsidR="00565D6F" w:rsidRDefault="00DE0F82" w:rsidP="0099261A">
      <w:pPr>
        <w:spacing w:after="240" w:line="360" w:lineRule="auto"/>
        <w:ind w:right="686"/>
        <w:jc w:val="both"/>
      </w:pPr>
      <w:r w:rsidRPr="004E41BE">
        <w:rPr>
          <w:rFonts w:ascii="Lato" w:hAnsi="Lato"/>
          <w:sz w:val="24"/>
          <w:szCs w:val="24"/>
          <w:lang w:eastAsia="en-AU"/>
        </w:rPr>
        <w:t>The Electricity Safety Regulator publishes Safety Alerts and Information Bulletins on the NT WorkSafe website as a means of providing information and advice. The following information products were available in 20</w:t>
      </w:r>
      <w:r w:rsidR="005812F3">
        <w:rPr>
          <w:rFonts w:ascii="Lato" w:hAnsi="Lato"/>
          <w:sz w:val="24"/>
          <w:szCs w:val="24"/>
          <w:lang w:eastAsia="en-AU"/>
        </w:rPr>
        <w:t>20</w:t>
      </w:r>
      <w:r w:rsidRPr="004E41BE">
        <w:rPr>
          <w:rFonts w:ascii="Lato" w:hAnsi="Lato"/>
          <w:sz w:val="24"/>
          <w:szCs w:val="24"/>
          <w:lang w:eastAsia="en-AU"/>
        </w:rPr>
        <w:t>-20</w:t>
      </w:r>
      <w:r w:rsidR="005812F3">
        <w:rPr>
          <w:rFonts w:ascii="Lato" w:hAnsi="Lato"/>
          <w:sz w:val="24"/>
          <w:szCs w:val="24"/>
          <w:lang w:eastAsia="en-AU"/>
        </w:rPr>
        <w:t>21</w:t>
      </w:r>
      <w:r w:rsidRPr="004E41BE">
        <w:rPr>
          <w:rFonts w:ascii="Lato" w:hAnsi="Lato"/>
          <w:sz w:val="24"/>
          <w:szCs w:val="24"/>
          <w:lang w:eastAsia="en-AU"/>
        </w:rPr>
        <w:t>.</w:t>
      </w:r>
      <w:bookmarkStart w:id="5" w:name="_Toc50552341"/>
    </w:p>
    <w:p w14:paraId="6332061A" w14:textId="2CEF6CB2" w:rsidR="00DE0F82" w:rsidRPr="00455D78" w:rsidRDefault="00DE0F82" w:rsidP="00455D78">
      <w:pPr>
        <w:pStyle w:val="Heading2"/>
      </w:pPr>
      <w:r w:rsidRPr="00455D78">
        <w:t>Safety Alerts</w:t>
      </w:r>
      <w:bookmarkEnd w:id="5"/>
    </w:p>
    <w:p w14:paraId="1120F5AE" w14:textId="77777777" w:rsidR="00184D2F" w:rsidRPr="00184D2F" w:rsidRDefault="00184D2F" w:rsidP="00F31BB9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sz w:val="24"/>
          <w:szCs w:val="24"/>
        </w:rPr>
      </w:pPr>
      <w:r w:rsidRPr="00184D2F">
        <w:rPr>
          <w:sz w:val="24"/>
          <w:szCs w:val="24"/>
        </w:rPr>
        <w:t>Christmas lights – electrical safety</w:t>
      </w:r>
    </w:p>
    <w:p w14:paraId="387DCCB5" w14:textId="77777777" w:rsidR="00184D2F" w:rsidRPr="00184D2F" w:rsidRDefault="00184D2F" w:rsidP="00525B00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sz w:val="24"/>
          <w:szCs w:val="24"/>
        </w:rPr>
      </w:pPr>
      <w:r w:rsidRPr="00184D2F">
        <w:rPr>
          <w:sz w:val="24"/>
          <w:szCs w:val="24"/>
        </w:rPr>
        <w:t>Damaged, defective or degraded overhead electrical infrastructure</w:t>
      </w:r>
    </w:p>
    <w:p w14:paraId="4D2313F2" w14:textId="77777777" w:rsidR="00184D2F" w:rsidRPr="00184D2F" w:rsidRDefault="00184D2F" w:rsidP="00A524AE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sz w:val="24"/>
          <w:szCs w:val="24"/>
        </w:rPr>
      </w:pPr>
      <w:r w:rsidRPr="00184D2F">
        <w:rPr>
          <w:sz w:val="24"/>
          <w:szCs w:val="24"/>
        </w:rPr>
        <w:t>DC Solar isolator fire</w:t>
      </w:r>
    </w:p>
    <w:p w14:paraId="55C0FCBC" w14:textId="77777777" w:rsidR="00184D2F" w:rsidRPr="00184D2F" w:rsidRDefault="00184D2F" w:rsidP="00F31BB9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sz w:val="24"/>
          <w:szCs w:val="24"/>
        </w:rPr>
      </w:pPr>
      <w:r w:rsidRPr="00184D2F">
        <w:rPr>
          <w:sz w:val="24"/>
          <w:szCs w:val="24"/>
        </w:rPr>
        <w:t>Electric shock hazards associated with excessive sweating whilst using mains powered tools</w:t>
      </w:r>
    </w:p>
    <w:p w14:paraId="67AC9F9F" w14:textId="77777777" w:rsidR="00184D2F" w:rsidRPr="00184D2F" w:rsidRDefault="00184D2F" w:rsidP="00A524AE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sz w:val="24"/>
          <w:szCs w:val="24"/>
        </w:rPr>
      </w:pPr>
      <w:r w:rsidRPr="00184D2F">
        <w:rPr>
          <w:sz w:val="24"/>
          <w:szCs w:val="24"/>
        </w:rPr>
        <w:t>Electrical power tools on board fishing vessels (re-issued)</w:t>
      </w:r>
    </w:p>
    <w:p w14:paraId="6474831B" w14:textId="77777777" w:rsidR="00184D2F" w:rsidRPr="00184D2F" w:rsidRDefault="00184D2F" w:rsidP="00F31BB9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sz w:val="24"/>
          <w:szCs w:val="24"/>
        </w:rPr>
      </w:pPr>
      <w:r w:rsidRPr="00184D2F">
        <w:rPr>
          <w:sz w:val="24"/>
          <w:szCs w:val="24"/>
        </w:rPr>
        <w:t>Electrical safety risks in ceiling spaces</w:t>
      </w:r>
    </w:p>
    <w:p w14:paraId="64D695AC" w14:textId="77777777" w:rsidR="00184D2F" w:rsidRPr="00184D2F" w:rsidRDefault="00184D2F" w:rsidP="00F31BB9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sz w:val="24"/>
          <w:szCs w:val="24"/>
        </w:rPr>
      </w:pPr>
      <w:r w:rsidRPr="00184D2F">
        <w:rPr>
          <w:sz w:val="24"/>
          <w:szCs w:val="24"/>
        </w:rPr>
        <w:t>Electrocution risk for home DIY repairs</w:t>
      </w:r>
    </w:p>
    <w:p w14:paraId="1738D2C9" w14:textId="77777777" w:rsidR="00184D2F" w:rsidRPr="00184D2F" w:rsidRDefault="00184D2F" w:rsidP="00F31BB9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sz w:val="24"/>
          <w:szCs w:val="24"/>
        </w:rPr>
      </w:pPr>
      <w:r w:rsidRPr="00184D2F">
        <w:rPr>
          <w:sz w:val="24"/>
          <w:szCs w:val="24"/>
        </w:rPr>
        <w:t>Fire risk in older Polycom conference phone</w:t>
      </w:r>
    </w:p>
    <w:p w14:paraId="79FB20B0" w14:textId="77777777" w:rsidR="00184D2F" w:rsidRPr="00184D2F" w:rsidRDefault="00184D2F" w:rsidP="00F31BB9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sz w:val="24"/>
          <w:szCs w:val="24"/>
        </w:rPr>
      </w:pPr>
      <w:r w:rsidRPr="00184D2F">
        <w:rPr>
          <w:sz w:val="24"/>
          <w:szCs w:val="24"/>
        </w:rPr>
        <w:t>Incorrect installation of thermal insulation around electrical equipment and accessories</w:t>
      </w:r>
    </w:p>
    <w:p w14:paraId="3221FE91" w14:textId="77777777" w:rsidR="00184D2F" w:rsidRPr="00184D2F" w:rsidRDefault="00184D2F" w:rsidP="00A524AE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sz w:val="24"/>
          <w:szCs w:val="24"/>
        </w:rPr>
      </w:pPr>
      <w:r w:rsidRPr="00184D2F">
        <w:rPr>
          <w:sz w:val="24"/>
          <w:szCs w:val="24"/>
        </w:rPr>
        <w:t>Isolation of solar from backup generators</w:t>
      </w:r>
    </w:p>
    <w:p w14:paraId="5D2FD99D" w14:textId="77777777" w:rsidR="00184D2F" w:rsidRPr="00184D2F" w:rsidRDefault="00184D2F" w:rsidP="00A524AE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sz w:val="24"/>
          <w:szCs w:val="24"/>
        </w:rPr>
      </w:pPr>
      <w:r w:rsidRPr="00184D2F">
        <w:rPr>
          <w:sz w:val="24"/>
          <w:szCs w:val="24"/>
        </w:rPr>
        <w:t>Power off switchboards before entering ceiling space</w:t>
      </w:r>
    </w:p>
    <w:p w14:paraId="0FBC4D2E" w14:textId="77777777" w:rsidR="00184D2F" w:rsidRPr="00184D2F" w:rsidRDefault="00184D2F" w:rsidP="00525B00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184D2F">
        <w:rPr>
          <w:sz w:val="24"/>
          <w:szCs w:val="24"/>
        </w:rPr>
        <w:t>Product Safety Recall - ESS Home Energy Storage System Batteries</w:t>
      </w:r>
    </w:p>
    <w:p w14:paraId="45E99BD4" w14:textId="77777777" w:rsidR="00184D2F" w:rsidRPr="00184D2F" w:rsidRDefault="00184D2F" w:rsidP="00F31BB9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sz w:val="24"/>
          <w:szCs w:val="24"/>
        </w:rPr>
      </w:pPr>
      <w:r w:rsidRPr="00184D2F">
        <w:rPr>
          <w:sz w:val="24"/>
          <w:szCs w:val="24"/>
        </w:rPr>
        <w:t>Risk of fire in old power factor correction assemblies</w:t>
      </w:r>
    </w:p>
    <w:p w14:paraId="2E0BDDBF" w14:textId="77777777" w:rsidR="00184D2F" w:rsidRPr="00184D2F" w:rsidRDefault="00184D2F" w:rsidP="00F31BB9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sz w:val="24"/>
          <w:szCs w:val="24"/>
        </w:rPr>
      </w:pPr>
      <w:r w:rsidRPr="00184D2F">
        <w:rPr>
          <w:sz w:val="24"/>
          <w:szCs w:val="24"/>
        </w:rPr>
        <w:t>Solar panel DC isolator fire risk</w:t>
      </w:r>
    </w:p>
    <w:p w14:paraId="1846B80A" w14:textId="77777777" w:rsidR="00184D2F" w:rsidRPr="00184D2F" w:rsidRDefault="00184D2F" w:rsidP="00F31BB9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sz w:val="24"/>
          <w:szCs w:val="24"/>
        </w:rPr>
      </w:pPr>
      <w:r w:rsidRPr="00184D2F">
        <w:rPr>
          <w:sz w:val="24"/>
          <w:szCs w:val="24"/>
        </w:rPr>
        <w:t>Use of 240 volt submersible pumps</w:t>
      </w:r>
    </w:p>
    <w:p w14:paraId="6C0F0E54" w14:textId="77777777" w:rsidR="00184D2F" w:rsidRPr="00184D2F" w:rsidRDefault="00184D2F" w:rsidP="00F31BB9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sz w:val="24"/>
          <w:szCs w:val="24"/>
        </w:rPr>
      </w:pPr>
      <w:r w:rsidRPr="00184D2F">
        <w:rPr>
          <w:sz w:val="24"/>
          <w:szCs w:val="24"/>
        </w:rPr>
        <w:lastRenderedPageBreak/>
        <w:t>Using back-up generators with Solar PV installations</w:t>
      </w:r>
    </w:p>
    <w:p w14:paraId="18A59D49" w14:textId="77777777" w:rsidR="00184D2F" w:rsidRPr="00184D2F" w:rsidRDefault="00184D2F" w:rsidP="00F31BB9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sz w:val="24"/>
          <w:szCs w:val="24"/>
        </w:rPr>
      </w:pPr>
      <w:r w:rsidRPr="00184D2F">
        <w:rPr>
          <w:sz w:val="24"/>
          <w:szCs w:val="24"/>
        </w:rPr>
        <w:t>Working at height around live electrical installations</w:t>
      </w:r>
    </w:p>
    <w:p w14:paraId="248FBB3C" w14:textId="77777777" w:rsidR="00184D2F" w:rsidRPr="00184D2F" w:rsidRDefault="00184D2F" w:rsidP="00F31BB9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sz w:val="24"/>
          <w:szCs w:val="24"/>
        </w:rPr>
      </w:pPr>
      <w:r w:rsidRPr="00184D2F">
        <w:rPr>
          <w:sz w:val="24"/>
          <w:szCs w:val="24"/>
        </w:rPr>
        <w:t>Working near energised high voltage cables</w:t>
      </w:r>
    </w:p>
    <w:p w14:paraId="390EABBD" w14:textId="77777777" w:rsidR="00184D2F" w:rsidRPr="00184D2F" w:rsidRDefault="00184D2F" w:rsidP="00F31BB9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sz w:val="24"/>
          <w:szCs w:val="24"/>
        </w:rPr>
      </w:pPr>
      <w:r w:rsidRPr="00184D2F">
        <w:rPr>
          <w:sz w:val="24"/>
          <w:szCs w:val="24"/>
        </w:rPr>
        <w:t>Working with energised electrical lines</w:t>
      </w:r>
    </w:p>
    <w:p w14:paraId="44E0DCCC" w14:textId="77777777" w:rsidR="00DE0F82" w:rsidRPr="00455D78" w:rsidRDefault="00DE0F82" w:rsidP="00455D78">
      <w:pPr>
        <w:pStyle w:val="Heading2"/>
      </w:pPr>
      <w:bookmarkStart w:id="6" w:name="_Toc50552342"/>
      <w:r w:rsidRPr="00455D78">
        <w:t>Bulletins</w:t>
      </w:r>
      <w:bookmarkEnd w:id="6"/>
    </w:p>
    <w:p w14:paraId="01834C7D" w14:textId="77777777" w:rsidR="00455685" w:rsidRPr="0093688E" w:rsidRDefault="00455685" w:rsidP="00A524AE">
      <w:pPr>
        <w:pStyle w:val="ListParagraph"/>
        <w:numPr>
          <w:ilvl w:val="0"/>
          <w:numId w:val="3"/>
        </w:numPr>
        <w:spacing w:after="60" w:line="360" w:lineRule="auto"/>
        <w:ind w:left="714" w:hanging="357"/>
        <w:contextualSpacing w:val="0"/>
        <w:rPr>
          <w:sz w:val="24"/>
          <w:szCs w:val="24"/>
        </w:rPr>
      </w:pPr>
      <w:r w:rsidRPr="0093688E">
        <w:rPr>
          <w:sz w:val="24"/>
          <w:szCs w:val="24"/>
        </w:rPr>
        <w:t>Certificate of Compliance (</w:t>
      </w:r>
      <w:proofErr w:type="spellStart"/>
      <w:r w:rsidRPr="0093688E">
        <w:rPr>
          <w:sz w:val="24"/>
          <w:szCs w:val="24"/>
        </w:rPr>
        <w:t>CoC</w:t>
      </w:r>
      <w:proofErr w:type="spellEnd"/>
      <w:r w:rsidRPr="0093688E">
        <w:rPr>
          <w:sz w:val="24"/>
          <w:szCs w:val="24"/>
        </w:rPr>
        <w:t>) Electrical Safety</w:t>
      </w:r>
    </w:p>
    <w:p w14:paraId="251A0ABD" w14:textId="77777777" w:rsidR="00455685" w:rsidRPr="0093688E" w:rsidRDefault="00455685" w:rsidP="00EE054E">
      <w:pPr>
        <w:pStyle w:val="ListParagraph"/>
        <w:numPr>
          <w:ilvl w:val="0"/>
          <w:numId w:val="3"/>
        </w:numPr>
        <w:spacing w:after="60" w:line="360" w:lineRule="auto"/>
        <w:ind w:left="714" w:hanging="357"/>
        <w:contextualSpacing w:val="0"/>
        <w:rPr>
          <w:sz w:val="24"/>
          <w:szCs w:val="24"/>
        </w:rPr>
      </w:pPr>
      <w:r w:rsidRPr="0093688E">
        <w:rPr>
          <w:sz w:val="24"/>
          <w:szCs w:val="24"/>
        </w:rPr>
        <w:t>Certification requirements for installing Photo Voltaic (PV) Panels on buildings</w:t>
      </w:r>
    </w:p>
    <w:p w14:paraId="731AB865" w14:textId="77777777" w:rsidR="00455685" w:rsidRPr="0093688E" w:rsidRDefault="00455685" w:rsidP="00EE054E">
      <w:pPr>
        <w:pStyle w:val="ListParagraph"/>
        <w:numPr>
          <w:ilvl w:val="0"/>
          <w:numId w:val="3"/>
        </w:numPr>
        <w:spacing w:after="60" w:line="360" w:lineRule="auto"/>
        <w:ind w:left="714" w:hanging="357"/>
        <w:contextualSpacing w:val="0"/>
        <w:rPr>
          <w:sz w:val="24"/>
          <w:szCs w:val="24"/>
        </w:rPr>
      </w:pPr>
      <w:r w:rsidRPr="0093688E">
        <w:rPr>
          <w:sz w:val="24"/>
          <w:szCs w:val="24"/>
        </w:rPr>
        <w:t>Competent persons</w:t>
      </w:r>
    </w:p>
    <w:p w14:paraId="6320E7D3" w14:textId="77777777" w:rsidR="00455685" w:rsidRPr="0093688E" w:rsidRDefault="00455685" w:rsidP="00A524AE">
      <w:pPr>
        <w:pStyle w:val="ListParagraph"/>
        <w:numPr>
          <w:ilvl w:val="0"/>
          <w:numId w:val="3"/>
        </w:numPr>
        <w:spacing w:after="60" w:line="360" w:lineRule="auto"/>
        <w:ind w:left="714" w:hanging="357"/>
        <w:contextualSpacing w:val="0"/>
        <w:rPr>
          <w:sz w:val="24"/>
          <w:szCs w:val="24"/>
        </w:rPr>
      </w:pPr>
      <w:r w:rsidRPr="0093688E">
        <w:rPr>
          <w:sz w:val="24"/>
          <w:szCs w:val="24"/>
        </w:rPr>
        <w:t>Electrical Contractor Information – Connection of New Installations</w:t>
      </w:r>
    </w:p>
    <w:p w14:paraId="006A65E5" w14:textId="77777777" w:rsidR="00455685" w:rsidRPr="0093688E" w:rsidRDefault="00455685" w:rsidP="00A524AE">
      <w:pPr>
        <w:pStyle w:val="ListParagraph"/>
        <w:numPr>
          <w:ilvl w:val="0"/>
          <w:numId w:val="3"/>
        </w:numPr>
        <w:spacing w:after="60" w:line="360" w:lineRule="auto"/>
        <w:ind w:left="714" w:hanging="357"/>
        <w:contextualSpacing w:val="0"/>
        <w:rPr>
          <w:sz w:val="24"/>
          <w:szCs w:val="24"/>
        </w:rPr>
      </w:pPr>
      <w:r w:rsidRPr="0093688E">
        <w:rPr>
          <w:sz w:val="24"/>
          <w:szCs w:val="24"/>
        </w:rPr>
        <w:t>Electrical Equipment and Gas Installations at Markets and Shows</w:t>
      </w:r>
    </w:p>
    <w:p w14:paraId="0CD3A64F" w14:textId="77777777" w:rsidR="00455685" w:rsidRPr="0093688E" w:rsidRDefault="00455685" w:rsidP="00A524AE">
      <w:pPr>
        <w:pStyle w:val="ListParagraph"/>
        <w:numPr>
          <w:ilvl w:val="0"/>
          <w:numId w:val="3"/>
        </w:numPr>
        <w:spacing w:after="60" w:line="360" w:lineRule="auto"/>
        <w:ind w:left="714" w:hanging="357"/>
        <w:contextualSpacing w:val="0"/>
        <w:rPr>
          <w:sz w:val="24"/>
          <w:szCs w:val="24"/>
        </w:rPr>
      </w:pPr>
      <w:r w:rsidRPr="0093688E">
        <w:rPr>
          <w:sz w:val="24"/>
          <w:szCs w:val="24"/>
        </w:rPr>
        <w:t>Electrical Hazards Associated with Underground Cables</w:t>
      </w:r>
    </w:p>
    <w:p w14:paraId="2E9FED4F" w14:textId="77777777" w:rsidR="00455685" w:rsidRPr="0093688E" w:rsidRDefault="00455685" w:rsidP="00A524AE">
      <w:pPr>
        <w:pStyle w:val="ListParagraph"/>
        <w:numPr>
          <w:ilvl w:val="0"/>
          <w:numId w:val="3"/>
        </w:numPr>
        <w:spacing w:after="60" w:line="360" w:lineRule="auto"/>
        <w:ind w:left="714" w:hanging="357"/>
        <w:contextualSpacing w:val="0"/>
        <w:rPr>
          <w:sz w:val="24"/>
          <w:szCs w:val="24"/>
        </w:rPr>
      </w:pPr>
      <w:r w:rsidRPr="0093688E">
        <w:rPr>
          <w:sz w:val="24"/>
          <w:szCs w:val="24"/>
        </w:rPr>
        <w:t>Electrical Installation Work on Mine Sites</w:t>
      </w:r>
    </w:p>
    <w:p w14:paraId="485FAF0D" w14:textId="77777777" w:rsidR="00455685" w:rsidRPr="0093688E" w:rsidRDefault="00455685" w:rsidP="009D1ECE">
      <w:pPr>
        <w:pStyle w:val="ListParagraph"/>
        <w:numPr>
          <w:ilvl w:val="0"/>
          <w:numId w:val="3"/>
        </w:numPr>
        <w:spacing w:after="60" w:line="360" w:lineRule="auto"/>
        <w:contextualSpacing w:val="0"/>
        <w:rPr>
          <w:sz w:val="24"/>
          <w:szCs w:val="24"/>
        </w:rPr>
      </w:pPr>
      <w:r w:rsidRPr="0093688E">
        <w:rPr>
          <w:sz w:val="24"/>
          <w:szCs w:val="24"/>
        </w:rPr>
        <w:t>Electrical safety - Cleaning split system air-conditioners</w:t>
      </w:r>
    </w:p>
    <w:p w14:paraId="19CB6286" w14:textId="77777777" w:rsidR="00455685" w:rsidRPr="0093688E" w:rsidRDefault="00455685" w:rsidP="00A524AE">
      <w:pPr>
        <w:pStyle w:val="ListParagraph"/>
        <w:numPr>
          <w:ilvl w:val="0"/>
          <w:numId w:val="3"/>
        </w:numPr>
        <w:spacing w:after="60" w:line="360" w:lineRule="auto"/>
        <w:ind w:left="714" w:hanging="357"/>
        <w:contextualSpacing w:val="0"/>
        <w:rPr>
          <w:sz w:val="24"/>
          <w:szCs w:val="24"/>
        </w:rPr>
      </w:pPr>
      <w:r w:rsidRPr="0093688E">
        <w:rPr>
          <w:sz w:val="24"/>
          <w:szCs w:val="24"/>
        </w:rPr>
        <w:t>Electrical Safety – Notice of Non-compliance</w:t>
      </w:r>
    </w:p>
    <w:p w14:paraId="2A8F73EA" w14:textId="77777777" w:rsidR="00455685" w:rsidRPr="0093688E" w:rsidRDefault="00455685" w:rsidP="00A524AE">
      <w:pPr>
        <w:pStyle w:val="ListParagraph"/>
        <w:numPr>
          <w:ilvl w:val="0"/>
          <w:numId w:val="3"/>
        </w:numPr>
        <w:spacing w:after="60" w:line="360" w:lineRule="auto"/>
        <w:ind w:left="714" w:hanging="357"/>
        <w:contextualSpacing w:val="0"/>
        <w:rPr>
          <w:sz w:val="24"/>
          <w:szCs w:val="24"/>
        </w:rPr>
      </w:pPr>
      <w:r w:rsidRPr="0093688E">
        <w:rPr>
          <w:sz w:val="24"/>
          <w:szCs w:val="24"/>
        </w:rPr>
        <w:t>Electrical Safety in the Construction of Showers and Bathrooms</w:t>
      </w:r>
    </w:p>
    <w:p w14:paraId="5C5EAB8D" w14:textId="77777777" w:rsidR="00455685" w:rsidRPr="0093688E" w:rsidRDefault="00455685" w:rsidP="00A524AE">
      <w:pPr>
        <w:pStyle w:val="ListParagraph"/>
        <w:numPr>
          <w:ilvl w:val="0"/>
          <w:numId w:val="3"/>
        </w:numPr>
        <w:spacing w:after="60" w:line="360" w:lineRule="auto"/>
        <w:ind w:left="714" w:hanging="357"/>
        <w:contextualSpacing w:val="0"/>
        <w:rPr>
          <w:sz w:val="24"/>
          <w:szCs w:val="24"/>
        </w:rPr>
      </w:pPr>
      <w:r w:rsidRPr="0093688E">
        <w:rPr>
          <w:sz w:val="24"/>
          <w:szCs w:val="24"/>
        </w:rPr>
        <w:t>Electrical Switchboard Panels and Meter Panels Containing Asbestos</w:t>
      </w:r>
    </w:p>
    <w:p w14:paraId="36E82E5E" w14:textId="77777777" w:rsidR="00455685" w:rsidRPr="0093688E" w:rsidRDefault="00455685" w:rsidP="00A524AE">
      <w:pPr>
        <w:pStyle w:val="ListParagraph"/>
        <w:numPr>
          <w:ilvl w:val="0"/>
          <w:numId w:val="3"/>
        </w:numPr>
        <w:spacing w:after="60" w:line="360" w:lineRule="auto"/>
        <w:ind w:left="714" w:hanging="357"/>
        <w:contextualSpacing w:val="0"/>
        <w:rPr>
          <w:sz w:val="24"/>
          <w:szCs w:val="24"/>
        </w:rPr>
      </w:pPr>
      <w:r w:rsidRPr="0093688E">
        <w:rPr>
          <w:sz w:val="24"/>
          <w:szCs w:val="24"/>
        </w:rPr>
        <w:t>Equipotential Bonding for Pools and Spas</w:t>
      </w:r>
    </w:p>
    <w:p w14:paraId="0447A671" w14:textId="77777777" w:rsidR="00455685" w:rsidRPr="0099261A" w:rsidRDefault="00455685" w:rsidP="00A524AE">
      <w:pPr>
        <w:pStyle w:val="ListParagraph"/>
        <w:numPr>
          <w:ilvl w:val="0"/>
          <w:numId w:val="3"/>
        </w:numPr>
        <w:spacing w:after="60" w:line="360" w:lineRule="auto"/>
        <w:ind w:left="714" w:hanging="357"/>
        <w:contextualSpacing w:val="0"/>
        <w:rPr>
          <w:sz w:val="24"/>
          <w:szCs w:val="24"/>
        </w:rPr>
      </w:pPr>
      <w:r w:rsidRPr="0093688E">
        <w:rPr>
          <w:sz w:val="24"/>
          <w:szCs w:val="24"/>
        </w:rPr>
        <w:t xml:space="preserve">Exemptions from the Wiring Rules or </w:t>
      </w:r>
      <w:r w:rsidRPr="0093688E">
        <w:rPr>
          <w:i/>
          <w:sz w:val="24"/>
          <w:szCs w:val="24"/>
        </w:rPr>
        <w:t>Electricity Reform Act</w:t>
      </w:r>
      <w:r w:rsidRPr="0093688E">
        <w:rPr>
          <w:sz w:val="24"/>
          <w:szCs w:val="24"/>
        </w:rPr>
        <w:t xml:space="preserve"> 2000 and Regulations</w:t>
      </w:r>
    </w:p>
    <w:p w14:paraId="4BC8EBCE" w14:textId="77777777" w:rsidR="00455685" w:rsidRPr="0093688E" w:rsidRDefault="00455685" w:rsidP="007C3F18">
      <w:pPr>
        <w:pStyle w:val="ListParagraph"/>
        <w:numPr>
          <w:ilvl w:val="0"/>
          <w:numId w:val="3"/>
        </w:numPr>
        <w:spacing w:after="60" w:line="360" w:lineRule="auto"/>
        <w:contextualSpacing w:val="0"/>
        <w:rPr>
          <w:sz w:val="24"/>
          <w:szCs w:val="24"/>
        </w:rPr>
      </w:pPr>
      <w:r w:rsidRPr="0093688E">
        <w:rPr>
          <w:sz w:val="24"/>
          <w:szCs w:val="24"/>
        </w:rPr>
        <w:t>Grid protection requirements for Solar PV installations over 30 Kilowatts</w:t>
      </w:r>
    </w:p>
    <w:p w14:paraId="760B24DC" w14:textId="0B518EFC" w:rsidR="00455685" w:rsidRPr="0093688E" w:rsidRDefault="00455685" w:rsidP="003A13C4">
      <w:pPr>
        <w:pStyle w:val="ListParagraph"/>
        <w:numPr>
          <w:ilvl w:val="0"/>
          <w:numId w:val="3"/>
        </w:numPr>
        <w:spacing w:after="60" w:line="360" w:lineRule="auto"/>
        <w:contextualSpacing w:val="0"/>
        <w:rPr>
          <w:sz w:val="24"/>
          <w:szCs w:val="24"/>
        </w:rPr>
      </w:pPr>
      <w:r w:rsidRPr="0093688E">
        <w:rPr>
          <w:sz w:val="24"/>
          <w:szCs w:val="24"/>
        </w:rPr>
        <w:t xml:space="preserve">Ground mounted solar </w:t>
      </w:r>
      <w:r w:rsidR="00F77B9D" w:rsidRPr="0093688E">
        <w:rPr>
          <w:sz w:val="24"/>
          <w:szCs w:val="24"/>
        </w:rPr>
        <w:t>Photovoltaic</w:t>
      </w:r>
      <w:r w:rsidRPr="0093688E">
        <w:rPr>
          <w:sz w:val="24"/>
          <w:szCs w:val="24"/>
        </w:rPr>
        <w:t xml:space="preserve"> arrays</w:t>
      </w:r>
    </w:p>
    <w:p w14:paraId="249202C3" w14:textId="77777777" w:rsidR="00455685" w:rsidRPr="0093688E" w:rsidRDefault="00455685" w:rsidP="00ED2DFE">
      <w:pPr>
        <w:pStyle w:val="ListParagraph"/>
        <w:numPr>
          <w:ilvl w:val="0"/>
          <w:numId w:val="3"/>
        </w:numPr>
        <w:spacing w:after="60" w:line="360" w:lineRule="auto"/>
        <w:contextualSpacing w:val="0"/>
        <w:rPr>
          <w:sz w:val="24"/>
          <w:szCs w:val="24"/>
        </w:rPr>
      </w:pPr>
      <w:r w:rsidRPr="0093688E">
        <w:rPr>
          <w:sz w:val="24"/>
          <w:szCs w:val="24"/>
        </w:rPr>
        <w:t>Importation of electrical and electronic products</w:t>
      </w:r>
    </w:p>
    <w:p w14:paraId="1080A99E" w14:textId="77777777" w:rsidR="00455685" w:rsidRPr="0093688E" w:rsidRDefault="00455685" w:rsidP="00A524AE">
      <w:pPr>
        <w:pStyle w:val="ListParagraph"/>
        <w:numPr>
          <w:ilvl w:val="0"/>
          <w:numId w:val="3"/>
        </w:numPr>
        <w:spacing w:after="60" w:line="360" w:lineRule="auto"/>
        <w:ind w:left="714" w:hanging="357"/>
        <w:contextualSpacing w:val="0"/>
        <w:rPr>
          <w:sz w:val="24"/>
          <w:szCs w:val="24"/>
        </w:rPr>
      </w:pPr>
      <w:r w:rsidRPr="0093688E">
        <w:rPr>
          <w:sz w:val="24"/>
          <w:szCs w:val="24"/>
        </w:rPr>
        <w:t>Installation of Thermal Insulation Around Electrical Equipment and Accessories</w:t>
      </w:r>
    </w:p>
    <w:p w14:paraId="32F7BD69" w14:textId="77777777" w:rsidR="00455685" w:rsidRPr="0093688E" w:rsidRDefault="00455685" w:rsidP="00A524AE">
      <w:pPr>
        <w:pStyle w:val="ListParagraph"/>
        <w:numPr>
          <w:ilvl w:val="0"/>
          <w:numId w:val="3"/>
        </w:numPr>
        <w:spacing w:after="60" w:line="360" w:lineRule="auto"/>
        <w:ind w:left="714" w:hanging="357"/>
        <w:contextualSpacing w:val="0"/>
        <w:rPr>
          <w:sz w:val="24"/>
          <w:szCs w:val="24"/>
        </w:rPr>
      </w:pPr>
      <w:r w:rsidRPr="0093688E">
        <w:rPr>
          <w:sz w:val="24"/>
          <w:szCs w:val="24"/>
        </w:rPr>
        <w:t>Installation of Vertical Earth (Stake) Electrodes in the NT</w:t>
      </w:r>
    </w:p>
    <w:p w14:paraId="652A22A9" w14:textId="77777777" w:rsidR="00455685" w:rsidRPr="0093688E" w:rsidRDefault="00455685" w:rsidP="00ED2DFE">
      <w:pPr>
        <w:pStyle w:val="ListParagraph"/>
        <w:numPr>
          <w:ilvl w:val="0"/>
          <w:numId w:val="3"/>
        </w:numPr>
        <w:spacing w:after="60" w:line="360" w:lineRule="auto"/>
        <w:contextualSpacing w:val="0"/>
        <w:rPr>
          <w:sz w:val="24"/>
          <w:szCs w:val="24"/>
        </w:rPr>
      </w:pPr>
      <w:r w:rsidRPr="0093688E">
        <w:rPr>
          <w:sz w:val="24"/>
          <w:szCs w:val="24"/>
        </w:rPr>
        <w:t>Main Switches in CT metered installations</w:t>
      </w:r>
    </w:p>
    <w:p w14:paraId="1C808C1B" w14:textId="77777777" w:rsidR="00455685" w:rsidRPr="0093688E" w:rsidRDefault="00455685" w:rsidP="00A524AE">
      <w:pPr>
        <w:pStyle w:val="ListParagraph"/>
        <w:numPr>
          <w:ilvl w:val="0"/>
          <w:numId w:val="3"/>
        </w:numPr>
        <w:spacing w:after="60" w:line="360" w:lineRule="auto"/>
        <w:ind w:left="714" w:hanging="357"/>
        <w:contextualSpacing w:val="0"/>
        <w:rPr>
          <w:sz w:val="24"/>
          <w:szCs w:val="24"/>
        </w:rPr>
      </w:pPr>
      <w:r w:rsidRPr="0093688E">
        <w:rPr>
          <w:sz w:val="24"/>
          <w:szCs w:val="24"/>
        </w:rPr>
        <w:t xml:space="preserve">Managing Foil Ceiling Insulation Electrical Safety Risks – Householders &amp; Tradespersons </w:t>
      </w:r>
    </w:p>
    <w:p w14:paraId="0A8BB211" w14:textId="77777777" w:rsidR="00455685" w:rsidRPr="0093688E" w:rsidRDefault="00455685" w:rsidP="00A524AE">
      <w:pPr>
        <w:pStyle w:val="ListParagraph"/>
        <w:numPr>
          <w:ilvl w:val="0"/>
          <w:numId w:val="3"/>
        </w:numPr>
        <w:spacing w:after="60" w:line="360" w:lineRule="auto"/>
        <w:ind w:left="714" w:hanging="357"/>
        <w:contextualSpacing w:val="0"/>
        <w:rPr>
          <w:sz w:val="24"/>
          <w:szCs w:val="24"/>
        </w:rPr>
      </w:pPr>
      <w:r w:rsidRPr="0093688E">
        <w:rPr>
          <w:sz w:val="24"/>
          <w:szCs w:val="24"/>
        </w:rPr>
        <w:t>Relocatable Dwellings – Electrical Safety</w:t>
      </w:r>
    </w:p>
    <w:p w14:paraId="2C3AE9E1" w14:textId="77777777" w:rsidR="00455685" w:rsidRPr="0093688E" w:rsidRDefault="00455685" w:rsidP="00A524AE">
      <w:pPr>
        <w:pStyle w:val="ListParagraph"/>
        <w:numPr>
          <w:ilvl w:val="0"/>
          <w:numId w:val="3"/>
        </w:numPr>
        <w:spacing w:after="60" w:line="360" w:lineRule="auto"/>
        <w:ind w:left="714" w:hanging="357"/>
        <w:contextualSpacing w:val="0"/>
        <w:rPr>
          <w:sz w:val="24"/>
          <w:szCs w:val="24"/>
        </w:rPr>
      </w:pPr>
      <w:r w:rsidRPr="0093688E">
        <w:rPr>
          <w:sz w:val="24"/>
          <w:szCs w:val="24"/>
        </w:rPr>
        <w:t>Replacing Consumer Switchboards in Existing Installations</w:t>
      </w:r>
    </w:p>
    <w:p w14:paraId="6B2B1CF3" w14:textId="77777777" w:rsidR="00455685" w:rsidRPr="0093688E" w:rsidRDefault="00455685" w:rsidP="00A524AE">
      <w:pPr>
        <w:pStyle w:val="ListParagraph"/>
        <w:numPr>
          <w:ilvl w:val="0"/>
          <w:numId w:val="3"/>
        </w:numPr>
        <w:spacing w:after="60" w:line="360" w:lineRule="auto"/>
        <w:ind w:left="714" w:hanging="357"/>
        <w:contextualSpacing w:val="0"/>
        <w:rPr>
          <w:sz w:val="24"/>
          <w:szCs w:val="24"/>
        </w:rPr>
      </w:pPr>
      <w:r w:rsidRPr="0093688E">
        <w:rPr>
          <w:sz w:val="24"/>
          <w:szCs w:val="24"/>
        </w:rPr>
        <w:lastRenderedPageBreak/>
        <w:t>Residual Current Devices (Safety Switches)</w:t>
      </w:r>
    </w:p>
    <w:p w14:paraId="700289AA" w14:textId="77777777" w:rsidR="00455685" w:rsidRPr="0093688E" w:rsidRDefault="00455685" w:rsidP="007C3F18">
      <w:pPr>
        <w:pStyle w:val="ListParagraph"/>
        <w:numPr>
          <w:ilvl w:val="0"/>
          <w:numId w:val="3"/>
        </w:numPr>
        <w:spacing w:after="60" w:line="360" w:lineRule="auto"/>
        <w:contextualSpacing w:val="0"/>
        <w:rPr>
          <w:sz w:val="24"/>
          <w:szCs w:val="24"/>
        </w:rPr>
      </w:pPr>
      <w:r w:rsidRPr="0093688E">
        <w:rPr>
          <w:sz w:val="24"/>
          <w:szCs w:val="24"/>
        </w:rPr>
        <w:t>Safe use of extension cords</w:t>
      </w:r>
    </w:p>
    <w:p w14:paraId="2C683479" w14:textId="77777777" w:rsidR="00455685" w:rsidRPr="0093688E" w:rsidRDefault="00455685" w:rsidP="00A524AE">
      <w:pPr>
        <w:pStyle w:val="ListParagraph"/>
        <w:numPr>
          <w:ilvl w:val="0"/>
          <w:numId w:val="3"/>
        </w:numPr>
        <w:spacing w:after="60" w:line="360" w:lineRule="auto"/>
        <w:ind w:left="714" w:hanging="357"/>
        <w:contextualSpacing w:val="0"/>
        <w:rPr>
          <w:sz w:val="24"/>
          <w:szCs w:val="24"/>
        </w:rPr>
      </w:pPr>
      <w:r w:rsidRPr="0093688E">
        <w:rPr>
          <w:sz w:val="24"/>
          <w:szCs w:val="24"/>
        </w:rPr>
        <w:t>Safety Inspection and Testing of Electrical Equipment on Construction Sites</w:t>
      </w:r>
    </w:p>
    <w:p w14:paraId="34B1C738" w14:textId="77777777" w:rsidR="00455685" w:rsidRPr="0093688E" w:rsidRDefault="00455685" w:rsidP="00ED2DFE">
      <w:pPr>
        <w:pStyle w:val="ListParagraph"/>
        <w:numPr>
          <w:ilvl w:val="0"/>
          <w:numId w:val="3"/>
        </w:numPr>
        <w:spacing w:after="60" w:line="360" w:lineRule="auto"/>
        <w:contextualSpacing w:val="0"/>
        <w:rPr>
          <w:sz w:val="24"/>
          <w:szCs w:val="24"/>
        </w:rPr>
      </w:pPr>
      <w:r w:rsidRPr="0093688E">
        <w:rPr>
          <w:sz w:val="24"/>
          <w:szCs w:val="24"/>
        </w:rPr>
        <w:t>Safety requirement for roof top solar on commercial buildings and unit complexes</w:t>
      </w:r>
    </w:p>
    <w:p w14:paraId="23349134" w14:textId="77777777" w:rsidR="00455685" w:rsidRPr="0093688E" w:rsidRDefault="00455685" w:rsidP="00ED2DFE">
      <w:pPr>
        <w:pStyle w:val="ListParagraph"/>
        <w:numPr>
          <w:ilvl w:val="0"/>
          <w:numId w:val="3"/>
        </w:numPr>
        <w:spacing w:after="60" w:line="360" w:lineRule="auto"/>
        <w:contextualSpacing w:val="0"/>
        <w:rPr>
          <w:sz w:val="24"/>
          <w:szCs w:val="24"/>
        </w:rPr>
      </w:pPr>
      <w:r w:rsidRPr="0093688E">
        <w:rPr>
          <w:sz w:val="24"/>
          <w:szCs w:val="24"/>
        </w:rPr>
        <w:t>Solar PV Batteries – Information for home and business owners</w:t>
      </w:r>
    </w:p>
    <w:p w14:paraId="32B333E9" w14:textId="77777777" w:rsidR="00455685" w:rsidRPr="0093688E" w:rsidRDefault="00455685" w:rsidP="00A524AE">
      <w:pPr>
        <w:pStyle w:val="ListParagraph"/>
        <w:numPr>
          <w:ilvl w:val="0"/>
          <w:numId w:val="3"/>
        </w:numPr>
        <w:spacing w:after="60" w:line="360" w:lineRule="auto"/>
        <w:ind w:left="714" w:hanging="357"/>
        <w:contextualSpacing w:val="0"/>
        <w:rPr>
          <w:sz w:val="24"/>
          <w:szCs w:val="24"/>
        </w:rPr>
      </w:pPr>
      <w:r w:rsidRPr="0093688E">
        <w:rPr>
          <w:sz w:val="24"/>
          <w:szCs w:val="24"/>
        </w:rPr>
        <w:t>Test and Tag of Electrical Equipment</w:t>
      </w:r>
    </w:p>
    <w:p w14:paraId="1FDB3814" w14:textId="77777777" w:rsidR="00455685" w:rsidRPr="0093688E" w:rsidRDefault="00455685" w:rsidP="002B0C66">
      <w:pPr>
        <w:pStyle w:val="ListParagraph"/>
        <w:numPr>
          <w:ilvl w:val="0"/>
          <w:numId w:val="3"/>
        </w:numPr>
        <w:spacing w:after="60" w:line="360" w:lineRule="auto"/>
        <w:contextualSpacing w:val="0"/>
        <w:rPr>
          <w:sz w:val="24"/>
          <w:szCs w:val="24"/>
        </w:rPr>
      </w:pPr>
      <w:r w:rsidRPr="0093688E">
        <w:rPr>
          <w:sz w:val="24"/>
          <w:szCs w:val="24"/>
        </w:rPr>
        <w:t>Use of standby power systems in domestic situations</w:t>
      </w:r>
    </w:p>
    <w:p w14:paraId="38032737" w14:textId="77777777" w:rsidR="00455685" w:rsidRPr="0093688E" w:rsidRDefault="00455685" w:rsidP="00A524AE">
      <w:pPr>
        <w:pStyle w:val="ListParagraph"/>
        <w:numPr>
          <w:ilvl w:val="0"/>
          <w:numId w:val="3"/>
        </w:numPr>
        <w:spacing w:after="60" w:line="360" w:lineRule="auto"/>
        <w:ind w:left="714" w:hanging="357"/>
        <w:contextualSpacing w:val="0"/>
        <w:rPr>
          <w:sz w:val="24"/>
          <w:szCs w:val="24"/>
        </w:rPr>
      </w:pPr>
      <w:r w:rsidRPr="0093688E">
        <w:rPr>
          <w:sz w:val="24"/>
          <w:szCs w:val="24"/>
        </w:rPr>
        <w:t>Voltmeter Measurements – Testing Foil Insulation</w:t>
      </w:r>
      <w:r w:rsidRPr="0093688E" w:rsidDel="006D6593">
        <w:rPr>
          <w:sz w:val="24"/>
          <w:szCs w:val="24"/>
        </w:rPr>
        <w:t xml:space="preserve"> in Domestic Dwellings</w:t>
      </w:r>
    </w:p>
    <w:p w14:paraId="6C043B8D" w14:textId="77777777" w:rsidR="00455685" w:rsidRPr="0099261A" w:rsidRDefault="00455685" w:rsidP="00711793">
      <w:pPr>
        <w:pStyle w:val="ListParagraph"/>
        <w:numPr>
          <w:ilvl w:val="0"/>
          <w:numId w:val="3"/>
        </w:numPr>
        <w:spacing w:after="60" w:line="360" w:lineRule="auto"/>
        <w:contextualSpacing w:val="0"/>
        <w:rPr>
          <w:sz w:val="24"/>
          <w:szCs w:val="24"/>
        </w:rPr>
      </w:pPr>
      <w:r w:rsidRPr="0093688E">
        <w:rPr>
          <w:sz w:val="24"/>
          <w:szCs w:val="24"/>
        </w:rPr>
        <w:t>Work health and safety requirements for Solar PV installers</w:t>
      </w:r>
    </w:p>
    <w:p w14:paraId="796D7081" w14:textId="31615EE0" w:rsidR="00455685" w:rsidRPr="0093688E" w:rsidRDefault="00455685" w:rsidP="00A524AE">
      <w:pPr>
        <w:pStyle w:val="ListParagraph"/>
        <w:numPr>
          <w:ilvl w:val="0"/>
          <w:numId w:val="3"/>
        </w:numPr>
        <w:spacing w:after="60" w:line="360" w:lineRule="auto"/>
        <w:ind w:left="714" w:hanging="357"/>
        <w:contextualSpacing w:val="0"/>
        <w:rPr>
          <w:sz w:val="24"/>
          <w:szCs w:val="24"/>
        </w:rPr>
      </w:pPr>
      <w:r w:rsidRPr="0093688E">
        <w:rPr>
          <w:sz w:val="24"/>
          <w:szCs w:val="24"/>
        </w:rPr>
        <w:t>Working Close to Overhead Power Lines</w:t>
      </w:r>
    </w:p>
    <w:p w14:paraId="35CEA874" w14:textId="166463C4" w:rsidR="00D22BC4" w:rsidRDefault="00D22BC4" w:rsidP="0099261A">
      <w:pPr>
        <w:pStyle w:val="Heading1"/>
      </w:pPr>
      <w:bookmarkStart w:id="7" w:name="_Toc50552343"/>
      <w:r w:rsidRPr="00EE054E">
        <w:t>Activities of the Electricity Safety Regulator for 20</w:t>
      </w:r>
      <w:r w:rsidR="005812F3" w:rsidRPr="00EE054E">
        <w:t>20</w:t>
      </w:r>
      <w:r w:rsidRPr="00EE054E">
        <w:t>-20</w:t>
      </w:r>
      <w:r w:rsidR="002B4897" w:rsidRPr="00EE054E">
        <w:t>2</w:t>
      </w:r>
      <w:r w:rsidR="005812F3" w:rsidRPr="00EE054E">
        <w:t>1</w:t>
      </w:r>
      <w:bookmarkEnd w:id="7"/>
    </w:p>
    <w:p w14:paraId="54213571" w14:textId="77777777" w:rsidR="00D22BC4" w:rsidRPr="004E41BE" w:rsidRDefault="00D22BC4" w:rsidP="00635277">
      <w:pPr>
        <w:tabs>
          <w:tab w:val="left" w:pos="9781"/>
        </w:tabs>
        <w:spacing w:after="120" w:line="360" w:lineRule="auto"/>
        <w:ind w:right="686"/>
        <w:rPr>
          <w:rFonts w:ascii="Lato" w:hAnsi="Lato"/>
          <w:sz w:val="24"/>
          <w:szCs w:val="24"/>
          <w:lang w:eastAsia="en-AU"/>
        </w:rPr>
      </w:pPr>
      <w:r w:rsidRPr="004E41BE">
        <w:rPr>
          <w:rFonts w:ascii="Lato" w:hAnsi="Lato"/>
          <w:sz w:val="24"/>
          <w:szCs w:val="24"/>
          <w:lang w:eastAsia="en-AU"/>
        </w:rPr>
        <w:t xml:space="preserve">Part 5 of the </w:t>
      </w:r>
      <w:r w:rsidR="00C71815" w:rsidRPr="00C71815">
        <w:rPr>
          <w:rFonts w:ascii="Lato" w:hAnsi="Lato"/>
          <w:sz w:val="24"/>
          <w:szCs w:val="24"/>
          <w:lang w:eastAsia="en-AU"/>
        </w:rPr>
        <w:t>Act</w:t>
      </w:r>
      <w:r w:rsidRPr="00C71815">
        <w:rPr>
          <w:rFonts w:ascii="Lato" w:hAnsi="Lato"/>
          <w:sz w:val="24"/>
          <w:szCs w:val="24"/>
          <w:lang w:eastAsia="en-AU"/>
        </w:rPr>
        <w:t xml:space="preserve"> outlines</w:t>
      </w:r>
      <w:r w:rsidRPr="004E41BE">
        <w:rPr>
          <w:rFonts w:ascii="Lato" w:hAnsi="Lato"/>
          <w:sz w:val="24"/>
          <w:szCs w:val="24"/>
          <w:lang w:eastAsia="en-AU"/>
        </w:rPr>
        <w:t xml:space="preserve"> the safety responsibilities and technical requirements which are monitored by the Electricity Safety Regulator. Below are some of the activities undertaken by the Electricity Safety Regulator under Part </w:t>
      </w:r>
      <w:proofErr w:type="gramStart"/>
      <w:r w:rsidRPr="004E41BE">
        <w:rPr>
          <w:rFonts w:ascii="Lato" w:hAnsi="Lato"/>
          <w:sz w:val="24"/>
          <w:szCs w:val="24"/>
          <w:lang w:eastAsia="en-AU"/>
        </w:rPr>
        <w:t>5.</w:t>
      </w:r>
      <w:proofErr w:type="gramEnd"/>
    </w:p>
    <w:tbl>
      <w:tblPr>
        <w:tblW w:w="9683" w:type="dxa"/>
        <w:jc w:val="center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1E0" w:firstRow="1" w:lastRow="1" w:firstColumn="1" w:lastColumn="1" w:noHBand="0" w:noVBand="0"/>
        <w:tblDescription w:val="Data table providing information on the number of activities performed as per sections 67, 68 and 71 of the Electricity Reform Act in the 2016-2017 financial year."/>
      </w:tblPr>
      <w:tblGrid>
        <w:gridCol w:w="4981"/>
        <w:gridCol w:w="1279"/>
        <w:gridCol w:w="3423"/>
      </w:tblGrid>
      <w:tr w:rsidR="00D22BC4" w:rsidRPr="005E040D" w14:paraId="30D39608" w14:textId="77777777" w:rsidTr="00C71815">
        <w:trPr>
          <w:trHeight w:val="429"/>
          <w:tblHeader/>
          <w:jc w:val="center"/>
        </w:trPr>
        <w:tc>
          <w:tcPr>
            <w:tcW w:w="4981" w:type="dxa"/>
            <w:tcBorders>
              <w:bottom w:val="nil"/>
            </w:tcBorders>
            <w:shd w:val="clear" w:color="auto" w:fill="ED7D31" w:themeFill="accent2"/>
          </w:tcPr>
          <w:p w14:paraId="190C1EF3" w14:textId="77777777" w:rsidR="00D22BC4" w:rsidRPr="002F15EA" w:rsidRDefault="00D22BC4" w:rsidP="00071ED6">
            <w:pPr>
              <w:spacing w:before="60" w:after="60"/>
              <w:ind w:left="270"/>
              <w:rPr>
                <w:rFonts w:ascii="Lato" w:hAnsi="Lato"/>
                <w:b/>
                <w:sz w:val="24"/>
                <w:szCs w:val="24"/>
              </w:rPr>
            </w:pPr>
            <w:bookmarkStart w:id="8" w:name="ColumnTitle_1"/>
            <w:r w:rsidRPr="002F15EA">
              <w:rPr>
                <w:rFonts w:ascii="Lato" w:hAnsi="Lato"/>
                <w:b/>
                <w:sz w:val="24"/>
                <w:szCs w:val="24"/>
              </w:rPr>
              <w:t>Regulatory Requirement</w:t>
            </w:r>
          </w:p>
        </w:tc>
        <w:tc>
          <w:tcPr>
            <w:tcW w:w="1279" w:type="dxa"/>
            <w:tcBorders>
              <w:bottom w:val="nil"/>
            </w:tcBorders>
            <w:shd w:val="clear" w:color="auto" w:fill="ED7D31" w:themeFill="accent2"/>
            <w:vAlign w:val="center"/>
          </w:tcPr>
          <w:p w14:paraId="010BFD2A" w14:textId="77777777" w:rsidR="00D22BC4" w:rsidRPr="002F15EA" w:rsidRDefault="00D22BC4" w:rsidP="00071ED6">
            <w:pPr>
              <w:spacing w:before="60" w:after="60"/>
              <w:ind w:left="287" w:hanging="284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F15EA">
              <w:rPr>
                <w:rFonts w:ascii="Lato" w:hAnsi="Lato"/>
                <w:b/>
                <w:sz w:val="24"/>
                <w:szCs w:val="24"/>
              </w:rPr>
              <w:t>No</w:t>
            </w:r>
          </w:p>
        </w:tc>
        <w:tc>
          <w:tcPr>
            <w:tcW w:w="3423" w:type="dxa"/>
            <w:tcBorders>
              <w:bottom w:val="nil"/>
            </w:tcBorders>
            <w:shd w:val="clear" w:color="auto" w:fill="ED7D31" w:themeFill="accent2"/>
          </w:tcPr>
          <w:p w14:paraId="43FBE02A" w14:textId="77777777" w:rsidR="00D22BC4" w:rsidRPr="002F15EA" w:rsidRDefault="00D22BC4" w:rsidP="002F15EA">
            <w:pPr>
              <w:spacing w:before="60" w:after="60"/>
              <w:ind w:left="459" w:right="-196" w:hanging="60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F15EA">
              <w:rPr>
                <w:rFonts w:ascii="Lato" w:hAnsi="Lato"/>
                <w:b/>
                <w:sz w:val="24"/>
                <w:szCs w:val="24"/>
              </w:rPr>
              <w:t>Description</w:t>
            </w:r>
          </w:p>
        </w:tc>
      </w:tr>
      <w:bookmarkEnd w:id="8"/>
      <w:tr w:rsidR="00D22BC4" w:rsidRPr="005E040D" w14:paraId="71CB1799" w14:textId="77777777" w:rsidTr="003A3587">
        <w:trPr>
          <w:trHeight w:val="715"/>
          <w:jc w:val="center"/>
        </w:trPr>
        <w:tc>
          <w:tcPr>
            <w:tcW w:w="4981" w:type="dxa"/>
            <w:tcBorders>
              <w:top w:val="nil"/>
            </w:tcBorders>
            <w:shd w:val="clear" w:color="auto" w:fill="FFFFFF"/>
          </w:tcPr>
          <w:p w14:paraId="402F8FFE" w14:textId="77777777" w:rsidR="00D22BC4" w:rsidRPr="00100A69" w:rsidRDefault="00D22BC4" w:rsidP="00C71815">
            <w:pPr>
              <w:spacing w:before="60" w:after="60"/>
              <w:ind w:left="270"/>
              <w:rPr>
                <w:rFonts w:ascii="Lato" w:hAnsi="Lato"/>
                <w:sz w:val="24"/>
                <w:szCs w:val="24"/>
              </w:rPr>
            </w:pPr>
            <w:r w:rsidRPr="00100A69">
              <w:rPr>
                <w:rFonts w:ascii="Lato" w:hAnsi="Lato"/>
                <w:sz w:val="24"/>
                <w:szCs w:val="24"/>
              </w:rPr>
              <w:t xml:space="preserve">Certificates of Compliance audited as per sections 67 and 68 of the </w:t>
            </w:r>
            <w:r w:rsidR="00C71815" w:rsidRPr="00C71815">
              <w:rPr>
                <w:rFonts w:ascii="Lato" w:hAnsi="Lato"/>
                <w:sz w:val="24"/>
                <w:szCs w:val="24"/>
              </w:rPr>
              <w:t>Act.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FFFFFF"/>
            <w:vAlign w:val="center"/>
          </w:tcPr>
          <w:p w14:paraId="7BB3CA01" w14:textId="48A1F296" w:rsidR="00D22BC4" w:rsidRPr="00100A69" w:rsidRDefault="005812F3" w:rsidP="00AA7671">
            <w:pPr>
              <w:spacing w:before="60" w:after="60"/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674</w:t>
            </w:r>
          </w:p>
        </w:tc>
        <w:tc>
          <w:tcPr>
            <w:tcW w:w="3423" w:type="dxa"/>
            <w:tcBorders>
              <w:top w:val="nil"/>
            </w:tcBorders>
            <w:shd w:val="clear" w:color="auto" w:fill="FFFFFF"/>
            <w:vAlign w:val="center"/>
          </w:tcPr>
          <w:p w14:paraId="3B597430" w14:textId="77777777" w:rsidR="00D22BC4" w:rsidRPr="00100A69" w:rsidRDefault="00532A92" w:rsidP="002F15EA">
            <w:pPr>
              <w:spacing w:before="60" w:after="60"/>
              <w:jc w:val="center"/>
              <w:rPr>
                <w:rFonts w:ascii="Lato" w:hAnsi="Lato"/>
                <w:sz w:val="24"/>
                <w:szCs w:val="24"/>
              </w:rPr>
            </w:pPr>
            <w:r w:rsidRPr="005559B6">
              <w:rPr>
                <w:rFonts w:ascii="Lato" w:hAnsi="Lato"/>
                <w:sz w:val="24"/>
                <w:szCs w:val="24"/>
              </w:rPr>
              <w:t>I</w:t>
            </w:r>
            <w:r w:rsidR="002F15EA" w:rsidRPr="005559B6">
              <w:rPr>
                <w:rFonts w:ascii="Lato" w:hAnsi="Lato"/>
                <w:sz w:val="24"/>
                <w:szCs w:val="24"/>
              </w:rPr>
              <w:t>nspections and site v</w:t>
            </w:r>
            <w:r w:rsidR="00D22BC4" w:rsidRPr="005559B6">
              <w:rPr>
                <w:rFonts w:ascii="Lato" w:hAnsi="Lato"/>
                <w:sz w:val="24"/>
                <w:szCs w:val="24"/>
              </w:rPr>
              <w:t>isits</w:t>
            </w:r>
          </w:p>
        </w:tc>
      </w:tr>
      <w:tr w:rsidR="00D22BC4" w:rsidRPr="005E040D" w14:paraId="299E73D8" w14:textId="77777777" w:rsidTr="00C71815">
        <w:trPr>
          <w:trHeight w:val="715"/>
          <w:jc w:val="center"/>
        </w:trPr>
        <w:tc>
          <w:tcPr>
            <w:tcW w:w="4981" w:type="dxa"/>
            <w:tcBorders>
              <w:bottom w:val="single" w:sz="12" w:space="0" w:color="ED7D31" w:themeColor="accent2"/>
            </w:tcBorders>
            <w:shd w:val="clear" w:color="auto" w:fill="FFFFFF"/>
          </w:tcPr>
          <w:p w14:paraId="17553156" w14:textId="77777777" w:rsidR="00D22BC4" w:rsidRPr="00100A69" w:rsidRDefault="00D22BC4" w:rsidP="00C71815">
            <w:pPr>
              <w:spacing w:before="60" w:after="60"/>
              <w:ind w:left="270"/>
              <w:rPr>
                <w:rFonts w:ascii="Lato" w:hAnsi="Lato"/>
                <w:sz w:val="24"/>
                <w:szCs w:val="24"/>
              </w:rPr>
            </w:pPr>
            <w:r w:rsidRPr="00100A69">
              <w:rPr>
                <w:rFonts w:ascii="Lato" w:hAnsi="Lato"/>
                <w:sz w:val="24"/>
                <w:szCs w:val="24"/>
              </w:rPr>
              <w:t xml:space="preserve">Complaints Investigated as per sections 67 and 68 of the </w:t>
            </w:r>
            <w:r w:rsidR="00C71815" w:rsidRPr="00C71815">
              <w:rPr>
                <w:rFonts w:ascii="Lato" w:hAnsi="Lato"/>
                <w:sz w:val="24"/>
                <w:szCs w:val="24"/>
              </w:rPr>
              <w:t>Act.</w:t>
            </w:r>
          </w:p>
        </w:tc>
        <w:tc>
          <w:tcPr>
            <w:tcW w:w="1279" w:type="dxa"/>
            <w:tcBorders>
              <w:bottom w:val="single" w:sz="12" w:space="0" w:color="ED7D31" w:themeColor="accent2"/>
            </w:tcBorders>
            <w:shd w:val="clear" w:color="auto" w:fill="FFFFFF"/>
            <w:vAlign w:val="center"/>
          </w:tcPr>
          <w:p w14:paraId="3A526152" w14:textId="07E446F4" w:rsidR="00D22BC4" w:rsidRPr="00100A69" w:rsidRDefault="0092694E" w:rsidP="00AA7671">
            <w:pPr>
              <w:spacing w:before="60" w:after="60"/>
              <w:ind w:left="287" w:hanging="424"/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5</w:t>
            </w:r>
            <w:r w:rsidR="005812F3">
              <w:rPr>
                <w:rFonts w:ascii="Lato" w:hAnsi="Lato"/>
                <w:sz w:val="24"/>
                <w:szCs w:val="24"/>
              </w:rPr>
              <w:t>2</w:t>
            </w:r>
          </w:p>
        </w:tc>
        <w:tc>
          <w:tcPr>
            <w:tcW w:w="3423" w:type="dxa"/>
            <w:tcBorders>
              <w:bottom w:val="single" w:sz="12" w:space="0" w:color="ED7D31" w:themeColor="accent2"/>
            </w:tcBorders>
            <w:shd w:val="clear" w:color="auto" w:fill="FFFFFF"/>
            <w:vAlign w:val="center"/>
          </w:tcPr>
          <w:p w14:paraId="056C5FA8" w14:textId="77777777" w:rsidR="00D22BC4" w:rsidRPr="00100A69" w:rsidRDefault="00D22BC4" w:rsidP="002F15EA">
            <w:pPr>
              <w:spacing w:before="60" w:after="60"/>
              <w:ind w:firstLine="1"/>
              <w:jc w:val="center"/>
              <w:rPr>
                <w:rFonts w:ascii="Lato" w:hAnsi="Lato"/>
                <w:sz w:val="24"/>
                <w:szCs w:val="24"/>
              </w:rPr>
            </w:pPr>
            <w:r w:rsidRPr="00100A69">
              <w:rPr>
                <w:rFonts w:ascii="Lato" w:hAnsi="Lato"/>
                <w:sz w:val="24"/>
                <w:szCs w:val="24"/>
              </w:rPr>
              <w:t>Complaints</w:t>
            </w:r>
          </w:p>
        </w:tc>
      </w:tr>
      <w:tr w:rsidR="00D22BC4" w:rsidRPr="005E040D" w14:paraId="5AE44045" w14:textId="77777777" w:rsidTr="00C71815">
        <w:trPr>
          <w:trHeight w:val="715"/>
          <w:jc w:val="center"/>
        </w:trPr>
        <w:tc>
          <w:tcPr>
            <w:tcW w:w="4981" w:type="dxa"/>
            <w:tcBorders>
              <w:bottom w:val="single" w:sz="12" w:space="0" w:color="ED7D31" w:themeColor="accent2"/>
            </w:tcBorders>
            <w:shd w:val="clear" w:color="auto" w:fill="FFFFFF"/>
          </w:tcPr>
          <w:p w14:paraId="3ECEE7B5" w14:textId="77777777" w:rsidR="00D22BC4" w:rsidRPr="00100A69" w:rsidRDefault="00D22BC4" w:rsidP="00C71815">
            <w:pPr>
              <w:spacing w:before="60" w:after="60"/>
              <w:ind w:left="270"/>
              <w:rPr>
                <w:rFonts w:ascii="Lato" w:hAnsi="Lato"/>
                <w:sz w:val="24"/>
                <w:szCs w:val="24"/>
              </w:rPr>
            </w:pPr>
            <w:r w:rsidRPr="00100A69">
              <w:rPr>
                <w:rFonts w:ascii="Lato" w:hAnsi="Lato"/>
                <w:sz w:val="24"/>
                <w:szCs w:val="24"/>
              </w:rPr>
              <w:t xml:space="preserve">Report of accidents involving electric shock as per section 71 of </w:t>
            </w:r>
            <w:r w:rsidRPr="00C71815">
              <w:rPr>
                <w:rFonts w:ascii="Lato" w:hAnsi="Lato"/>
                <w:sz w:val="24"/>
                <w:szCs w:val="24"/>
              </w:rPr>
              <w:t xml:space="preserve">the </w:t>
            </w:r>
            <w:r w:rsidR="00C71815" w:rsidRPr="00C71815">
              <w:rPr>
                <w:rFonts w:ascii="Lato" w:hAnsi="Lato"/>
                <w:sz w:val="24"/>
                <w:szCs w:val="24"/>
              </w:rPr>
              <w:t>Act.</w:t>
            </w:r>
          </w:p>
        </w:tc>
        <w:tc>
          <w:tcPr>
            <w:tcW w:w="1279" w:type="dxa"/>
            <w:tcBorders>
              <w:bottom w:val="single" w:sz="12" w:space="0" w:color="ED7D31" w:themeColor="accent2"/>
            </w:tcBorders>
            <w:shd w:val="clear" w:color="auto" w:fill="FFFFFF"/>
            <w:vAlign w:val="center"/>
          </w:tcPr>
          <w:p w14:paraId="229BD41C" w14:textId="5B82A5AD" w:rsidR="00D22BC4" w:rsidRPr="00100A69" w:rsidRDefault="005812F3" w:rsidP="00AA7671">
            <w:pPr>
              <w:spacing w:before="60" w:after="60"/>
              <w:ind w:hanging="137"/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64</w:t>
            </w:r>
          </w:p>
        </w:tc>
        <w:tc>
          <w:tcPr>
            <w:tcW w:w="3423" w:type="dxa"/>
            <w:tcBorders>
              <w:bottom w:val="single" w:sz="12" w:space="0" w:color="ED7D31" w:themeColor="accent2"/>
            </w:tcBorders>
            <w:shd w:val="clear" w:color="auto" w:fill="FFFFFF"/>
            <w:vAlign w:val="center"/>
          </w:tcPr>
          <w:p w14:paraId="4F250957" w14:textId="77777777" w:rsidR="00D22BC4" w:rsidRPr="00100A69" w:rsidRDefault="00D22BC4" w:rsidP="002F15EA">
            <w:pPr>
              <w:spacing w:before="60" w:after="60"/>
              <w:ind w:firstLine="1"/>
              <w:jc w:val="center"/>
              <w:rPr>
                <w:rFonts w:ascii="Lato" w:hAnsi="Lato"/>
                <w:sz w:val="24"/>
                <w:szCs w:val="24"/>
              </w:rPr>
            </w:pPr>
            <w:r w:rsidRPr="00100A69">
              <w:rPr>
                <w:rFonts w:ascii="Lato" w:hAnsi="Lato"/>
                <w:sz w:val="24"/>
                <w:szCs w:val="24"/>
              </w:rPr>
              <w:t>Electric Shocks</w:t>
            </w:r>
          </w:p>
        </w:tc>
      </w:tr>
    </w:tbl>
    <w:p w14:paraId="018285F7" w14:textId="77777777" w:rsidR="00563E87" w:rsidRPr="00EE054E" w:rsidRDefault="00563E87" w:rsidP="0099261A">
      <w:pPr>
        <w:spacing w:before="240" w:after="100" w:line="360" w:lineRule="auto"/>
        <w:ind w:right="544"/>
        <w:jc w:val="both"/>
        <w:rPr>
          <w:rFonts w:ascii="Lato" w:hAnsi="Lato"/>
          <w:sz w:val="24"/>
          <w:szCs w:val="24"/>
        </w:rPr>
      </w:pPr>
      <w:r w:rsidRPr="00EE054E">
        <w:rPr>
          <w:rFonts w:ascii="Lato" w:hAnsi="Lato"/>
          <w:sz w:val="24"/>
          <w:szCs w:val="24"/>
        </w:rPr>
        <w:t xml:space="preserve">In previous years auditing inspections were carried out by </w:t>
      </w:r>
      <w:proofErr w:type="spellStart"/>
      <w:r w:rsidRPr="00EE054E">
        <w:rPr>
          <w:rFonts w:ascii="Lato" w:hAnsi="Lato"/>
          <w:sz w:val="24"/>
          <w:szCs w:val="24"/>
        </w:rPr>
        <w:t>TechSafe</w:t>
      </w:r>
      <w:proofErr w:type="spellEnd"/>
      <w:r w:rsidRPr="00EE054E">
        <w:rPr>
          <w:rFonts w:ascii="Lato" w:hAnsi="Lato"/>
          <w:sz w:val="24"/>
          <w:szCs w:val="24"/>
        </w:rPr>
        <w:t xml:space="preserve">, an independent electrical inspection company. These inspections were prescribed inspections carried out in the Northern Territory on new electrical installations and solar inspections. Due to the ongoing lockdowns </w:t>
      </w:r>
      <w:proofErr w:type="spellStart"/>
      <w:r w:rsidRPr="00EE054E">
        <w:rPr>
          <w:rFonts w:ascii="Lato" w:hAnsi="Lato"/>
          <w:sz w:val="24"/>
          <w:szCs w:val="24"/>
        </w:rPr>
        <w:t>Techsafe</w:t>
      </w:r>
      <w:proofErr w:type="spellEnd"/>
      <w:r w:rsidRPr="00EE054E">
        <w:rPr>
          <w:rFonts w:ascii="Lato" w:hAnsi="Lato"/>
          <w:sz w:val="24"/>
          <w:szCs w:val="24"/>
        </w:rPr>
        <w:t xml:space="preserve"> was not engaged to conduct audit inspections in the Northern Territory for the 2020 -2021 financial year.</w:t>
      </w:r>
    </w:p>
    <w:p w14:paraId="53EAC49C" w14:textId="01656C1B" w:rsidR="005E040D" w:rsidRPr="00C71815" w:rsidRDefault="005E040D" w:rsidP="0099261A">
      <w:pPr>
        <w:spacing w:before="240" w:after="100" w:line="360" w:lineRule="auto"/>
        <w:ind w:right="544"/>
        <w:jc w:val="both"/>
        <w:rPr>
          <w:rFonts w:ascii="Lato" w:hAnsi="Lato"/>
          <w:sz w:val="24"/>
          <w:szCs w:val="24"/>
        </w:rPr>
      </w:pPr>
      <w:r w:rsidRPr="00C71815">
        <w:rPr>
          <w:rFonts w:ascii="Lato" w:hAnsi="Lato"/>
          <w:sz w:val="24"/>
          <w:szCs w:val="24"/>
        </w:rPr>
        <w:t xml:space="preserve">Part 6 of the </w:t>
      </w:r>
      <w:r w:rsidR="00C71815" w:rsidRPr="00C71815">
        <w:rPr>
          <w:rFonts w:ascii="Lato" w:hAnsi="Lato"/>
          <w:sz w:val="24"/>
          <w:szCs w:val="24"/>
        </w:rPr>
        <w:t>Act</w:t>
      </w:r>
      <w:r w:rsidRPr="00C71815">
        <w:rPr>
          <w:rFonts w:ascii="Lato" w:hAnsi="Lato"/>
          <w:sz w:val="24"/>
          <w:szCs w:val="24"/>
        </w:rPr>
        <w:t xml:space="preserve"> provides for specific enforcem</w:t>
      </w:r>
      <w:r w:rsidR="009C4C07" w:rsidRPr="00C71815">
        <w:rPr>
          <w:rFonts w:ascii="Lato" w:hAnsi="Lato"/>
          <w:sz w:val="24"/>
          <w:szCs w:val="24"/>
        </w:rPr>
        <w:t>ent powers. A summary of</w:t>
      </w:r>
      <w:r w:rsidRPr="00C71815">
        <w:rPr>
          <w:rFonts w:ascii="Lato" w:hAnsi="Lato"/>
          <w:sz w:val="24"/>
          <w:szCs w:val="24"/>
        </w:rPr>
        <w:t xml:space="preserve"> </w:t>
      </w:r>
      <w:r w:rsidR="009C4C07" w:rsidRPr="00C71815">
        <w:rPr>
          <w:rFonts w:ascii="Lato" w:hAnsi="Lato"/>
          <w:sz w:val="24"/>
          <w:szCs w:val="24"/>
        </w:rPr>
        <w:t xml:space="preserve">enforcement </w:t>
      </w:r>
      <w:r w:rsidRPr="00C71815">
        <w:rPr>
          <w:rFonts w:ascii="Lato" w:hAnsi="Lato"/>
          <w:sz w:val="24"/>
          <w:szCs w:val="24"/>
        </w:rPr>
        <w:t>powers</w:t>
      </w:r>
      <w:r w:rsidR="009C4C07" w:rsidRPr="00C71815">
        <w:rPr>
          <w:rFonts w:ascii="Lato" w:hAnsi="Lato"/>
          <w:sz w:val="24"/>
          <w:szCs w:val="24"/>
        </w:rPr>
        <w:t xml:space="preserve"> exercised</w:t>
      </w:r>
      <w:r w:rsidRPr="00C71815">
        <w:rPr>
          <w:rFonts w:ascii="Lato" w:hAnsi="Lato"/>
          <w:sz w:val="24"/>
          <w:szCs w:val="24"/>
        </w:rPr>
        <w:t xml:space="preserve"> by the Electricity Safety Regulator and authorised officers</w:t>
      </w:r>
      <w:r w:rsidR="009C4C07" w:rsidRPr="00C71815">
        <w:rPr>
          <w:rFonts w:ascii="Lato" w:hAnsi="Lato"/>
          <w:sz w:val="24"/>
          <w:szCs w:val="24"/>
        </w:rPr>
        <w:t xml:space="preserve"> in 20</w:t>
      </w:r>
      <w:r w:rsidR="005812F3">
        <w:rPr>
          <w:rFonts w:ascii="Lato" w:hAnsi="Lato"/>
          <w:sz w:val="24"/>
          <w:szCs w:val="24"/>
        </w:rPr>
        <w:t>20</w:t>
      </w:r>
      <w:r w:rsidR="009C4C07" w:rsidRPr="00C71815">
        <w:rPr>
          <w:rFonts w:ascii="Lato" w:hAnsi="Lato"/>
          <w:sz w:val="24"/>
          <w:szCs w:val="24"/>
        </w:rPr>
        <w:t>-20</w:t>
      </w:r>
      <w:r w:rsidR="002B4897">
        <w:rPr>
          <w:rFonts w:ascii="Lato" w:hAnsi="Lato"/>
          <w:sz w:val="24"/>
          <w:szCs w:val="24"/>
        </w:rPr>
        <w:t>2</w:t>
      </w:r>
      <w:r w:rsidR="005812F3">
        <w:rPr>
          <w:rFonts w:ascii="Lato" w:hAnsi="Lato"/>
          <w:sz w:val="24"/>
          <w:szCs w:val="24"/>
        </w:rPr>
        <w:t>1</w:t>
      </w:r>
      <w:r w:rsidR="009C4C07" w:rsidRPr="00C71815">
        <w:rPr>
          <w:rFonts w:ascii="Lato" w:hAnsi="Lato"/>
          <w:sz w:val="24"/>
          <w:szCs w:val="24"/>
        </w:rPr>
        <w:t xml:space="preserve"> is provided in the following table</w:t>
      </w:r>
      <w:r w:rsidRPr="00C71815">
        <w:rPr>
          <w:rFonts w:ascii="Lato" w:hAnsi="Lato"/>
          <w:sz w:val="24"/>
          <w:szCs w:val="24"/>
        </w:rPr>
        <w:t>.</w:t>
      </w:r>
    </w:p>
    <w:tbl>
      <w:tblPr>
        <w:tblW w:w="9738" w:type="dxa"/>
        <w:jc w:val="center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1E0" w:firstRow="1" w:lastRow="1" w:firstColumn="1" w:lastColumn="1" w:noHBand="0" w:noVBand="0"/>
        <w:tblDescription w:val="Data table summarising the number of times specific powers under section 10, 11, 70, 78, 79 and 80 were exercised in the 2016-17 financial year."/>
      </w:tblPr>
      <w:tblGrid>
        <w:gridCol w:w="5079"/>
        <w:gridCol w:w="1287"/>
        <w:gridCol w:w="3372"/>
      </w:tblGrid>
      <w:tr w:rsidR="005E040D" w:rsidRPr="005E040D" w14:paraId="7CFDC605" w14:textId="77777777" w:rsidTr="003A3587">
        <w:trPr>
          <w:trHeight w:val="400"/>
          <w:tblHeader/>
          <w:jc w:val="center"/>
        </w:trPr>
        <w:tc>
          <w:tcPr>
            <w:tcW w:w="5079" w:type="dxa"/>
            <w:tcBorders>
              <w:bottom w:val="single" w:sz="12" w:space="0" w:color="ED7D31" w:themeColor="accent2"/>
            </w:tcBorders>
            <w:shd w:val="clear" w:color="auto" w:fill="ED7D31" w:themeFill="accent2"/>
          </w:tcPr>
          <w:p w14:paraId="708576F0" w14:textId="77777777" w:rsidR="005E040D" w:rsidRPr="002F15EA" w:rsidRDefault="005E040D" w:rsidP="00071ED6">
            <w:pPr>
              <w:spacing w:before="60" w:after="60"/>
              <w:ind w:left="229"/>
              <w:rPr>
                <w:rFonts w:ascii="Lato" w:hAnsi="Lato"/>
                <w:b/>
                <w:sz w:val="24"/>
                <w:szCs w:val="24"/>
              </w:rPr>
            </w:pPr>
            <w:bookmarkStart w:id="9" w:name="ColumnTitle_2"/>
            <w:r w:rsidRPr="002F15EA">
              <w:rPr>
                <w:rFonts w:ascii="Lato" w:hAnsi="Lato"/>
                <w:b/>
                <w:sz w:val="24"/>
                <w:szCs w:val="24"/>
              </w:rPr>
              <w:lastRenderedPageBreak/>
              <w:t>Regulatory Requirement</w:t>
            </w:r>
          </w:p>
        </w:tc>
        <w:tc>
          <w:tcPr>
            <w:tcW w:w="1287" w:type="dxa"/>
            <w:tcBorders>
              <w:bottom w:val="single" w:sz="12" w:space="0" w:color="ED7D31" w:themeColor="accent2"/>
            </w:tcBorders>
            <w:shd w:val="clear" w:color="auto" w:fill="ED7D31" w:themeFill="accent2"/>
            <w:vAlign w:val="center"/>
          </w:tcPr>
          <w:p w14:paraId="4B30CAAD" w14:textId="77777777" w:rsidR="005E040D" w:rsidRPr="002F15EA" w:rsidRDefault="005E040D" w:rsidP="00071ED6">
            <w:pPr>
              <w:spacing w:before="60" w:after="6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F15EA">
              <w:rPr>
                <w:rFonts w:ascii="Lato" w:hAnsi="Lato"/>
                <w:b/>
                <w:sz w:val="24"/>
                <w:szCs w:val="24"/>
              </w:rPr>
              <w:t>No</w:t>
            </w:r>
          </w:p>
        </w:tc>
        <w:tc>
          <w:tcPr>
            <w:tcW w:w="3372" w:type="dxa"/>
            <w:tcBorders>
              <w:bottom w:val="single" w:sz="12" w:space="0" w:color="ED7D31" w:themeColor="accent2"/>
            </w:tcBorders>
            <w:shd w:val="clear" w:color="auto" w:fill="ED7D31" w:themeFill="accent2"/>
            <w:vAlign w:val="center"/>
          </w:tcPr>
          <w:p w14:paraId="29DC217F" w14:textId="77777777" w:rsidR="005E040D" w:rsidRPr="002F15EA" w:rsidRDefault="005E040D" w:rsidP="002F15EA">
            <w:pPr>
              <w:spacing w:before="60" w:after="60"/>
              <w:ind w:left="324" w:hanging="434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F15EA">
              <w:rPr>
                <w:rFonts w:ascii="Lato" w:hAnsi="Lato"/>
                <w:b/>
                <w:sz w:val="24"/>
                <w:szCs w:val="24"/>
              </w:rPr>
              <w:t>Description</w:t>
            </w:r>
          </w:p>
        </w:tc>
      </w:tr>
      <w:bookmarkEnd w:id="9"/>
      <w:tr w:rsidR="005E040D" w:rsidRPr="005E040D" w14:paraId="6B9C32D0" w14:textId="77777777" w:rsidTr="00635277">
        <w:trPr>
          <w:trHeight w:val="851"/>
          <w:jc w:val="center"/>
        </w:trPr>
        <w:tc>
          <w:tcPr>
            <w:tcW w:w="507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2EA2B98F" w14:textId="77777777" w:rsidR="005E040D" w:rsidRPr="00635277" w:rsidRDefault="005E040D" w:rsidP="00635277">
            <w:pPr>
              <w:spacing w:before="60" w:after="60"/>
              <w:ind w:left="229"/>
              <w:rPr>
                <w:rFonts w:ascii="Lato" w:hAnsi="Lato"/>
                <w:sz w:val="24"/>
                <w:szCs w:val="24"/>
              </w:rPr>
            </w:pPr>
            <w:r w:rsidRPr="00635277">
              <w:rPr>
                <w:rFonts w:ascii="Lato" w:hAnsi="Lato"/>
                <w:sz w:val="24"/>
                <w:szCs w:val="24"/>
              </w:rPr>
              <w:t xml:space="preserve">Exercise of specific powers under section 10 of the </w:t>
            </w:r>
            <w:r w:rsidR="00635277" w:rsidRPr="00635277">
              <w:rPr>
                <w:rFonts w:ascii="Lato" w:hAnsi="Lato"/>
                <w:sz w:val="24"/>
                <w:szCs w:val="24"/>
              </w:rPr>
              <w:t>Act</w:t>
            </w:r>
            <w:r w:rsidRPr="00635277">
              <w:rPr>
                <w:rFonts w:ascii="Lato" w:hAnsi="Lato"/>
                <w:sz w:val="24"/>
                <w:szCs w:val="24"/>
              </w:rPr>
              <w:t xml:space="preserve"> – Require Information</w:t>
            </w:r>
          </w:p>
        </w:tc>
        <w:tc>
          <w:tcPr>
            <w:tcW w:w="12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33B573A6" w14:textId="77777777" w:rsidR="005E040D" w:rsidRPr="004E41BE" w:rsidRDefault="005E040D" w:rsidP="00071ED6">
            <w:pPr>
              <w:spacing w:before="60" w:after="60"/>
              <w:jc w:val="center"/>
              <w:rPr>
                <w:rFonts w:ascii="Lato" w:hAnsi="Lato"/>
                <w:sz w:val="24"/>
                <w:szCs w:val="24"/>
              </w:rPr>
            </w:pPr>
            <w:r w:rsidRPr="004E41BE">
              <w:rPr>
                <w:rFonts w:ascii="Lato" w:hAnsi="Lato"/>
                <w:sz w:val="24"/>
                <w:szCs w:val="24"/>
              </w:rPr>
              <w:t>0</w:t>
            </w:r>
          </w:p>
        </w:tc>
        <w:tc>
          <w:tcPr>
            <w:tcW w:w="337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532272D5" w14:textId="77777777" w:rsidR="005E040D" w:rsidRPr="004E41BE" w:rsidRDefault="005E040D" w:rsidP="00071ED6">
            <w:pPr>
              <w:spacing w:before="60" w:after="60"/>
              <w:ind w:left="324" w:hanging="56"/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5E040D" w:rsidRPr="005E040D" w14:paraId="2F8B98E9" w14:textId="77777777" w:rsidTr="00635277">
        <w:trPr>
          <w:trHeight w:val="851"/>
          <w:jc w:val="center"/>
        </w:trPr>
        <w:tc>
          <w:tcPr>
            <w:tcW w:w="507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625642CE" w14:textId="77777777" w:rsidR="005E040D" w:rsidRPr="00635277" w:rsidRDefault="005E040D" w:rsidP="00635277">
            <w:pPr>
              <w:spacing w:before="60" w:after="60"/>
              <w:ind w:left="229"/>
              <w:rPr>
                <w:rFonts w:ascii="Lato" w:hAnsi="Lato"/>
                <w:sz w:val="24"/>
                <w:szCs w:val="24"/>
              </w:rPr>
            </w:pPr>
            <w:r w:rsidRPr="00635277">
              <w:rPr>
                <w:rFonts w:ascii="Lato" w:hAnsi="Lato"/>
                <w:sz w:val="24"/>
                <w:szCs w:val="24"/>
              </w:rPr>
              <w:t xml:space="preserve">Exercise of specific powers under section 11 of the </w:t>
            </w:r>
            <w:r w:rsidR="00635277" w:rsidRPr="00635277">
              <w:rPr>
                <w:rFonts w:ascii="Lato" w:hAnsi="Lato"/>
                <w:sz w:val="24"/>
                <w:szCs w:val="24"/>
              </w:rPr>
              <w:t>Act</w:t>
            </w:r>
            <w:r w:rsidRPr="00635277">
              <w:rPr>
                <w:rFonts w:ascii="Lato" w:hAnsi="Lato"/>
                <w:sz w:val="24"/>
                <w:szCs w:val="24"/>
              </w:rPr>
              <w:t xml:space="preserve"> – Disclose Information</w:t>
            </w:r>
          </w:p>
        </w:tc>
        <w:tc>
          <w:tcPr>
            <w:tcW w:w="12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224DD2BF" w14:textId="7740588A" w:rsidR="005E040D" w:rsidRPr="004E41BE" w:rsidRDefault="00C84F59" w:rsidP="00071ED6">
            <w:pPr>
              <w:spacing w:before="60" w:after="60"/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11</w:t>
            </w:r>
          </w:p>
        </w:tc>
        <w:tc>
          <w:tcPr>
            <w:tcW w:w="337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1E9AB12C" w14:textId="77777777" w:rsidR="005E040D" w:rsidRPr="004E41BE" w:rsidRDefault="005E040D" w:rsidP="002F15EA">
            <w:pPr>
              <w:spacing w:before="60" w:after="60"/>
              <w:ind w:left="324" w:hanging="434"/>
              <w:jc w:val="center"/>
              <w:rPr>
                <w:rFonts w:ascii="Lato" w:hAnsi="Lato"/>
                <w:sz w:val="24"/>
                <w:szCs w:val="24"/>
              </w:rPr>
            </w:pPr>
            <w:r w:rsidRPr="004E41BE">
              <w:rPr>
                <w:rFonts w:ascii="Lato" w:hAnsi="Lato"/>
                <w:sz w:val="24"/>
                <w:szCs w:val="24"/>
              </w:rPr>
              <w:t>Fire Investigation Reports</w:t>
            </w:r>
          </w:p>
        </w:tc>
      </w:tr>
      <w:tr w:rsidR="005E040D" w:rsidRPr="005E040D" w14:paraId="1D284D40" w14:textId="77777777" w:rsidTr="00635277">
        <w:trPr>
          <w:trHeight w:val="851"/>
          <w:jc w:val="center"/>
        </w:trPr>
        <w:tc>
          <w:tcPr>
            <w:tcW w:w="507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1975F7C4" w14:textId="77777777" w:rsidR="005E040D" w:rsidRPr="00635277" w:rsidRDefault="005E040D" w:rsidP="00635277">
            <w:pPr>
              <w:spacing w:before="60" w:after="60"/>
              <w:ind w:left="229"/>
              <w:rPr>
                <w:rFonts w:ascii="Lato" w:hAnsi="Lato"/>
                <w:sz w:val="24"/>
                <w:szCs w:val="24"/>
              </w:rPr>
            </w:pPr>
            <w:r w:rsidRPr="00635277">
              <w:rPr>
                <w:rFonts w:ascii="Lato" w:hAnsi="Lato"/>
                <w:sz w:val="24"/>
                <w:szCs w:val="24"/>
              </w:rPr>
              <w:t xml:space="preserve">Exercise of specific powers under section 70 of the </w:t>
            </w:r>
            <w:r w:rsidR="00635277" w:rsidRPr="00635277">
              <w:rPr>
                <w:rFonts w:ascii="Lato" w:hAnsi="Lato"/>
                <w:sz w:val="24"/>
                <w:szCs w:val="24"/>
              </w:rPr>
              <w:t>Act</w:t>
            </w:r>
            <w:r w:rsidRPr="00635277">
              <w:rPr>
                <w:rFonts w:ascii="Lato" w:hAnsi="Lato"/>
                <w:sz w:val="24"/>
                <w:szCs w:val="24"/>
              </w:rPr>
              <w:t xml:space="preserve"> – Rectification by Direction</w:t>
            </w:r>
          </w:p>
        </w:tc>
        <w:tc>
          <w:tcPr>
            <w:tcW w:w="12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5DAEDADD" w14:textId="7A9192B3" w:rsidR="005E040D" w:rsidRPr="004E41BE" w:rsidRDefault="005812F3">
            <w:pPr>
              <w:spacing w:before="60" w:after="60"/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33</w:t>
            </w:r>
          </w:p>
        </w:tc>
        <w:tc>
          <w:tcPr>
            <w:tcW w:w="337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180F4720" w14:textId="77777777" w:rsidR="005E040D" w:rsidRPr="004E41BE" w:rsidRDefault="005E040D" w:rsidP="002F15EA">
            <w:pPr>
              <w:spacing w:before="60" w:after="60"/>
              <w:ind w:left="-110"/>
              <w:jc w:val="center"/>
              <w:rPr>
                <w:rFonts w:ascii="Lato" w:hAnsi="Lato"/>
                <w:sz w:val="24"/>
                <w:szCs w:val="24"/>
              </w:rPr>
            </w:pPr>
            <w:r w:rsidRPr="004E41BE">
              <w:rPr>
                <w:rFonts w:ascii="Lato" w:hAnsi="Lato"/>
                <w:sz w:val="24"/>
                <w:szCs w:val="24"/>
              </w:rPr>
              <w:t xml:space="preserve">Owner/Operator </w:t>
            </w:r>
            <w:r w:rsidRPr="004E41BE">
              <w:rPr>
                <w:rFonts w:ascii="Lato" w:hAnsi="Lato"/>
                <w:sz w:val="24"/>
                <w:szCs w:val="24"/>
              </w:rPr>
              <w:br/>
              <w:t>Non-compliance</w:t>
            </w:r>
          </w:p>
        </w:tc>
      </w:tr>
      <w:tr w:rsidR="005E040D" w:rsidRPr="005E040D" w14:paraId="7AAC996B" w14:textId="77777777" w:rsidTr="00635277">
        <w:trPr>
          <w:trHeight w:val="850"/>
          <w:jc w:val="center"/>
        </w:trPr>
        <w:tc>
          <w:tcPr>
            <w:tcW w:w="507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2E2853B0" w14:textId="77777777" w:rsidR="005E040D" w:rsidRPr="00635277" w:rsidRDefault="005E040D" w:rsidP="00635277">
            <w:pPr>
              <w:spacing w:before="60" w:after="60"/>
              <w:ind w:left="229"/>
              <w:rPr>
                <w:rFonts w:ascii="Lato" w:hAnsi="Lato"/>
                <w:sz w:val="24"/>
                <w:szCs w:val="24"/>
              </w:rPr>
            </w:pPr>
            <w:r w:rsidRPr="00635277">
              <w:rPr>
                <w:rFonts w:ascii="Lato" w:hAnsi="Lato"/>
                <w:sz w:val="24"/>
                <w:szCs w:val="24"/>
              </w:rPr>
              <w:t xml:space="preserve">Exercise of specific powers under section 70 of the </w:t>
            </w:r>
            <w:r w:rsidR="00635277" w:rsidRPr="00635277">
              <w:rPr>
                <w:rFonts w:ascii="Lato" w:hAnsi="Lato"/>
                <w:sz w:val="24"/>
                <w:szCs w:val="24"/>
              </w:rPr>
              <w:t>Act</w:t>
            </w:r>
            <w:r w:rsidRPr="00635277">
              <w:rPr>
                <w:rFonts w:ascii="Lato" w:hAnsi="Lato"/>
                <w:sz w:val="24"/>
                <w:szCs w:val="24"/>
              </w:rPr>
              <w:t xml:space="preserve">  – Rectification by Direction</w:t>
            </w:r>
          </w:p>
        </w:tc>
        <w:tc>
          <w:tcPr>
            <w:tcW w:w="12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5C1F4CB2" w14:textId="3DB5E4DF" w:rsidR="005E040D" w:rsidRPr="004E41BE" w:rsidRDefault="00585E4A">
            <w:pPr>
              <w:spacing w:before="60" w:after="60"/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88</w:t>
            </w:r>
          </w:p>
        </w:tc>
        <w:tc>
          <w:tcPr>
            <w:tcW w:w="337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37CE26A0" w14:textId="77777777" w:rsidR="005E040D" w:rsidRPr="004E41BE" w:rsidRDefault="005E040D" w:rsidP="002F15EA">
            <w:pPr>
              <w:spacing w:before="60" w:after="60"/>
              <w:ind w:left="32" w:hanging="32"/>
              <w:jc w:val="center"/>
              <w:rPr>
                <w:rFonts w:ascii="Lato" w:hAnsi="Lato"/>
                <w:sz w:val="24"/>
                <w:szCs w:val="24"/>
              </w:rPr>
            </w:pPr>
            <w:r w:rsidRPr="004E41BE">
              <w:rPr>
                <w:rFonts w:ascii="Lato" w:hAnsi="Lato"/>
                <w:sz w:val="24"/>
                <w:szCs w:val="24"/>
              </w:rPr>
              <w:t xml:space="preserve">Contractor </w:t>
            </w:r>
            <w:r w:rsidRPr="004E41BE">
              <w:rPr>
                <w:rFonts w:ascii="Lato" w:hAnsi="Lato"/>
                <w:sz w:val="24"/>
                <w:szCs w:val="24"/>
              </w:rPr>
              <w:br/>
              <w:t>Non-compliance</w:t>
            </w:r>
          </w:p>
        </w:tc>
      </w:tr>
      <w:tr w:rsidR="005E040D" w:rsidRPr="005E040D" w14:paraId="145CF7C3" w14:textId="77777777" w:rsidTr="003A3587">
        <w:trPr>
          <w:trHeight w:val="970"/>
          <w:jc w:val="center"/>
        </w:trPr>
        <w:tc>
          <w:tcPr>
            <w:tcW w:w="507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4A86A125" w14:textId="77777777" w:rsidR="005E040D" w:rsidRPr="00635277" w:rsidRDefault="005E040D" w:rsidP="00635277">
            <w:pPr>
              <w:spacing w:before="60" w:after="60"/>
              <w:ind w:left="229"/>
              <w:rPr>
                <w:rFonts w:ascii="Lato" w:hAnsi="Lato"/>
                <w:sz w:val="24"/>
                <w:szCs w:val="24"/>
              </w:rPr>
            </w:pPr>
            <w:r w:rsidRPr="00635277">
              <w:rPr>
                <w:rFonts w:ascii="Lato" w:hAnsi="Lato"/>
                <w:sz w:val="24"/>
                <w:szCs w:val="24"/>
              </w:rPr>
              <w:t xml:space="preserve">Exercise of specific powers under section 78, 79 and 80 of the </w:t>
            </w:r>
            <w:r w:rsidR="00635277" w:rsidRPr="00635277">
              <w:rPr>
                <w:rFonts w:ascii="Lato" w:hAnsi="Lato"/>
                <w:sz w:val="24"/>
                <w:szCs w:val="24"/>
              </w:rPr>
              <w:t>Act</w:t>
            </w:r>
            <w:r w:rsidRPr="00635277">
              <w:rPr>
                <w:rFonts w:ascii="Lato" w:hAnsi="Lato"/>
                <w:sz w:val="24"/>
                <w:szCs w:val="24"/>
              </w:rPr>
              <w:t xml:space="preserve"> – Disconnection</w:t>
            </w:r>
          </w:p>
        </w:tc>
        <w:tc>
          <w:tcPr>
            <w:tcW w:w="12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29E0EB46" w14:textId="061A24FE" w:rsidR="005E040D" w:rsidRPr="004E41BE" w:rsidRDefault="0058728E">
            <w:pPr>
              <w:spacing w:before="60" w:after="60"/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3</w:t>
            </w:r>
          </w:p>
        </w:tc>
        <w:tc>
          <w:tcPr>
            <w:tcW w:w="337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34AEA64F" w14:textId="77777777" w:rsidR="005E040D" w:rsidRDefault="005E040D" w:rsidP="002F15EA">
            <w:pPr>
              <w:spacing w:before="60" w:after="60"/>
              <w:ind w:left="32" w:hanging="32"/>
              <w:jc w:val="center"/>
              <w:rPr>
                <w:rFonts w:ascii="Lato" w:hAnsi="Lato"/>
                <w:sz w:val="24"/>
                <w:szCs w:val="24"/>
              </w:rPr>
            </w:pPr>
            <w:r w:rsidRPr="004E41BE">
              <w:rPr>
                <w:rFonts w:ascii="Lato" w:hAnsi="Lato"/>
                <w:sz w:val="24"/>
                <w:szCs w:val="24"/>
              </w:rPr>
              <w:t>Installations disconnected</w:t>
            </w:r>
          </w:p>
          <w:p w14:paraId="2B2F0249" w14:textId="79E00452" w:rsidR="002C36BE" w:rsidRDefault="00711793" w:rsidP="002F15EA">
            <w:pPr>
              <w:spacing w:before="60" w:after="60"/>
              <w:ind w:left="32" w:hanging="32"/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2 x Rural Properties</w:t>
            </w:r>
          </w:p>
          <w:p w14:paraId="45777F57" w14:textId="77777777" w:rsidR="0058728E" w:rsidRPr="004E41BE" w:rsidRDefault="0058728E" w:rsidP="002F15EA">
            <w:pPr>
              <w:spacing w:before="60" w:after="60"/>
              <w:ind w:left="32" w:hanging="32"/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1 x Community House</w:t>
            </w:r>
          </w:p>
        </w:tc>
      </w:tr>
    </w:tbl>
    <w:p w14:paraId="0A900417" w14:textId="3CAD2569" w:rsidR="005E040D" w:rsidRPr="004E41BE" w:rsidRDefault="005E040D" w:rsidP="0099261A">
      <w:pPr>
        <w:spacing w:before="240" w:after="120" w:line="360" w:lineRule="auto"/>
        <w:jc w:val="both"/>
        <w:rPr>
          <w:sz w:val="24"/>
          <w:szCs w:val="24"/>
        </w:rPr>
      </w:pPr>
      <w:r w:rsidRPr="004E41BE">
        <w:rPr>
          <w:rFonts w:ascii="Lato" w:hAnsi="Lato"/>
          <w:sz w:val="24"/>
          <w:szCs w:val="24"/>
        </w:rPr>
        <w:t xml:space="preserve">Part 7 of the </w:t>
      </w:r>
      <w:r w:rsidR="00635277" w:rsidRPr="00635277">
        <w:rPr>
          <w:rFonts w:ascii="Lato" w:hAnsi="Lato"/>
          <w:sz w:val="24"/>
          <w:szCs w:val="24"/>
        </w:rPr>
        <w:t>Act</w:t>
      </w:r>
      <w:r w:rsidRPr="00635277">
        <w:rPr>
          <w:rFonts w:ascii="Lato" w:hAnsi="Lato"/>
          <w:sz w:val="24"/>
          <w:szCs w:val="24"/>
        </w:rPr>
        <w:t xml:space="preserve"> </w:t>
      </w:r>
      <w:r w:rsidRPr="004E41BE">
        <w:rPr>
          <w:rFonts w:ascii="Lato" w:hAnsi="Lato"/>
          <w:sz w:val="24"/>
          <w:szCs w:val="24"/>
        </w:rPr>
        <w:t xml:space="preserve">provides for reviews and appeals. </w:t>
      </w:r>
      <w:r w:rsidR="009C4C07">
        <w:rPr>
          <w:rFonts w:ascii="Lato" w:hAnsi="Lato"/>
          <w:sz w:val="24"/>
          <w:szCs w:val="24"/>
        </w:rPr>
        <w:t>There were no applications for review made in the 201</w:t>
      </w:r>
      <w:r w:rsidR="002B4897">
        <w:rPr>
          <w:rFonts w:ascii="Lato" w:hAnsi="Lato"/>
          <w:sz w:val="24"/>
          <w:szCs w:val="24"/>
        </w:rPr>
        <w:t>9</w:t>
      </w:r>
      <w:r w:rsidR="009C4C07">
        <w:rPr>
          <w:rFonts w:ascii="Lato" w:hAnsi="Lato"/>
          <w:sz w:val="24"/>
          <w:szCs w:val="24"/>
        </w:rPr>
        <w:t>-20</w:t>
      </w:r>
      <w:r w:rsidR="002B4897">
        <w:rPr>
          <w:rFonts w:ascii="Lato" w:hAnsi="Lato"/>
          <w:sz w:val="24"/>
          <w:szCs w:val="24"/>
        </w:rPr>
        <w:t>20</w:t>
      </w:r>
      <w:r w:rsidR="009C4C07">
        <w:rPr>
          <w:rFonts w:ascii="Lato" w:hAnsi="Lato"/>
          <w:sz w:val="24"/>
          <w:szCs w:val="24"/>
        </w:rPr>
        <w:t xml:space="preserve"> financial year.</w:t>
      </w:r>
    </w:p>
    <w:tbl>
      <w:tblPr>
        <w:tblW w:w="9800" w:type="dxa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  <w:tblDescription w:val="Data tables sumarising the decisions made under section 83, 84, 85 and 87(4) of the Electricity Reform Act in the 2016-2017 financial year."/>
      </w:tblPr>
      <w:tblGrid>
        <w:gridCol w:w="5103"/>
        <w:gridCol w:w="1276"/>
        <w:gridCol w:w="3421"/>
      </w:tblGrid>
      <w:tr w:rsidR="005E040D" w:rsidRPr="005E040D" w14:paraId="3D8E7DE8" w14:textId="77777777" w:rsidTr="003A3587">
        <w:trPr>
          <w:trHeight w:val="411"/>
          <w:tblHeader/>
          <w:jc w:val="center"/>
        </w:trPr>
        <w:tc>
          <w:tcPr>
            <w:tcW w:w="5103" w:type="dxa"/>
            <w:tcBorders>
              <w:top w:val="single" w:sz="12" w:space="0" w:color="ED7D31" w:themeColor="accent2"/>
              <w:left w:val="single" w:sz="12" w:space="0" w:color="ED7D31" w:themeColor="accent2"/>
              <w:bottom w:val="nil"/>
              <w:right w:val="nil"/>
            </w:tcBorders>
            <w:shd w:val="clear" w:color="auto" w:fill="ED7D31" w:themeFill="accent2"/>
          </w:tcPr>
          <w:p w14:paraId="51F98B72" w14:textId="77777777" w:rsidR="005E040D" w:rsidRPr="002F15EA" w:rsidRDefault="005E040D" w:rsidP="00071ED6">
            <w:pPr>
              <w:spacing w:before="60" w:after="60"/>
              <w:ind w:left="251"/>
              <w:rPr>
                <w:rFonts w:ascii="Lato" w:hAnsi="Lato"/>
                <w:b/>
                <w:sz w:val="24"/>
                <w:szCs w:val="24"/>
              </w:rPr>
            </w:pPr>
            <w:bookmarkStart w:id="10" w:name="ColumnTitle_3"/>
            <w:r w:rsidRPr="002F15EA">
              <w:rPr>
                <w:rFonts w:ascii="Lato" w:hAnsi="Lato"/>
                <w:b/>
                <w:sz w:val="24"/>
                <w:szCs w:val="24"/>
              </w:rPr>
              <w:t>Regulatory Requirement</w:t>
            </w:r>
          </w:p>
        </w:tc>
        <w:tc>
          <w:tcPr>
            <w:tcW w:w="1276" w:type="dxa"/>
            <w:tcBorders>
              <w:top w:val="single" w:sz="12" w:space="0" w:color="ED7D31" w:themeColor="accent2"/>
              <w:left w:val="nil"/>
              <w:bottom w:val="nil"/>
              <w:right w:val="single" w:sz="12" w:space="0" w:color="ED7D31" w:themeColor="accent2"/>
            </w:tcBorders>
            <w:shd w:val="clear" w:color="auto" w:fill="ED7D31" w:themeFill="accent2"/>
            <w:vAlign w:val="center"/>
          </w:tcPr>
          <w:p w14:paraId="6D676AE1" w14:textId="77777777" w:rsidR="005E040D" w:rsidRPr="002F15EA" w:rsidRDefault="005E040D" w:rsidP="00071ED6">
            <w:pPr>
              <w:spacing w:before="60" w:after="6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F15EA">
              <w:rPr>
                <w:rFonts w:ascii="Lato" w:hAnsi="Lato"/>
                <w:b/>
                <w:sz w:val="24"/>
                <w:szCs w:val="24"/>
              </w:rPr>
              <w:t>No</w:t>
            </w:r>
          </w:p>
        </w:tc>
        <w:tc>
          <w:tcPr>
            <w:tcW w:w="3421" w:type="dxa"/>
            <w:tcBorders>
              <w:top w:val="single" w:sz="12" w:space="0" w:color="ED7D31" w:themeColor="accent2"/>
              <w:left w:val="single" w:sz="12" w:space="0" w:color="ED7D31" w:themeColor="accent2"/>
              <w:bottom w:val="nil"/>
              <w:right w:val="single" w:sz="12" w:space="0" w:color="ED7D31" w:themeColor="accent2"/>
            </w:tcBorders>
            <w:shd w:val="clear" w:color="auto" w:fill="ED7D31" w:themeFill="accent2"/>
            <w:vAlign w:val="center"/>
          </w:tcPr>
          <w:p w14:paraId="337C2B1B" w14:textId="77777777" w:rsidR="005E040D" w:rsidRPr="002F15EA" w:rsidRDefault="005E040D" w:rsidP="002F15EA">
            <w:pPr>
              <w:spacing w:before="60" w:after="60"/>
              <w:ind w:hanging="108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F15EA">
              <w:rPr>
                <w:rFonts w:ascii="Lato" w:hAnsi="Lato"/>
                <w:b/>
                <w:sz w:val="24"/>
                <w:szCs w:val="24"/>
              </w:rPr>
              <w:t>Description</w:t>
            </w:r>
          </w:p>
        </w:tc>
      </w:tr>
      <w:bookmarkEnd w:id="10"/>
      <w:tr w:rsidR="005E040D" w:rsidRPr="00B30CDA" w14:paraId="5C41AD03" w14:textId="77777777" w:rsidTr="003A3587">
        <w:trPr>
          <w:trHeight w:val="684"/>
          <w:jc w:val="center"/>
        </w:trPr>
        <w:tc>
          <w:tcPr>
            <w:tcW w:w="5103" w:type="dxa"/>
            <w:tcBorders>
              <w:top w:val="nil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1E80F19E" w14:textId="77777777" w:rsidR="005E040D" w:rsidRPr="00635277" w:rsidRDefault="005E040D" w:rsidP="00635277">
            <w:pPr>
              <w:spacing w:before="60" w:after="60"/>
              <w:ind w:left="251"/>
              <w:rPr>
                <w:rFonts w:ascii="Lato" w:hAnsi="Lato"/>
                <w:sz w:val="24"/>
                <w:szCs w:val="24"/>
              </w:rPr>
            </w:pPr>
            <w:r w:rsidRPr="00635277">
              <w:rPr>
                <w:rFonts w:ascii="Lato" w:hAnsi="Lato"/>
                <w:sz w:val="24"/>
                <w:szCs w:val="24"/>
              </w:rPr>
              <w:t xml:space="preserve">Review of decisions as per section 83 of the </w:t>
            </w:r>
            <w:r w:rsidR="00635277" w:rsidRPr="00635277">
              <w:rPr>
                <w:rFonts w:ascii="Lato" w:hAnsi="Lato"/>
                <w:sz w:val="24"/>
                <w:szCs w:val="24"/>
              </w:rPr>
              <w:t>Act</w:t>
            </w:r>
            <w:r w:rsidRPr="00635277">
              <w:rPr>
                <w:rFonts w:ascii="Lato" w:hAnsi="Lato"/>
                <w:sz w:val="24"/>
                <w:szCs w:val="24"/>
              </w:rPr>
              <w:t xml:space="preserve"> – Review by Regulator</w:t>
            </w:r>
          </w:p>
        </w:tc>
        <w:tc>
          <w:tcPr>
            <w:tcW w:w="1276" w:type="dxa"/>
            <w:tcBorders>
              <w:top w:val="nil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53C2070D" w14:textId="77777777" w:rsidR="005E040D" w:rsidRPr="008B01B8" w:rsidRDefault="005E040D" w:rsidP="00071ED6">
            <w:pPr>
              <w:spacing w:before="60" w:after="60"/>
              <w:jc w:val="center"/>
              <w:rPr>
                <w:rFonts w:ascii="Lato" w:hAnsi="Lato"/>
                <w:sz w:val="24"/>
                <w:szCs w:val="24"/>
              </w:rPr>
            </w:pPr>
            <w:r w:rsidRPr="008B01B8">
              <w:rPr>
                <w:rFonts w:ascii="Lato" w:hAnsi="Lato"/>
                <w:sz w:val="24"/>
                <w:szCs w:val="24"/>
              </w:rPr>
              <w:t>0</w:t>
            </w:r>
          </w:p>
        </w:tc>
        <w:tc>
          <w:tcPr>
            <w:tcW w:w="3421" w:type="dxa"/>
            <w:tcBorders>
              <w:top w:val="nil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55955098" w14:textId="77777777" w:rsidR="005E040D" w:rsidRPr="004E41BE" w:rsidRDefault="005E040D" w:rsidP="002F15EA">
            <w:pPr>
              <w:spacing w:before="60" w:after="60"/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5E040D" w:rsidRPr="00B30CDA" w14:paraId="0BA57706" w14:textId="77777777" w:rsidTr="003A3587">
        <w:trPr>
          <w:trHeight w:val="669"/>
          <w:jc w:val="center"/>
        </w:trPr>
        <w:tc>
          <w:tcPr>
            <w:tcW w:w="510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5E97251A" w14:textId="77777777" w:rsidR="005E040D" w:rsidRPr="00635277" w:rsidRDefault="005E040D" w:rsidP="00635277">
            <w:pPr>
              <w:spacing w:before="60" w:after="60"/>
              <w:ind w:left="251"/>
              <w:rPr>
                <w:rFonts w:ascii="Lato" w:hAnsi="Lato"/>
                <w:sz w:val="24"/>
                <w:szCs w:val="24"/>
              </w:rPr>
            </w:pPr>
            <w:r w:rsidRPr="00635277">
              <w:rPr>
                <w:rFonts w:ascii="Lato" w:hAnsi="Lato"/>
                <w:sz w:val="24"/>
                <w:szCs w:val="24"/>
              </w:rPr>
              <w:t>Review of decisions as per section 84 of the Act – Appeals</w:t>
            </w:r>
          </w:p>
        </w:tc>
        <w:tc>
          <w:tcPr>
            <w:tcW w:w="127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67774E8E" w14:textId="77777777" w:rsidR="005E040D" w:rsidRPr="008B01B8" w:rsidRDefault="005E040D" w:rsidP="00071ED6">
            <w:pPr>
              <w:spacing w:before="60" w:after="60"/>
              <w:jc w:val="center"/>
              <w:rPr>
                <w:rFonts w:ascii="Lato" w:hAnsi="Lato"/>
                <w:sz w:val="24"/>
                <w:szCs w:val="24"/>
              </w:rPr>
            </w:pPr>
            <w:r w:rsidRPr="008B01B8">
              <w:rPr>
                <w:rFonts w:ascii="Lato" w:hAnsi="Lato"/>
                <w:sz w:val="24"/>
                <w:szCs w:val="24"/>
              </w:rPr>
              <w:t>0</w:t>
            </w:r>
          </w:p>
        </w:tc>
        <w:tc>
          <w:tcPr>
            <w:tcW w:w="342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670D7DF1" w14:textId="77777777" w:rsidR="005E040D" w:rsidRPr="004E41BE" w:rsidRDefault="005E040D" w:rsidP="002F15EA">
            <w:pPr>
              <w:spacing w:before="60" w:after="60"/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5E040D" w:rsidRPr="00B30CDA" w14:paraId="1C5E4DC7" w14:textId="77777777" w:rsidTr="003A3587">
        <w:trPr>
          <w:trHeight w:val="684"/>
          <w:jc w:val="center"/>
        </w:trPr>
        <w:tc>
          <w:tcPr>
            <w:tcW w:w="510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65D3C6F1" w14:textId="77777777" w:rsidR="005E040D" w:rsidRPr="00635277" w:rsidRDefault="005E040D" w:rsidP="00635277">
            <w:pPr>
              <w:spacing w:before="60" w:after="60"/>
              <w:ind w:left="251"/>
              <w:rPr>
                <w:rFonts w:ascii="Lato" w:hAnsi="Lato"/>
                <w:sz w:val="24"/>
                <w:szCs w:val="24"/>
              </w:rPr>
            </w:pPr>
            <w:r w:rsidRPr="00635277">
              <w:rPr>
                <w:rFonts w:ascii="Lato" w:hAnsi="Lato"/>
                <w:sz w:val="24"/>
                <w:szCs w:val="24"/>
              </w:rPr>
              <w:t>Review of decisions as per section 85 of the</w:t>
            </w:r>
            <w:r w:rsidR="00635277" w:rsidRPr="00635277">
              <w:rPr>
                <w:rFonts w:ascii="Lato" w:hAnsi="Lato"/>
                <w:sz w:val="24"/>
                <w:szCs w:val="24"/>
              </w:rPr>
              <w:t xml:space="preserve"> Act </w:t>
            </w:r>
            <w:r w:rsidRPr="00635277">
              <w:rPr>
                <w:rFonts w:ascii="Lato" w:hAnsi="Lato"/>
                <w:sz w:val="24"/>
                <w:szCs w:val="24"/>
              </w:rPr>
              <w:t>– Ministerial Intervention</w:t>
            </w:r>
          </w:p>
        </w:tc>
        <w:tc>
          <w:tcPr>
            <w:tcW w:w="127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0883FA60" w14:textId="77777777" w:rsidR="005E040D" w:rsidRPr="008B01B8" w:rsidRDefault="005E040D" w:rsidP="00071ED6">
            <w:pPr>
              <w:spacing w:before="60" w:after="60"/>
              <w:jc w:val="center"/>
              <w:rPr>
                <w:rFonts w:ascii="Lato" w:hAnsi="Lato"/>
                <w:sz w:val="24"/>
                <w:szCs w:val="24"/>
              </w:rPr>
            </w:pPr>
            <w:r w:rsidRPr="008B01B8">
              <w:rPr>
                <w:rFonts w:ascii="Lato" w:hAnsi="Lato"/>
                <w:sz w:val="24"/>
                <w:szCs w:val="24"/>
              </w:rPr>
              <w:t>0</w:t>
            </w:r>
          </w:p>
        </w:tc>
        <w:tc>
          <w:tcPr>
            <w:tcW w:w="342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4A28DACA" w14:textId="77777777" w:rsidR="005E040D" w:rsidRPr="004E41BE" w:rsidRDefault="005E040D" w:rsidP="002F15EA">
            <w:pPr>
              <w:spacing w:before="60" w:after="60"/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5E040D" w:rsidRPr="00B30CDA" w14:paraId="26BBDA43" w14:textId="77777777" w:rsidTr="003A3587">
        <w:trPr>
          <w:trHeight w:val="684"/>
          <w:jc w:val="center"/>
        </w:trPr>
        <w:tc>
          <w:tcPr>
            <w:tcW w:w="510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68DA8F53" w14:textId="77777777" w:rsidR="005E040D" w:rsidRPr="00635277" w:rsidRDefault="005E040D" w:rsidP="00635277">
            <w:pPr>
              <w:spacing w:before="60" w:after="60"/>
              <w:ind w:left="251"/>
              <w:rPr>
                <w:rFonts w:ascii="Lato" w:hAnsi="Lato"/>
                <w:sz w:val="24"/>
                <w:szCs w:val="24"/>
              </w:rPr>
            </w:pPr>
            <w:r w:rsidRPr="00635277">
              <w:rPr>
                <w:rFonts w:ascii="Lato" w:hAnsi="Lato"/>
                <w:sz w:val="24"/>
                <w:szCs w:val="24"/>
              </w:rPr>
              <w:t xml:space="preserve">Dispensations as per section 87(4) of the </w:t>
            </w:r>
            <w:r w:rsidRPr="00635277">
              <w:rPr>
                <w:rFonts w:ascii="Lato" w:hAnsi="Lato"/>
                <w:sz w:val="24"/>
                <w:szCs w:val="24"/>
              </w:rPr>
              <w:br/>
            </w:r>
            <w:r w:rsidR="00635277" w:rsidRPr="00635277">
              <w:rPr>
                <w:rFonts w:ascii="Lato" w:hAnsi="Lato"/>
                <w:sz w:val="24"/>
                <w:szCs w:val="24"/>
              </w:rPr>
              <w:t>Act</w:t>
            </w:r>
          </w:p>
        </w:tc>
        <w:tc>
          <w:tcPr>
            <w:tcW w:w="127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23B960A9" w14:textId="77777777" w:rsidR="005E040D" w:rsidRPr="008B01B8" w:rsidRDefault="005E040D" w:rsidP="00071ED6">
            <w:pPr>
              <w:spacing w:before="60" w:after="60"/>
              <w:jc w:val="center"/>
              <w:rPr>
                <w:rFonts w:ascii="Lato" w:hAnsi="Lato"/>
                <w:sz w:val="24"/>
                <w:szCs w:val="24"/>
              </w:rPr>
            </w:pPr>
            <w:r w:rsidRPr="008B01B8">
              <w:rPr>
                <w:rFonts w:ascii="Lato" w:hAnsi="Lato"/>
                <w:sz w:val="24"/>
                <w:szCs w:val="24"/>
              </w:rPr>
              <w:t>0</w:t>
            </w:r>
          </w:p>
        </w:tc>
        <w:tc>
          <w:tcPr>
            <w:tcW w:w="342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19BDF064" w14:textId="77777777" w:rsidR="005E040D" w:rsidRPr="004E41BE" w:rsidRDefault="005E040D" w:rsidP="002F15EA">
            <w:pPr>
              <w:pStyle w:val="ListParagraph"/>
              <w:spacing w:before="60" w:after="60"/>
              <w:ind w:left="-108"/>
              <w:jc w:val="center"/>
              <w:rPr>
                <w:sz w:val="24"/>
                <w:szCs w:val="24"/>
              </w:rPr>
            </w:pPr>
          </w:p>
        </w:tc>
      </w:tr>
    </w:tbl>
    <w:p w14:paraId="0FB0FD15" w14:textId="5760CDD0" w:rsidR="005E040D" w:rsidRPr="004E41BE" w:rsidRDefault="005E040D" w:rsidP="00635277">
      <w:pPr>
        <w:spacing w:before="360" w:line="360" w:lineRule="auto"/>
        <w:jc w:val="both"/>
        <w:rPr>
          <w:rFonts w:ascii="Lato" w:hAnsi="Lato"/>
        </w:rPr>
      </w:pPr>
      <w:r w:rsidRPr="005559B6">
        <w:rPr>
          <w:rFonts w:ascii="Lato" w:hAnsi="Lato"/>
          <w:sz w:val="24"/>
          <w:szCs w:val="24"/>
        </w:rPr>
        <w:t xml:space="preserve">The Electrical Safety Unit of NT WorkSafe </w:t>
      </w:r>
      <w:r w:rsidR="00D037A9" w:rsidRPr="005559B6">
        <w:rPr>
          <w:rFonts w:ascii="Lato" w:hAnsi="Lato"/>
          <w:sz w:val="24"/>
          <w:szCs w:val="24"/>
        </w:rPr>
        <w:t xml:space="preserve">continued </w:t>
      </w:r>
      <w:r w:rsidRPr="005559B6">
        <w:rPr>
          <w:rFonts w:ascii="Lato" w:hAnsi="Lato"/>
          <w:sz w:val="24"/>
          <w:szCs w:val="24"/>
        </w:rPr>
        <w:t>engage</w:t>
      </w:r>
      <w:r w:rsidR="00D037A9" w:rsidRPr="005559B6">
        <w:rPr>
          <w:rFonts w:ascii="Lato" w:hAnsi="Lato"/>
          <w:sz w:val="24"/>
          <w:szCs w:val="24"/>
        </w:rPr>
        <w:t>ment</w:t>
      </w:r>
      <w:r w:rsidRPr="005559B6">
        <w:rPr>
          <w:rFonts w:ascii="Lato" w:hAnsi="Lato"/>
          <w:sz w:val="24"/>
          <w:szCs w:val="24"/>
        </w:rPr>
        <w:t xml:space="preserve"> throughout 20</w:t>
      </w:r>
      <w:r w:rsidR="006004C3">
        <w:rPr>
          <w:rFonts w:ascii="Lato" w:hAnsi="Lato"/>
          <w:sz w:val="24"/>
          <w:szCs w:val="24"/>
        </w:rPr>
        <w:t>20</w:t>
      </w:r>
      <w:r w:rsidRPr="005559B6">
        <w:rPr>
          <w:rFonts w:ascii="Lato" w:hAnsi="Lato"/>
          <w:sz w:val="24"/>
          <w:szCs w:val="24"/>
        </w:rPr>
        <w:t>-</w:t>
      </w:r>
      <w:r w:rsidR="00411D59">
        <w:rPr>
          <w:rFonts w:ascii="Lato" w:hAnsi="Lato"/>
          <w:sz w:val="24"/>
          <w:szCs w:val="24"/>
        </w:rPr>
        <w:t>20</w:t>
      </w:r>
      <w:r w:rsidR="002B4897">
        <w:rPr>
          <w:rFonts w:ascii="Lato" w:hAnsi="Lato"/>
          <w:sz w:val="24"/>
          <w:szCs w:val="24"/>
        </w:rPr>
        <w:t>2</w:t>
      </w:r>
      <w:r w:rsidR="006004C3">
        <w:rPr>
          <w:rFonts w:ascii="Lato" w:hAnsi="Lato"/>
          <w:sz w:val="24"/>
          <w:szCs w:val="24"/>
        </w:rPr>
        <w:t>1</w:t>
      </w:r>
      <w:r w:rsidRPr="005559B6">
        <w:rPr>
          <w:rFonts w:ascii="Lato" w:hAnsi="Lato"/>
          <w:sz w:val="24"/>
          <w:szCs w:val="24"/>
        </w:rPr>
        <w:t xml:space="preserve"> with Northern Territory electrical contractors regarding implementation of emerging clean and renewable energy technologies.</w:t>
      </w:r>
    </w:p>
    <w:sectPr w:rsidR="005E040D" w:rsidRPr="004E41BE" w:rsidSect="009C4C07">
      <w:footerReference w:type="first" r:id="rId11"/>
      <w:pgSz w:w="11906" w:h="16838" w:code="9"/>
      <w:pgMar w:top="851" w:right="1440" w:bottom="1134" w:left="1440" w:header="1418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7D02" w14:textId="77777777" w:rsidR="00DE59B8" w:rsidRDefault="00DE59B8" w:rsidP="0029081D">
      <w:pPr>
        <w:spacing w:after="0" w:line="240" w:lineRule="auto"/>
      </w:pPr>
      <w:r>
        <w:separator/>
      </w:r>
    </w:p>
  </w:endnote>
  <w:endnote w:type="continuationSeparator" w:id="0">
    <w:p w14:paraId="4F925F38" w14:textId="77777777" w:rsidR="00DE59B8" w:rsidRDefault="00DE59B8" w:rsidP="0029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922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FFD02" w14:textId="12A0E91E" w:rsidR="00E966DF" w:rsidRPr="00407DFB" w:rsidRDefault="00E966DF" w:rsidP="00E966DF">
        <w:pPr>
          <w:pStyle w:val="Footer"/>
          <w:tabs>
            <w:tab w:val="clear" w:pos="9026"/>
            <w:tab w:val="left" w:pos="8647"/>
          </w:tabs>
          <w:spacing w:before="240" w:after="480"/>
        </w:pPr>
        <w:r w:rsidRPr="00C13751">
          <w:rPr>
            <w:rFonts w:ascii="Lato" w:hAnsi="Lato"/>
            <w:noProof/>
            <w:sz w:val="20"/>
            <w:szCs w:val="20"/>
            <w:lang w:eastAsia="en-AU"/>
          </w:rPr>
          <w:drawing>
            <wp:anchor distT="0" distB="0" distL="114300" distR="114300" simplePos="0" relativeHeight="251665408" behindDoc="1" locked="0" layoutInCell="1" allowOverlap="1" wp14:anchorId="7F87AA52" wp14:editId="129E00AE">
              <wp:simplePos x="0" y="0"/>
              <wp:positionH relativeFrom="margin">
                <wp:posOffset>-3248025</wp:posOffset>
              </wp:positionH>
              <wp:positionV relativeFrom="paragraph">
                <wp:posOffset>-770890</wp:posOffset>
              </wp:positionV>
              <wp:extent cx="10734675" cy="2165350"/>
              <wp:effectExtent l="0" t="0" r="0" b="0"/>
              <wp:wrapNone/>
              <wp:docPr id="5" name="Picture 5" descr="Footer geometric image using NT WorkSafe Corporate colours of black, white, orange and dark grey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ddd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34675" cy="2165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13751">
          <w:rPr>
            <w:rFonts w:ascii="Lato" w:hAnsi="Lato"/>
            <w:sz w:val="20"/>
            <w:szCs w:val="20"/>
          </w:rPr>
          <w:t>Electricity Safety Regulator Annual Report 20</w:t>
        </w:r>
        <w:r w:rsidR="005812F3">
          <w:rPr>
            <w:rFonts w:ascii="Lato" w:hAnsi="Lato"/>
            <w:sz w:val="20"/>
            <w:szCs w:val="20"/>
          </w:rPr>
          <w:t>20</w:t>
        </w:r>
        <w:r w:rsidRPr="00C13751">
          <w:rPr>
            <w:rFonts w:ascii="Lato" w:hAnsi="Lato"/>
            <w:sz w:val="20"/>
            <w:szCs w:val="20"/>
          </w:rPr>
          <w:t>-20</w:t>
        </w:r>
        <w:r w:rsidR="002B4897">
          <w:rPr>
            <w:rFonts w:ascii="Lato" w:hAnsi="Lato"/>
            <w:sz w:val="20"/>
            <w:szCs w:val="20"/>
          </w:rPr>
          <w:t>2</w:t>
        </w:r>
        <w:r w:rsidR="005812F3">
          <w:rPr>
            <w:rFonts w:ascii="Lato" w:hAnsi="Lato"/>
            <w:sz w:val="20"/>
            <w:szCs w:val="20"/>
          </w:rPr>
          <w:t>1</w:t>
        </w:r>
        <w:r>
          <w:rPr>
            <w:rFonts w:ascii="Lato" w:hAnsi="Lato"/>
            <w:sz w:val="20"/>
            <w:szCs w:val="20"/>
          </w:rPr>
          <w:t xml:space="preserve"> </w:t>
        </w:r>
        <w:r>
          <w:tab/>
        </w:r>
        <w:r w:rsidRPr="00407DFB">
          <w:fldChar w:fldCharType="begin"/>
        </w:r>
        <w:r w:rsidRPr="00407DFB">
          <w:instrText xml:space="preserve"> PAGE   \* MERGEFORMAT </w:instrText>
        </w:r>
        <w:r w:rsidRPr="00407DFB">
          <w:fldChar w:fldCharType="separate"/>
        </w:r>
        <w:r w:rsidR="001E4160">
          <w:rPr>
            <w:noProof/>
          </w:rPr>
          <w:t>6</w:t>
        </w:r>
        <w:r w:rsidRPr="00407DFB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763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780F5" w14:textId="77777777" w:rsidR="00E966DF" w:rsidRDefault="0029081D" w:rsidP="00E966DF">
        <w:pPr>
          <w:pStyle w:val="Footer"/>
        </w:pPr>
        <w:r w:rsidRPr="00C13751">
          <w:rPr>
            <w:rFonts w:ascii="Lato" w:hAnsi="Lato"/>
            <w:noProof/>
            <w:sz w:val="20"/>
            <w:szCs w:val="20"/>
            <w:lang w:eastAsia="en-AU"/>
          </w:rPr>
          <w:drawing>
            <wp:anchor distT="0" distB="0" distL="114300" distR="114300" simplePos="0" relativeHeight="251666432" behindDoc="1" locked="0" layoutInCell="1" allowOverlap="1" wp14:anchorId="528CD479" wp14:editId="7FC007CF">
              <wp:simplePos x="0" y="0"/>
              <wp:positionH relativeFrom="margin">
                <wp:posOffset>-3255645</wp:posOffset>
              </wp:positionH>
              <wp:positionV relativeFrom="paragraph">
                <wp:posOffset>-862330</wp:posOffset>
              </wp:positionV>
              <wp:extent cx="10734675" cy="2165350"/>
              <wp:effectExtent l="0" t="0" r="0" b="0"/>
              <wp:wrapNone/>
              <wp:docPr id="4" name="Picture 4" descr="NT WorkSafe and Northern Territory Government log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ddd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34675" cy="2165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13751">
          <w:rPr>
            <w:rFonts w:ascii="Lato" w:hAnsi="Lato"/>
            <w:sz w:val="20"/>
            <w:szCs w:val="20"/>
          </w:rPr>
          <w:t>Electricity Safety Regulator Annual Report 2016-2017</w:t>
        </w:r>
      </w:p>
      <w:p w14:paraId="758B0706" w14:textId="1AC247B9" w:rsidR="0029081D" w:rsidRPr="00407DFB" w:rsidRDefault="0029081D" w:rsidP="0029081D">
        <w:pPr>
          <w:pStyle w:val="Footer"/>
          <w:tabs>
            <w:tab w:val="clear" w:pos="9026"/>
            <w:tab w:val="right" w:pos="9214"/>
          </w:tabs>
        </w:pPr>
        <w:r w:rsidRPr="00407DFB">
          <w:fldChar w:fldCharType="begin"/>
        </w:r>
        <w:r w:rsidRPr="00407DFB">
          <w:instrText xml:space="preserve"> PAGE   \* MERGEFORMAT </w:instrText>
        </w:r>
        <w:r w:rsidRPr="00407DFB">
          <w:fldChar w:fldCharType="separate"/>
        </w:r>
        <w:r w:rsidR="00003FF3">
          <w:rPr>
            <w:noProof/>
          </w:rPr>
          <w:t>1</w:t>
        </w:r>
        <w:r w:rsidRPr="00407DFB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166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940EDE" w14:textId="3EADBB03" w:rsidR="00D0174A" w:rsidRPr="00407DFB" w:rsidRDefault="00D0174A" w:rsidP="00E966DF">
        <w:pPr>
          <w:pStyle w:val="Footer"/>
          <w:tabs>
            <w:tab w:val="clear" w:pos="9026"/>
            <w:tab w:val="left" w:pos="8647"/>
          </w:tabs>
          <w:spacing w:after="480"/>
        </w:pPr>
        <w:r w:rsidRPr="00C13751">
          <w:rPr>
            <w:rFonts w:ascii="Lato" w:hAnsi="Lato"/>
            <w:noProof/>
            <w:sz w:val="20"/>
            <w:szCs w:val="20"/>
            <w:lang w:eastAsia="en-AU"/>
          </w:rPr>
          <w:drawing>
            <wp:anchor distT="0" distB="0" distL="114300" distR="114300" simplePos="0" relativeHeight="251663360" behindDoc="1" locked="0" layoutInCell="1" allowOverlap="1" wp14:anchorId="04F898F3" wp14:editId="5010426C">
              <wp:simplePos x="0" y="0"/>
              <wp:positionH relativeFrom="margin">
                <wp:posOffset>-3248025</wp:posOffset>
              </wp:positionH>
              <wp:positionV relativeFrom="paragraph">
                <wp:posOffset>-923290</wp:posOffset>
              </wp:positionV>
              <wp:extent cx="10734675" cy="2165350"/>
              <wp:effectExtent l="0" t="0" r="0" b="0"/>
              <wp:wrapNone/>
              <wp:docPr id="1" name="Picture 1" descr="Footer geometric image using NT WorkSafe Corporate colours of black, white, orange and dark grey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ddd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34675" cy="2165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13751">
          <w:rPr>
            <w:rFonts w:ascii="Lato" w:hAnsi="Lato"/>
            <w:sz w:val="20"/>
            <w:szCs w:val="20"/>
          </w:rPr>
          <w:t>Electricity Safety Regulator Annual Report 2</w:t>
        </w:r>
        <w:r w:rsidR="002B4897">
          <w:rPr>
            <w:rFonts w:ascii="Lato" w:hAnsi="Lato"/>
            <w:sz w:val="20"/>
            <w:szCs w:val="20"/>
          </w:rPr>
          <w:t>0</w:t>
        </w:r>
        <w:r w:rsidR="005812F3">
          <w:rPr>
            <w:rFonts w:ascii="Lato" w:hAnsi="Lato"/>
            <w:sz w:val="20"/>
            <w:szCs w:val="20"/>
          </w:rPr>
          <w:t>20-2021</w:t>
        </w:r>
        <w:r w:rsidR="00E966DF">
          <w:tab/>
        </w:r>
        <w:r w:rsidRPr="00407DFB">
          <w:fldChar w:fldCharType="begin"/>
        </w:r>
        <w:r w:rsidRPr="00407DFB">
          <w:instrText xml:space="preserve"> PAGE   \* MERGEFORMAT </w:instrText>
        </w:r>
        <w:r w:rsidRPr="00407DFB">
          <w:fldChar w:fldCharType="separate"/>
        </w:r>
        <w:r w:rsidR="00003FF3">
          <w:rPr>
            <w:noProof/>
          </w:rPr>
          <w:t>2</w:t>
        </w:r>
        <w:r w:rsidRPr="00407DF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D1809" w14:textId="77777777" w:rsidR="00DE59B8" w:rsidRDefault="00DE59B8" w:rsidP="0029081D">
      <w:pPr>
        <w:spacing w:after="0" w:line="240" w:lineRule="auto"/>
      </w:pPr>
      <w:r>
        <w:separator/>
      </w:r>
    </w:p>
  </w:footnote>
  <w:footnote w:type="continuationSeparator" w:id="0">
    <w:p w14:paraId="11114E19" w14:textId="77777777" w:rsidR="00DE59B8" w:rsidRDefault="00DE59B8" w:rsidP="00290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695"/>
    <w:multiLevelType w:val="hybridMultilevel"/>
    <w:tmpl w:val="54C0B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18EA"/>
    <w:multiLevelType w:val="hybridMultilevel"/>
    <w:tmpl w:val="DAF6C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3291D"/>
    <w:multiLevelType w:val="hybridMultilevel"/>
    <w:tmpl w:val="CC08D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06866"/>
    <w:multiLevelType w:val="hybridMultilevel"/>
    <w:tmpl w:val="CC4AB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F3D31"/>
    <w:multiLevelType w:val="hybridMultilevel"/>
    <w:tmpl w:val="6A687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912A0"/>
    <w:multiLevelType w:val="hybridMultilevel"/>
    <w:tmpl w:val="5C6E6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11059"/>
    <w:multiLevelType w:val="hybridMultilevel"/>
    <w:tmpl w:val="9956E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06725"/>
    <w:multiLevelType w:val="hybridMultilevel"/>
    <w:tmpl w:val="A6661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20535"/>
    <w:multiLevelType w:val="hybridMultilevel"/>
    <w:tmpl w:val="EAF09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10F99"/>
    <w:multiLevelType w:val="hybridMultilevel"/>
    <w:tmpl w:val="BAE2196A"/>
    <w:lvl w:ilvl="0" w:tplc="EDC2A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7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720F8"/>
    <w:multiLevelType w:val="hybridMultilevel"/>
    <w:tmpl w:val="FC1A351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E14315F"/>
    <w:multiLevelType w:val="hybridMultilevel"/>
    <w:tmpl w:val="8F38C9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5618AE"/>
    <w:multiLevelType w:val="hybridMultilevel"/>
    <w:tmpl w:val="E17C1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tLDtuu4zlmifmmHVkmZ08PMRpt4qaooDxz17HXyFlMkY4Wcuk3nf9jWSF7vnbfNfzvpDsbCiaYMolahKUIeDA==" w:salt="ENVDD9VTqmaXymhIdff8y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F7"/>
    <w:rsid w:val="00003FF3"/>
    <w:rsid w:val="000414A6"/>
    <w:rsid w:val="000511A8"/>
    <w:rsid w:val="000774BA"/>
    <w:rsid w:val="0008021B"/>
    <w:rsid w:val="000A7200"/>
    <w:rsid w:val="000B3E54"/>
    <w:rsid w:val="000F7ABA"/>
    <w:rsid w:val="00100A69"/>
    <w:rsid w:val="001130E6"/>
    <w:rsid w:val="001527EA"/>
    <w:rsid w:val="00184D2F"/>
    <w:rsid w:val="001944AD"/>
    <w:rsid w:val="00194AF5"/>
    <w:rsid w:val="001E4160"/>
    <w:rsid w:val="00203F4E"/>
    <w:rsid w:val="00231457"/>
    <w:rsid w:val="002536F7"/>
    <w:rsid w:val="002555F8"/>
    <w:rsid w:val="002623E3"/>
    <w:rsid w:val="0029081D"/>
    <w:rsid w:val="002A7E18"/>
    <w:rsid w:val="002B0C66"/>
    <w:rsid w:val="002B4897"/>
    <w:rsid w:val="002B61F7"/>
    <w:rsid w:val="002C36BE"/>
    <w:rsid w:val="002F15EA"/>
    <w:rsid w:val="002F411F"/>
    <w:rsid w:val="003420C9"/>
    <w:rsid w:val="00356CE3"/>
    <w:rsid w:val="003633D0"/>
    <w:rsid w:val="003818E0"/>
    <w:rsid w:val="003A13C4"/>
    <w:rsid w:val="003A3587"/>
    <w:rsid w:val="003E2C90"/>
    <w:rsid w:val="00411B0F"/>
    <w:rsid w:val="00411D59"/>
    <w:rsid w:val="00455685"/>
    <w:rsid w:val="00455D78"/>
    <w:rsid w:val="00474938"/>
    <w:rsid w:val="00480239"/>
    <w:rsid w:val="004B271A"/>
    <w:rsid w:val="004E41BE"/>
    <w:rsid w:val="00524E58"/>
    <w:rsid w:val="00525B00"/>
    <w:rsid w:val="00532A92"/>
    <w:rsid w:val="005559B6"/>
    <w:rsid w:val="00563E87"/>
    <w:rsid w:val="00565D6F"/>
    <w:rsid w:val="005705F1"/>
    <w:rsid w:val="005803F5"/>
    <w:rsid w:val="005812F3"/>
    <w:rsid w:val="00585E4A"/>
    <w:rsid w:val="0058728E"/>
    <w:rsid w:val="005958B9"/>
    <w:rsid w:val="005A395D"/>
    <w:rsid w:val="005A3DC7"/>
    <w:rsid w:val="005A4878"/>
    <w:rsid w:val="005A5E92"/>
    <w:rsid w:val="005B344D"/>
    <w:rsid w:val="005D24CE"/>
    <w:rsid w:val="005E040D"/>
    <w:rsid w:val="005F37FC"/>
    <w:rsid w:val="006004C3"/>
    <w:rsid w:val="006206FF"/>
    <w:rsid w:val="0063277C"/>
    <w:rsid w:val="00635277"/>
    <w:rsid w:val="00643C99"/>
    <w:rsid w:val="0068658F"/>
    <w:rsid w:val="006B14F6"/>
    <w:rsid w:val="006B7154"/>
    <w:rsid w:val="006D5471"/>
    <w:rsid w:val="006D6593"/>
    <w:rsid w:val="00702A09"/>
    <w:rsid w:val="00711793"/>
    <w:rsid w:val="007545D6"/>
    <w:rsid w:val="00773AF8"/>
    <w:rsid w:val="00790C59"/>
    <w:rsid w:val="007C3F18"/>
    <w:rsid w:val="00823616"/>
    <w:rsid w:val="008245B1"/>
    <w:rsid w:val="008276AD"/>
    <w:rsid w:val="00886D9F"/>
    <w:rsid w:val="008941F1"/>
    <w:rsid w:val="008A4616"/>
    <w:rsid w:val="008B01B8"/>
    <w:rsid w:val="008B7BBE"/>
    <w:rsid w:val="008E667B"/>
    <w:rsid w:val="008F4F15"/>
    <w:rsid w:val="009055D4"/>
    <w:rsid w:val="00910050"/>
    <w:rsid w:val="0091646C"/>
    <w:rsid w:val="0092694E"/>
    <w:rsid w:val="00931173"/>
    <w:rsid w:val="0093688E"/>
    <w:rsid w:val="0094138E"/>
    <w:rsid w:val="00941F50"/>
    <w:rsid w:val="0099261A"/>
    <w:rsid w:val="009A02BA"/>
    <w:rsid w:val="009C4C07"/>
    <w:rsid w:val="009D1ECE"/>
    <w:rsid w:val="00A01ADA"/>
    <w:rsid w:val="00A50F8C"/>
    <w:rsid w:val="00A524AE"/>
    <w:rsid w:val="00A6595A"/>
    <w:rsid w:val="00AA0F02"/>
    <w:rsid w:val="00AA6AD8"/>
    <w:rsid w:val="00AA7671"/>
    <w:rsid w:val="00AD5810"/>
    <w:rsid w:val="00AF76AE"/>
    <w:rsid w:val="00B41CF6"/>
    <w:rsid w:val="00B53D7C"/>
    <w:rsid w:val="00B93B45"/>
    <w:rsid w:val="00BB0D8F"/>
    <w:rsid w:val="00BF4896"/>
    <w:rsid w:val="00C06A97"/>
    <w:rsid w:val="00C13751"/>
    <w:rsid w:val="00C71815"/>
    <w:rsid w:val="00C84F59"/>
    <w:rsid w:val="00CB5D7C"/>
    <w:rsid w:val="00CD4591"/>
    <w:rsid w:val="00CF35B7"/>
    <w:rsid w:val="00D0174A"/>
    <w:rsid w:val="00D037A9"/>
    <w:rsid w:val="00D2215A"/>
    <w:rsid w:val="00D22BC4"/>
    <w:rsid w:val="00D51976"/>
    <w:rsid w:val="00D56826"/>
    <w:rsid w:val="00D713EC"/>
    <w:rsid w:val="00D804E9"/>
    <w:rsid w:val="00D92AFA"/>
    <w:rsid w:val="00DA79B3"/>
    <w:rsid w:val="00DD7A7A"/>
    <w:rsid w:val="00DE0F82"/>
    <w:rsid w:val="00DE4041"/>
    <w:rsid w:val="00DE59B8"/>
    <w:rsid w:val="00DF6E24"/>
    <w:rsid w:val="00E12988"/>
    <w:rsid w:val="00E13B5D"/>
    <w:rsid w:val="00E3273B"/>
    <w:rsid w:val="00E43184"/>
    <w:rsid w:val="00E4709D"/>
    <w:rsid w:val="00E61105"/>
    <w:rsid w:val="00E63DD8"/>
    <w:rsid w:val="00E72B3B"/>
    <w:rsid w:val="00E75FD0"/>
    <w:rsid w:val="00E81AC8"/>
    <w:rsid w:val="00E86DE7"/>
    <w:rsid w:val="00E966DF"/>
    <w:rsid w:val="00E97E2E"/>
    <w:rsid w:val="00ED2DFE"/>
    <w:rsid w:val="00ED5169"/>
    <w:rsid w:val="00EE054E"/>
    <w:rsid w:val="00EE4EED"/>
    <w:rsid w:val="00EE69D2"/>
    <w:rsid w:val="00F31BB9"/>
    <w:rsid w:val="00F329B2"/>
    <w:rsid w:val="00F54107"/>
    <w:rsid w:val="00F77B9D"/>
    <w:rsid w:val="00F809DB"/>
    <w:rsid w:val="00F86971"/>
    <w:rsid w:val="00F9649F"/>
    <w:rsid w:val="00FB4B38"/>
    <w:rsid w:val="00FE338E"/>
    <w:rsid w:val="00FE7423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FA69E"/>
  <w15:chartTrackingRefBased/>
  <w15:docId w15:val="{27E887EC-6760-431A-A1CE-6E225F83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E13B5D"/>
    <w:pPr>
      <w:spacing w:before="240" w:after="200" w:line="240" w:lineRule="auto"/>
      <w:outlineLvl w:val="0"/>
    </w:pPr>
    <w:rPr>
      <w:rFonts w:ascii="Lato Black" w:eastAsiaTheme="majorEastAsia" w:hAnsi="Lato Black" w:cstheme="majorBidi"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455D78"/>
    <w:pPr>
      <w:spacing w:before="360" w:after="200" w:line="240" w:lineRule="auto"/>
      <w:outlineLvl w:val="1"/>
    </w:pPr>
    <w:rPr>
      <w:rFonts w:ascii="Lato Black" w:eastAsiaTheme="majorEastAsia" w:hAnsi="Lato Black" w:cstheme="majorBidi"/>
      <w:bCs/>
      <w:color w:val="DB7310"/>
      <w:kern w:val="32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9"/>
    <w:unhideWhenUsed/>
    <w:qFormat/>
    <w:rsid w:val="00455D78"/>
    <w:pPr>
      <w:keepNext/>
      <w:spacing w:before="360" w:after="240" w:line="240" w:lineRule="auto"/>
      <w:outlineLvl w:val="2"/>
    </w:pPr>
    <w:rPr>
      <w:rFonts w:ascii="Lato" w:eastAsiaTheme="majorEastAsia" w:hAnsi="Lato" w:cstheme="majorBidi"/>
      <w:b/>
      <w:bCs/>
      <w:color w:val="808080" w:themeColor="background1" w:themeShade="80"/>
      <w:kern w:val="32"/>
      <w:sz w:val="28"/>
      <w:szCs w:val="24"/>
      <w:lang w:eastAsia="en-AU"/>
    </w:rPr>
  </w:style>
  <w:style w:type="paragraph" w:styleId="Heading4">
    <w:name w:val="heading 4"/>
    <w:next w:val="Normal"/>
    <w:link w:val="Heading4Char"/>
    <w:uiPriority w:val="9"/>
    <w:unhideWhenUsed/>
    <w:qFormat/>
    <w:rsid w:val="00E13B5D"/>
    <w:pPr>
      <w:spacing w:before="360" w:after="200" w:line="240" w:lineRule="auto"/>
      <w:outlineLvl w:val="3"/>
    </w:pPr>
    <w:rPr>
      <w:rFonts w:ascii="Lato Black" w:eastAsiaTheme="majorEastAsia" w:hAnsi="Lato Black" w:cstheme="majorBidi"/>
      <w:bCs/>
      <w:color w:val="606060"/>
      <w:kern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B5D"/>
    <w:rPr>
      <w:rFonts w:ascii="Lato Black" w:eastAsiaTheme="majorEastAsia" w:hAnsi="Lato Black" w:cstheme="majorBidi"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55D78"/>
    <w:rPr>
      <w:rFonts w:ascii="Lato Black" w:eastAsiaTheme="majorEastAsia" w:hAnsi="Lato Black" w:cstheme="majorBidi"/>
      <w:bCs/>
      <w:color w:val="DB7310"/>
      <w:kern w:val="3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455D78"/>
    <w:rPr>
      <w:rFonts w:ascii="Lato" w:eastAsiaTheme="majorEastAsia" w:hAnsi="Lato" w:cstheme="majorBidi"/>
      <w:b/>
      <w:bCs/>
      <w:color w:val="808080" w:themeColor="background1" w:themeShade="80"/>
      <w:kern w:val="32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E13B5D"/>
    <w:rPr>
      <w:rFonts w:ascii="Lato Black" w:eastAsiaTheme="majorEastAsia" w:hAnsi="Lato Black" w:cstheme="majorBidi"/>
      <w:bCs/>
      <w:color w:val="606060"/>
      <w:kern w:val="32"/>
      <w:lang w:eastAsia="en-AU"/>
    </w:rPr>
  </w:style>
  <w:style w:type="paragraph" w:customStyle="1" w:styleId="Subheading">
    <w:name w:val="Subheading"/>
    <w:uiPriority w:val="99"/>
    <w:rsid w:val="00E13B5D"/>
    <w:pPr>
      <w:spacing w:before="360" w:after="360" w:line="240" w:lineRule="auto"/>
    </w:pPr>
    <w:rPr>
      <w:rFonts w:ascii="Lato Black" w:eastAsia="Times New Roman" w:hAnsi="Lato Black" w:cs="Arial"/>
      <w:color w:val="CB6015"/>
      <w:sz w:val="36"/>
      <w:szCs w:val="36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E13B5D"/>
    <w:pPr>
      <w:spacing w:after="200" w:line="240" w:lineRule="auto"/>
      <w:ind w:left="720"/>
      <w:contextualSpacing/>
    </w:pPr>
    <w:rPr>
      <w:rFonts w:ascii="Lato" w:eastAsia="Times New Roman" w:hAnsi="Lato" w:cs="Times New Roman"/>
      <w:szCs w:val="20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DE0F82"/>
    <w:pPr>
      <w:keepNext/>
      <w:keepLines/>
      <w:spacing w:after="0" w:line="259" w:lineRule="auto"/>
      <w:outlineLvl w:val="9"/>
    </w:pPr>
    <w:rPr>
      <w:rFonts w:asciiTheme="majorHAnsi" w:hAnsiTheme="majorHAnsi"/>
      <w:bCs w:val="0"/>
      <w:color w:val="2E74B5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E0F8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E0F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E0F8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E0F8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F411F"/>
    <w:pPr>
      <w:spacing w:before="120" w:after="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411F"/>
    <w:rPr>
      <w:rFonts w:ascii="Arial" w:eastAsiaTheme="majorEastAsia" w:hAnsi="Arial" w:cstheme="majorBidi"/>
      <w:b/>
      <w:color w:val="FFFFFF" w:themeColor="background1"/>
      <w:spacing w:val="-10"/>
      <w:kern w:val="28"/>
      <w:sz w:val="64"/>
      <w:szCs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2F411F"/>
    <w:pPr>
      <w:numPr>
        <w:ilvl w:val="1"/>
      </w:numPr>
    </w:pPr>
    <w:rPr>
      <w:rFonts w:eastAsiaTheme="minorEastAsia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F411F"/>
    <w:rPr>
      <w:rFonts w:ascii="Arial" w:eastAsiaTheme="minorEastAsia" w:hAnsi="Arial" w:cstheme="majorBidi"/>
      <w:b/>
      <w:color w:val="FFFFFF" w:themeColor="background1"/>
      <w:spacing w:val="15"/>
      <w:kern w:val="28"/>
      <w:sz w:val="48"/>
      <w:szCs w:val="56"/>
    </w:rPr>
  </w:style>
  <w:style w:type="paragraph" w:styleId="Header">
    <w:name w:val="header"/>
    <w:basedOn w:val="Normal"/>
    <w:link w:val="HeaderChar"/>
    <w:uiPriority w:val="99"/>
    <w:unhideWhenUsed/>
    <w:rsid w:val="00290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81D"/>
  </w:style>
  <w:style w:type="paragraph" w:styleId="Footer">
    <w:name w:val="footer"/>
    <w:basedOn w:val="Normal"/>
    <w:link w:val="FooterChar"/>
    <w:uiPriority w:val="99"/>
    <w:unhideWhenUsed/>
    <w:rsid w:val="00290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81D"/>
  </w:style>
  <w:style w:type="paragraph" w:styleId="BalloonText">
    <w:name w:val="Balloon Text"/>
    <w:basedOn w:val="Normal"/>
    <w:link w:val="BalloonTextChar"/>
    <w:uiPriority w:val="99"/>
    <w:semiHidden/>
    <w:unhideWhenUsed/>
    <w:rsid w:val="005A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9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03F4E"/>
    <w:rPr>
      <w:rFonts w:ascii="Lato" w:eastAsia="Times New Roman" w:hAnsi="Lato" w:cs="Times New Roman"/>
      <w:szCs w:val="20"/>
      <w:lang w:eastAsia="en-AU"/>
    </w:rPr>
  </w:style>
  <w:style w:type="paragraph" w:customStyle="1" w:styleId="NormalItalics">
    <w:name w:val="NormalItalics"/>
    <w:basedOn w:val="Normal"/>
    <w:rsid w:val="00F9649F"/>
    <w:pPr>
      <w:spacing w:before="100" w:beforeAutospacing="1" w:after="100" w:afterAutospacing="1" w:line="240" w:lineRule="auto"/>
    </w:pPr>
    <w:rPr>
      <w:rFonts w:ascii="Arial" w:eastAsia="Times New Roman" w:hAnsi="Arial" w:cs="Times New Roman"/>
      <w:i/>
      <w:iCs/>
      <w:lang w:eastAsia="en-AU"/>
    </w:rPr>
  </w:style>
  <w:style w:type="character" w:customStyle="1" w:styleId="InstructionText">
    <w:name w:val="Instruction Text"/>
    <w:qFormat/>
    <w:rsid w:val="00F9649F"/>
    <w:rPr>
      <w:i/>
      <w:color w:val="0070C0"/>
    </w:rPr>
  </w:style>
  <w:style w:type="character" w:styleId="CommentReference">
    <w:name w:val="annotation reference"/>
    <w:basedOn w:val="DefaultParagraphFont"/>
    <w:uiPriority w:val="99"/>
    <w:semiHidden/>
    <w:unhideWhenUsed/>
    <w:rsid w:val="00823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6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6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20392-BC4A-4ADF-A904-D0B00D97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1519</Words>
  <Characters>8664</Characters>
  <Application>Microsoft Office Word</Application>
  <DocSecurity>8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Hall</dc:creator>
  <cp:keywords/>
  <dc:description/>
  <cp:lastModifiedBy>Peter Chan</cp:lastModifiedBy>
  <cp:revision>9</cp:revision>
  <cp:lastPrinted>2020-09-09T02:54:00Z</cp:lastPrinted>
  <dcterms:created xsi:type="dcterms:W3CDTF">2022-01-12T03:37:00Z</dcterms:created>
  <dcterms:modified xsi:type="dcterms:W3CDTF">2022-01-12T23:53:00Z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155255023</vt:i4>
  </property>
</Properties>
</file>