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5C" w:rsidRPr="00107241" w:rsidRDefault="00267016" w:rsidP="004B3CB9">
      <w:pPr>
        <w:spacing w:before="120" w:after="480" w:line="240" w:lineRule="auto"/>
        <w:rPr>
          <w:rFonts w:ascii="Lato Heavy" w:hAnsi="Lato Heavy"/>
          <w:sz w:val="72"/>
          <w:szCs w:val="48"/>
        </w:rPr>
      </w:pPr>
      <w:r w:rsidRPr="0009033F">
        <w:rPr>
          <w:rFonts w:ascii="Lato Heavy" w:hAnsi="Lato Heavy"/>
          <w:sz w:val="72"/>
          <w:szCs w:val="48"/>
        </w:rPr>
        <w:t>Power</w:t>
      </w:r>
      <w:r w:rsidRPr="00107241">
        <w:rPr>
          <w:rFonts w:ascii="Lato Heavy" w:hAnsi="Lato Heavy"/>
          <w:sz w:val="72"/>
          <w:szCs w:val="48"/>
        </w:rPr>
        <w:t xml:space="preserve"> tool battery fires</w:t>
      </w:r>
    </w:p>
    <w:p w:rsidR="004D147C" w:rsidRDefault="00267016" w:rsidP="0092581B">
      <w:pPr>
        <w:spacing w:after="200" w:line="240" w:lineRule="auto"/>
        <w:rPr>
          <w:rFonts w:ascii="Lato" w:hAnsi="Lato"/>
        </w:rPr>
      </w:pPr>
      <w:r w:rsidRPr="00267016">
        <w:rPr>
          <w:rFonts w:ascii="Lato" w:hAnsi="Lato"/>
        </w:rPr>
        <w:t>The purpose of this Safety Alert is to highlight the risk of fires in vehicles and structures caused by the catastrophic failure of lithium-ion power tool batteries.</w:t>
      </w:r>
      <w:r w:rsidR="0092581B">
        <w:rPr>
          <w:rFonts w:ascii="Lato" w:hAnsi="Lato"/>
        </w:rPr>
        <w:t xml:space="preserve">  </w:t>
      </w:r>
    </w:p>
    <w:p w:rsidR="00C21834" w:rsidRDefault="00236589" w:rsidP="0092581B">
      <w:pPr>
        <w:spacing w:after="200" w:line="240" w:lineRule="auto"/>
        <w:rPr>
          <w:rFonts w:ascii="Lato" w:hAnsi="Lato"/>
        </w:rPr>
      </w:pPr>
      <w:r>
        <w:rPr>
          <w:rFonts w:ascii="Lato" w:hAnsi="Lato"/>
        </w:rPr>
        <w:t>Lithium-ion batteries are sensitive to temperature, and flammable.  They</w:t>
      </w:r>
      <w:r w:rsidR="0092581B">
        <w:rPr>
          <w:rFonts w:ascii="Lato" w:hAnsi="Lato"/>
        </w:rPr>
        <w:t xml:space="preserve"> are a serious safety risk </w:t>
      </w:r>
      <w:r>
        <w:rPr>
          <w:rFonts w:ascii="Lato" w:hAnsi="Lato"/>
        </w:rPr>
        <w:t xml:space="preserve">to health and safety </w:t>
      </w:r>
      <w:r w:rsidR="0092581B">
        <w:rPr>
          <w:rFonts w:ascii="Lato" w:hAnsi="Lato"/>
        </w:rPr>
        <w:t>if used</w:t>
      </w:r>
      <w:r>
        <w:rPr>
          <w:rFonts w:ascii="Lato" w:hAnsi="Lato"/>
        </w:rPr>
        <w:t>, transported</w:t>
      </w:r>
      <w:r w:rsidR="0092581B">
        <w:rPr>
          <w:rFonts w:ascii="Lato" w:hAnsi="Lato"/>
        </w:rPr>
        <w:t xml:space="preserve"> or </w:t>
      </w:r>
      <w:r>
        <w:rPr>
          <w:rFonts w:ascii="Lato" w:hAnsi="Lato"/>
        </w:rPr>
        <w:t>stored</w:t>
      </w:r>
      <w:r w:rsidR="0092581B">
        <w:rPr>
          <w:rFonts w:ascii="Lato" w:hAnsi="Lato"/>
        </w:rPr>
        <w:t xml:space="preserve"> incorrectly.  Businesses </w:t>
      </w:r>
      <w:r>
        <w:rPr>
          <w:rFonts w:ascii="Lato" w:hAnsi="Lato"/>
        </w:rPr>
        <w:t xml:space="preserve">using </w:t>
      </w:r>
      <w:r w:rsidR="0092581B">
        <w:rPr>
          <w:rFonts w:ascii="Lato" w:hAnsi="Lato"/>
        </w:rPr>
        <w:t xml:space="preserve">lithium-ion powered devices </w:t>
      </w:r>
      <w:r>
        <w:rPr>
          <w:rFonts w:ascii="Lato" w:hAnsi="Lato"/>
        </w:rPr>
        <w:t>are urged to m</w:t>
      </w:r>
      <w:r w:rsidR="0092581B">
        <w:rPr>
          <w:rFonts w:ascii="Lato" w:hAnsi="Lato"/>
        </w:rPr>
        <w:t xml:space="preserve">ake sure their workers are provided with </w:t>
      </w:r>
      <w:r w:rsidR="0092581B" w:rsidRPr="0092581B">
        <w:rPr>
          <w:rFonts w:ascii="Lato" w:hAnsi="Lato"/>
        </w:rPr>
        <w:t xml:space="preserve">information, training, </w:t>
      </w:r>
      <w:r w:rsidR="0092581B">
        <w:rPr>
          <w:rFonts w:ascii="Lato" w:hAnsi="Lato"/>
        </w:rPr>
        <w:t xml:space="preserve">and </w:t>
      </w:r>
      <w:r w:rsidR="0092581B" w:rsidRPr="0092581B">
        <w:rPr>
          <w:rFonts w:ascii="Lato" w:hAnsi="Lato"/>
        </w:rPr>
        <w:t xml:space="preserve">instruction to </w:t>
      </w:r>
      <w:r>
        <w:rPr>
          <w:rFonts w:ascii="Lato" w:hAnsi="Lato"/>
        </w:rPr>
        <w:t xml:space="preserve">minimise the risk of </w:t>
      </w:r>
      <w:r w:rsidR="0092581B" w:rsidRPr="0092581B">
        <w:rPr>
          <w:rFonts w:ascii="Lato" w:hAnsi="Lato"/>
        </w:rPr>
        <w:t>flash burns</w:t>
      </w:r>
      <w:r w:rsidR="0092581B">
        <w:rPr>
          <w:rFonts w:ascii="Lato" w:hAnsi="Lato"/>
        </w:rPr>
        <w:t xml:space="preserve">, </w:t>
      </w:r>
      <w:r w:rsidR="0092581B" w:rsidRPr="0092581B">
        <w:rPr>
          <w:rFonts w:ascii="Lato" w:hAnsi="Lato"/>
        </w:rPr>
        <w:t>explosion</w:t>
      </w:r>
      <w:r w:rsidR="0092581B">
        <w:rPr>
          <w:rFonts w:ascii="Lato" w:hAnsi="Lato"/>
        </w:rPr>
        <w:t xml:space="preserve">, </w:t>
      </w:r>
      <w:r>
        <w:rPr>
          <w:rFonts w:ascii="Lato" w:hAnsi="Lato"/>
        </w:rPr>
        <w:t xml:space="preserve">and </w:t>
      </w:r>
      <w:r w:rsidR="0092581B" w:rsidRPr="0092581B">
        <w:rPr>
          <w:rFonts w:ascii="Lato" w:hAnsi="Lato"/>
        </w:rPr>
        <w:t>exposure to hazardous chemicals.</w:t>
      </w:r>
    </w:p>
    <w:p w:rsidR="00B813BD" w:rsidRPr="00293F73" w:rsidRDefault="00B813BD" w:rsidP="00455EFF">
      <w:pPr>
        <w:spacing w:before="240" w:after="120" w:line="240" w:lineRule="auto"/>
        <w:rPr>
          <w:rFonts w:ascii="Lato Heavy" w:hAnsi="Lato Heavy"/>
          <w:sz w:val="36"/>
          <w:szCs w:val="48"/>
        </w:rPr>
      </w:pPr>
      <w:r w:rsidRPr="00293F73">
        <w:rPr>
          <w:rFonts w:ascii="Lato Heavy" w:hAnsi="Lato Heavy"/>
          <w:sz w:val="36"/>
          <w:szCs w:val="48"/>
        </w:rPr>
        <w:t>Background</w:t>
      </w:r>
    </w:p>
    <w:p w:rsidR="004D147C" w:rsidRDefault="00236589" w:rsidP="001A29FC">
      <w:pPr>
        <w:spacing w:after="200" w:line="240" w:lineRule="auto"/>
        <w:rPr>
          <w:rFonts w:ascii="Lato" w:hAnsi="Lato"/>
        </w:rPr>
      </w:pPr>
      <w:r>
        <w:rPr>
          <w:rFonts w:ascii="Lato" w:hAnsi="Lato"/>
        </w:rPr>
        <w:t>On</w:t>
      </w:r>
      <w:r w:rsidR="00267016">
        <w:rPr>
          <w:rFonts w:ascii="Lato" w:hAnsi="Lato"/>
        </w:rPr>
        <w:t xml:space="preserve"> the afternoon</w:t>
      </w:r>
      <w:r w:rsidR="00267016" w:rsidRPr="00267016">
        <w:rPr>
          <w:rFonts w:ascii="Lato" w:hAnsi="Lato"/>
        </w:rPr>
        <w:t xml:space="preserve"> </w:t>
      </w:r>
      <w:r>
        <w:rPr>
          <w:rFonts w:ascii="Lato" w:hAnsi="Lato"/>
        </w:rPr>
        <w:t xml:space="preserve">of </w:t>
      </w:r>
      <w:r w:rsidR="00267016" w:rsidRPr="00267016">
        <w:rPr>
          <w:rFonts w:ascii="Lato" w:hAnsi="Lato"/>
        </w:rPr>
        <w:t>Sunday 23 January 2022, a lithium-ion battery attached to a cordless impact wrench exploded after it was left on the back seat of a vehicle over the weekend. The explosion ignited other material left on the seat and severely damaged the interior of the vehicle.</w:t>
      </w:r>
    </w:p>
    <w:p w:rsidR="00604B0D" w:rsidRDefault="00267016" w:rsidP="001A29FC">
      <w:pPr>
        <w:spacing w:after="200" w:line="240" w:lineRule="auto"/>
        <w:rPr>
          <w:rFonts w:ascii="Lato" w:hAnsi="Lato"/>
        </w:rPr>
      </w:pPr>
      <w:r w:rsidRPr="00267016">
        <w:rPr>
          <w:rFonts w:ascii="Lato" w:hAnsi="Lato"/>
        </w:rPr>
        <w:t>The incident occurred in Darwin where the outside temperature at the time was approximately 31°. The cordless impact wrench and battery was manufactured by a reputable company.</w:t>
      </w:r>
    </w:p>
    <w:p w:rsidR="00125C98" w:rsidRDefault="00267016" w:rsidP="008449EA">
      <w:pPr>
        <w:spacing w:after="0" w:line="240" w:lineRule="auto"/>
        <w:rPr>
          <w:rFonts w:ascii="Lato" w:hAnsi="Lato"/>
        </w:rPr>
      </w:pPr>
      <w:r w:rsidRPr="00471DF7">
        <w:rPr>
          <w:rFonts w:ascii="Lato" w:hAnsi="Lato" w:cs="Segoe UI"/>
          <w:noProof/>
          <w:color w:val="313131"/>
          <w:lang w:eastAsia="en-AU"/>
        </w:rPr>
        <w:drawing>
          <wp:inline distT="0" distB="0" distL="0" distR="0" wp14:anchorId="4C951434" wp14:editId="0E34FF83">
            <wp:extent cx="6421142" cy="4284000"/>
            <wp:effectExtent l="38100" t="38100" r="93980" b="977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421142" cy="4284000"/>
                    </a:xfrm>
                    <a:prstGeom prst="rect">
                      <a:avLst/>
                    </a:prstGeom>
                    <a:noFill/>
                    <a:ln>
                      <a:noFill/>
                    </a:ln>
                    <a:effectLst>
                      <a:outerShdw blurRad="50800" dist="38100" dir="2700000" algn="tl" rotWithShape="0">
                        <a:prstClr val="black">
                          <a:alpha val="40000"/>
                        </a:prstClr>
                      </a:outerShdw>
                    </a:effectLst>
                  </pic:spPr>
                </pic:pic>
              </a:graphicData>
            </a:graphic>
          </wp:inline>
        </w:drawing>
      </w:r>
      <w:bookmarkStart w:id="0" w:name="_GoBack"/>
      <w:bookmarkEnd w:id="0"/>
    </w:p>
    <w:p w:rsidR="00604B0D" w:rsidRPr="00604B0D" w:rsidRDefault="00604B0D" w:rsidP="001A29FC">
      <w:pPr>
        <w:spacing w:after="200" w:line="240" w:lineRule="auto"/>
        <w:rPr>
          <w:rFonts w:ascii="Lato" w:hAnsi="Lato"/>
          <w:sz w:val="20"/>
        </w:rPr>
      </w:pPr>
      <w:r w:rsidRPr="00604B0D">
        <w:rPr>
          <w:rFonts w:ascii="Lato" w:hAnsi="Lato"/>
          <w:b/>
          <w:sz w:val="20"/>
        </w:rPr>
        <w:t xml:space="preserve">Image: </w:t>
      </w:r>
      <w:r w:rsidR="00267016" w:rsidRPr="00267016">
        <w:rPr>
          <w:rFonts w:ascii="Lato" w:hAnsi="Lato"/>
          <w:sz w:val="20"/>
        </w:rPr>
        <w:t xml:space="preserve">The </w:t>
      </w:r>
      <w:r w:rsidR="00267016">
        <w:rPr>
          <w:rFonts w:ascii="Lato" w:hAnsi="Lato"/>
          <w:sz w:val="20"/>
        </w:rPr>
        <w:t xml:space="preserve">still smoking </w:t>
      </w:r>
      <w:r w:rsidR="00267016" w:rsidRPr="00267016">
        <w:rPr>
          <w:rFonts w:ascii="Lato" w:hAnsi="Lato"/>
        </w:rPr>
        <w:t>lithium-ion battery</w:t>
      </w:r>
      <w:r w:rsidR="00267016" w:rsidRPr="00267016">
        <w:rPr>
          <w:rFonts w:ascii="Lato" w:hAnsi="Lato"/>
          <w:sz w:val="20"/>
        </w:rPr>
        <w:t xml:space="preserve"> after being extinguished by a dry power extinguisher.</w:t>
      </w:r>
    </w:p>
    <w:p w:rsidR="00AE13B7" w:rsidRDefault="00AE13B7" w:rsidP="00455EFF">
      <w:pPr>
        <w:spacing w:before="240" w:after="120" w:line="240" w:lineRule="auto"/>
        <w:rPr>
          <w:rFonts w:ascii="Lato Heavy" w:hAnsi="Lato Heavy"/>
          <w:sz w:val="36"/>
          <w:szCs w:val="48"/>
        </w:rPr>
      </w:pPr>
      <w:r w:rsidRPr="00293F73">
        <w:rPr>
          <w:rFonts w:ascii="Lato Heavy" w:hAnsi="Lato Heavy"/>
          <w:sz w:val="36"/>
          <w:szCs w:val="48"/>
        </w:rPr>
        <w:lastRenderedPageBreak/>
        <w:t>Possible contributing factors</w:t>
      </w:r>
    </w:p>
    <w:p w:rsidR="002937AA" w:rsidRPr="002937AA" w:rsidRDefault="00267016" w:rsidP="00267016">
      <w:pPr>
        <w:pStyle w:val="ListParagraph"/>
        <w:numPr>
          <w:ilvl w:val="0"/>
          <w:numId w:val="15"/>
        </w:numPr>
        <w:spacing w:before="60" w:after="60" w:line="240" w:lineRule="auto"/>
        <w:contextualSpacing w:val="0"/>
        <w:rPr>
          <w:rFonts w:ascii="Lato" w:hAnsi="Lato"/>
        </w:rPr>
      </w:pPr>
      <w:r w:rsidRPr="00267016">
        <w:rPr>
          <w:rFonts w:ascii="Lato" w:hAnsi="Lato"/>
        </w:rPr>
        <w:t>The power tool was left in the interior of a hot vehicle.</w:t>
      </w:r>
    </w:p>
    <w:p w:rsidR="00BD5029" w:rsidRPr="00C512CF" w:rsidRDefault="00BD5029" w:rsidP="00455EFF">
      <w:pPr>
        <w:spacing w:before="240" w:after="120" w:line="240" w:lineRule="auto"/>
        <w:rPr>
          <w:rFonts w:ascii="Lato Heavy" w:hAnsi="Lato Heavy"/>
          <w:sz w:val="36"/>
          <w:szCs w:val="48"/>
        </w:rPr>
      </w:pPr>
      <w:r w:rsidRPr="00C512CF">
        <w:rPr>
          <w:rFonts w:ascii="Lato Heavy" w:hAnsi="Lato Heavy"/>
          <w:sz w:val="36"/>
          <w:szCs w:val="48"/>
        </w:rPr>
        <w:t>Action required</w:t>
      </w:r>
    </w:p>
    <w:p w:rsidR="00236589" w:rsidRDefault="003569B9" w:rsidP="004D147C">
      <w:pPr>
        <w:spacing w:before="60" w:after="60" w:line="240" w:lineRule="auto"/>
        <w:rPr>
          <w:rFonts w:ascii="Lato" w:hAnsi="Lato" w:cs="Segoe UI"/>
          <w:color w:val="313131"/>
        </w:rPr>
      </w:pPr>
      <w:r>
        <w:rPr>
          <w:rFonts w:ascii="Lato" w:hAnsi="Lato"/>
        </w:rPr>
        <w:t>Businesses and workers</w:t>
      </w:r>
      <w:r w:rsidR="00F2136B">
        <w:rPr>
          <w:rFonts w:ascii="Lato" w:hAnsi="Lato"/>
        </w:rPr>
        <w:t xml:space="preserve"> </w:t>
      </w:r>
      <w:r w:rsidR="00267016">
        <w:rPr>
          <w:rFonts w:ascii="Lato" w:hAnsi="Lato"/>
        </w:rPr>
        <w:t xml:space="preserve">who use any equipment fitted with </w:t>
      </w:r>
      <w:r w:rsidR="00267016" w:rsidRPr="00267016">
        <w:rPr>
          <w:rFonts w:ascii="Lato" w:hAnsi="Lato"/>
        </w:rPr>
        <w:t>lithium-ion batter</w:t>
      </w:r>
      <w:r w:rsidR="00267016">
        <w:rPr>
          <w:rFonts w:ascii="Lato" w:hAnsi="Lato"/>
        </w:rPr>
        <w:t>ies should consider the following control measures to prevent a similar incident from occurring.</w:t>
      </w:r>
    </w:p>
    <w:p w:rsidR="00267016" w:rsidRDefault="00267016" w:rsidP="00267016">
      <w:pPr>
        <w:numPr>
          <w:ilvl w:val="0"/>
          <w:numId w:val="16"/>
        </w:numPr>
        <w:shd w:val="clear" w:color="auto" w:fill="FFFFFF"/>
        <w:spacing w:after="60" w:line="240" w:lineRule="auto"/>
        <w:rPr>
          <w:rFonts w:ascii="Lato" w:hAnsi="Lato" w:cs="Segoe UI"/>
          <w:color w:val="313131"/>
        </w:rPr>
      </w:pPr>
      <w:r>
        <w:rPr>
          <w:rFonts w:ascii="Lato" w:hAnsi="Lato" w:cs="Segoe UI"/>
          <w:color w:val="313131"/>
        </w:rPr>
        <w:t xml:space="preserve">Do not store or leave </w:t>
      </w:r>
      <w:r w:rsidRPr="00F15D7B">
        <w:rPr>
          <w:rFonts w:ascii="Lato" w:hAnsi="Lato" w:cs="Segoe UI"/>
          <w:color w:val="313131"/>
        </w:rPr>
        <w:t>lithium-ion power tool batteries</w:t>
      </w:r>
      <w:r>
        <w:rPr>
          <w:rFonts w:ascii="Lato" w:hAnsi="Lato" w:cs="Segoe UI"/>
          <w:color w:val="313131"/>
        </w:rPr>
        <w:t xml:space="preserve"> in areas that can become hot or in direct sunlight.</w:t>
      </w:r>
    </w:p>
    <w:p w:rsidR="00267016" w:rsidRPr="00471DF7" w:rsidRDefault="00267016" w:rsidP="00267016">
      <w:pPr>
        <w:numPr>
          <w:ilvl w:val="0"/>
          <w:numId w:val="16"/>
        </w:numPr>
        <w:shd w:val="clear" w:color="auto" w:fill="FFFFFF"/>
        <w:spacing w:after="60" w:line="240" w:lineRule="auto"/>
        <w:rPr>
          <w:rFonts w:ascii="Lato" w:hAnsi="Lato" w:cs="Segoe UI"/>
          <w:color w:val="313131"/>
        </w:rPr>
      </w:pPr>
      <w:r>
        <w:rPr>
          <w:rFonts w:ascii="Lato" w:hAnsi="Lato" w:cs="Segoe UI"/>
          <w:color w:val="313131"/>
        </w:rPr>
        <w:t xml:space="preserve">If you need to store </w:t>
      </w:r>
      <w:r w:rsidRPr="00F15D7B">
        <w:rPr>
          <w:rFonts w:ascii="Lato" w:hAnsi="Lato" w:cs="Segoe UI"/>
          <w:color w:val="313131"/>
        </w:rPr>
        <w:t>lithium-ion power tool batteries</w:t>
      </w:r>
      <w:r>
        <w:rPr>
          <w:rFonts w:ascii="Lato" w:hAnsi="Lato" w:cs="Segoe UI"/>
          <w:color w:val="313131"/>
        </w:rPr>
        <w:t xml:space="preserve"> in vehicles or areas that can become hot, u</w:t>
      </w:r>
      <w:r w:rsidRPr="00471DF7">
        <w:rPr>
          <w:rFonts w:ascii="Lato" w:hAnsi="Lato" w:cs="Segoe UI"/>
          <w:color w:val="313131"/>
        </w:rPr>
        <w:t xml:space="preserve">ndertake a risk assessment of available non-flammable storage options to contain a potential </w:t>
      </w:r>
      <w:r>
        <w:rPr>
          <w:rFonts w:ascii="Lato" w:hAnsi="Lato" w:cs="Segoe UI"/>
          <w:color w:val="313131"/>
        </w:rPr>
        <w:t xml:space="preserve">explosion </w:t>
      </w:r>
      <w:r w:rsidRPr="00471DF7">
        <w:rPr>
          <w:rFonts w:ascii="Lato" w:hAnsi="Lato" w:cs="Segoe UI"/>
          <w:color w:val="313131"/>
        </w:rPr>
        <w:t xml:space="preserve">of </w:t>
      </w:r>
      <w:r>
        <w:rPr>
          <w:rFonts w:ascii="Lato" w:hAnsi="Lato" w:cs="Segoe UI"/>
          <w:color w:val="313131"/>
        </w:rPr>
        <w:t>the</w:t>
      </w:r>
      <w:r w:rsidRPr="00471DF7">
        <w:rPr>
          <w:rFonts w:ascii="Lato" w:hAnsi="Lato" w:cs="Segoe UI"/>
          <w:color w:val="313131"/>
        </w:rPr>
        <w:t xml:space="preserve"> battery and resulting fire.</w:t>
      </w:r>
    </w:p>
    <w:p w:rsidR="00267016" w:rsidRPr="00471DF7" w:rsidRDefault="00267016" w:rsidP="00267016">
      <w:pPr>
        <w:numPr>
          <w:ilvl w:val="0"/>
          <w:numId w:val="16"/>
        </w:numPr>
        <w:shd w:val="clear" w:color="auto" w:fill="FFFFFF"/>
        <w:spacing w:after="60" w:line="240" w:lineRule="auto"/>
        <w:rPr>
          <w:rFonts w:ascii="Lato" w:hAnsi="Lato" w:cs="Segoe UI"/>
          <w:color w:val="313131"/>
        </w:rPr>
      </w:pPr>
      <w:r w:rsidRPr="00471DF7">
        <w:rPr>
          <w:rFonts w:ascii="Lato" w:hAnsi="Lato" w:cs="Segoe UI"/>
          <w:color w:val="313131"/>
        </w:rPr>
        <w:t xml:space="preserve">Provide appropriate </w:t>
      </w:r>
      <w:r>
        <w:rPr>
          <w:rFonts w:ascii="Lato" w:hAnsi="Lato" w:cs="Segoe UI"/>
          <w:color w:val="313131"/>
        </w:rPr>
        <w:t xml:space="preserve">information or </w:t>
      </w:r>
      <w:r w:rsidRPr="00471DF7">
        <w:rPr>
          <w:rFonts w:ascii="Lato" w:hAnsi="Lato" w:cs="Segoe UI"/>
          <w:color w:val="313131"/>
        </w:rPr>
        <w:t>training to all staff on the correct storage of battery operated power tools.</w:t>
      </w:r>
    </w:p>
    <w:p w:rsidR="00267016" w:rsidRPr="00471DF7" w:rsidRDefault="00267016" w:rsidP="00267016">
      <w:pPr>
        <w:numPr>
          <w:ilvl w:val="0"/>
          <w:numId w:val="16"/>
        </w:numPr>
        <w:shd w:val="clear" w:color="auto" w:fill="FFFFFF"/>
        <w:spacing w:after="60" w:line="240" w:lineRule="auto"/>
        <w:rPr>
          <w:rFonts w:ascii="Lato" w:hAnsi="Lato" w:cs="Segoe UI"/>
          <w:color w:val="313131"/>
        </w:rPr>
      </w:pPr>
      <w:r w:rsidRPr="00471DF7">
        <w:rPr>
          <w:rFonts w:ascii="Lato" w:hAnsi="Lato" w:cs="Segoe UI"/>
          <w:color w:val="313131"/>
        </w:rPr>
        <w:t>Review where batteries are charged and stored and ensure flammable materials are not present.</w:t>
      </w:r>
    </w:p>
    <w:p w:rsidR="00267016" w:rsidRPr="00471DF7" w:rsidRDefault="00267016" w:rsidP="00267016">
      <w:pPr>
        <w:numPr>
          <w:ilvl w:val="0"/>
          <w:numId w:val="16"/>
        </w:numPr>
        <w:shd w:val="clear" w:color="auto" w:fill="FFFFFF"/>
        <w:spacing w:after="60" w:line="240" w:lineRule="auto"/>
        <w:rPr>
          <w:rFonts w:ascii="Lato" w:hAnsi="Lato" w:cs="Segoe UI"/>
          <w:color w:val="313131"/>
        </w:rPr>
      </w:pPr>
      <w:r w:rsidRPr="00471DF7">
        <w:rPr>
          <w:rFonts w:ascii="Lato" w:hAnsi="Lato" w:cs="Segoe UI"/>
          <w:color w:val="313131"/>
        </w:rPr>
        <w:t>Follow the battery manufacturer’s advice.</w:t>
      </w:r>
    </w:p>
    <w:p w:rsidR="00CF5E60" w:rsidRDefault="00267016" w:rsidP="00267016">
      <w:pPr>
        <w:pStyle w:val="ListParagraph"/>
        <w:numPr>
          <w:ilvl w:val="0"/>
          <w:numId w:val="16"/>
        </w:numPr>
        <w:spacing w:before="60" w:after="60" w:line="240" w:lineRule="auto"/>
        <w:contextualSpacing w:val="0"/>
        <w:rPr>
          <w:rFonts w:ascii="Lato" w:hAnsi="Lato"/>
        </w:rPr>
      </w:pPr>
      <w:r w:rsidRPr="00471DF7">
        <w:rPr>
          <w:rFonts w:ascii="Lato" w:hAnsi="Lato" w:cs="Segoe UI"/>
          <w:color w:val="313131"/>
        </w:rPr>
        <w:t>Discuss the storage and transportation of lithium-ion batteries with your insurer to ensure you are covered in the event of a battery fire.</w:t>
      </w:r>
    </w:p>
    <w:p w:rsidR="004B3CB9" w:rsidRPr="00C512CF" w:rsidRDefault="00E04742" w:rsidP="00455EFF">
      <w:pPr>
        <w:spacing w:before="240" w:after="120" w:line="240" w:lineRule="auto"/>
        <w:rPr>
          <w:rFonts w:ascii="Lato Heavy" w:hAnsi="Lato Heavy"/>
          <w:sz w:val="36"/>
          <w:szCs w:val="48"/>
        </w:rPr>
      </w:pPr>
      <w:r w:rsidRPr="00C512CF">
        <w:rPr>
          <w:rFonts w:ascii="Lato Heavy" w:hAnsi="Lato Heavy"/>
          <w:sz w:val="36"/>
          <w:szCs w:val="48"/>
        </w:rPr>
        <w:t>Further information</w:t>
      </w:r>
    </w:p>
    <w:p w:rsidR="004B3CB9" w:rsidRDefault="00293F73" w:rsidP="00321C9D">
      <w:pPr>
        <w:spacing w:after="120" w:line="240" w:lineRule="auto"/>
        <w:rPr>
          <w:rFonts w:ascii="Lato" w:hAnsi="Lato"/>
        </w:rPr>
      </w:pPr>
      <w:r w:rsidRPr="001D0FAD">
        <w:rPr>
          <w:rFonts w:ascii="Lato" w:hAnsi="Lato"/>
        </w:rPr>
        <w:t xml:space="preserve">For further </w:t>
      </w:r>
      <w:r w:rsidR="001D0FAD" w:rsidRPr="001D0FAD">
        <w:rPr>
          <w:rFonts w:ascii="Lato" w:hAnsi="Lato"/>
        </w:rPr>
        <w:t>information,</w:t>
      </w:r>
      <w:r w:rsidRPr="001D0FAD">
        <w:rPr>
          <w:rFonts w:ascii="Lato" w:hAnsi="Lato"/>
        </w:rPr>
        <w:t xml:space="preserve"> please refer to the following:</w:t>
      </w:r>
    </w:p>
    <w:p w:rsidR="006478A0" w:rsidRDefault="00267016" w:rsidP="0058464F">
      <w:pPr>
        <w:spacing w:before="240" w:after="120" w:line="240" w:lineRule="auto"/>
        <w:rPr>
          <w:rFonts w:ascii="Lato Heavy" w:hAnsi="Lato Heavy"/>
          <w:sz w:val="24"/>
          <w:szCs w:val="48"/>
        </w:rPr>
      </w:pPr>
      <w:r>
        <w:rPr>
          <w:rFonts w:ascii="Lato Heavy" w:hAnsi="Lato Heavy"/>
          <w:sz w:val="24"/>
          <w:szCs w:val="48"/>
        </w:rPr>
        <w:t>Information bulletin</w:t>
      </w:r>
    </w:p>
    <w:p w:rsidR="006478A0" w:rsidRDefault="00267016" w:rsidP="00267016">
      <w:pPr>
        <w:pStyle w:val="ListParagraph"/>
        <w:numPr>
          <w:ilvl w:val="0"/>
          <w:numId w:val="12"/>
        </w:numPr>
        <w:spacing w:after="200" w:line="240" w:lineRule="auto"/>
        <w:rPr>
          <w:rFonts w:ascii="Lato" w:hAnsi="Lato"/>
        </w:rPr>
      </w:pPr>
      <w:r w:rsidRPr="00267016">
        <w:rPr>
          <w:rFonts w:ascii="Lato" w:hAnsi="Lato"/>
        </w:rPr>
        <w:t>Safe use of lithium-ion batteries at home and in the workplace</w:t>
      </w:r>
    </w:p>
    <w:p w:rsidR="00293F73" w:rsidRPr="003A2F08" w:rsidRDefault="001D0FAD" w:rsidP="004D147C">
      <w:pPr>
        <w:tabs>
          <w:tab w:val="left" w:pos="497"/>
        </w:tabs>
        <w:spacing w:before="5280" w:after="0" w:line="240" w:lineRule="auto"/>
        <w:rPr>
          <w:rFonts w:ascii="Lato Heavy" w:hAnsi="Lato Heavy"/>
          <w:sz w:val="18"/>
        </w:rPr>
      </w:pPr>
      <w:r w:rsidRPr="003A2F08">
        <w:rPr>
          <w:rFonts w:ascii="Lato Heavy" w:hAnsi="Lato Heavy"/>
          <w:sz w:val="18"/>
        </w:rPr>
        <w:t>Disclaimer</w:t>
      </w:r>
    </w:p>
    <w:p w:rsidR="001D0FAD" w:rsidRPr="001D0FAD" w:rsidRDefault="001D0FAD" w:rsidP="00293F73">
      <w:pPr>
        <w:tabs>
          <w:tab w:val="left" w:pos="497"/>
        </w:tabs>
        <w:rPr>
          <w:rFonts w:ascii="Lato" w:hAnsi="Lato"/>
          <w:i/>
          <w:sz w:val="18"/>
        </w:rPr>
      </w:pPr>
      <w:r w:rsidRPr="001D0FAD">
        <w:rPr>
          <w:rFonts w:ascii="Lato" w:hAnsi="Lato"/>
          <w:i/>
          <w:sz w:val="18"/>
        </w:rPr>
        <w:t xml:space="preserve">This Safety Alert contains safety information following inquires made by NT WorkSafe about an incident or unsafe practice. The information contained in this Alert does not necessarily include the outcome of NT </w:t>
      </w:r>
      <w:proofErr w:type="spellStart"/>
      <w:r w:rsidRPr="001D0FAD">
        <w:rPr>
          <w:rFonts w:ascii="Lato" w:hAnsi="Lato"/>
          <w:i/>
          <w:sz w:val="18"/>
        </w:rPr>
        <w:t>WorkSafe’s</w:t>
      </w:r>
      <w:proofErr w:type="spellEnd"/>
      <w:r w:rsidRPr="001D0FAD">
        <w:rPr>
          <w:rFonts w:ascii="Lato" w:hAnsi="Lato"/>
          <w:i/>
          <w:sz w:val="18"/>
        </w:rPr>
        <w:t xml:space="preserve"> action with respect to an incident. NT WorkSafe does not warrant the information in this Alert is complete or up-to-date and does not accept any liability for the information in this report or as to its use.</w:t>
      </w:r>
    </w:p>
    <w:sectPr w:rsidR="001D0FAD" w:rsidRPr="001D0FAD" w:rsidSect="00FC75B7">
      <w:headerReference w:type="default" r:id="rId9"/>
      <w:footerReference w:type="default" r:id="rId10"/>
      <w:headerReference w:type="first" r:id="rId11"/>
      <w:footerReference w:type="first" r:id="rId12"/>
      <w:pgSz w:w="11906" w:h="16838"/>
      <w:pgMar w:top="851"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BD4" w:rsidRDefault="00743BD4" w:rsidP="000D7AA8">
      <w:pPr>
        <w:spacing w:after="0" w:line="240" w:lineRule="auto"/>
      </w:pPr>
      <w:r>
        <w:separator/>
      </w:r>
    </w:p>
  </w:endnote>
  <w:endnote w:type="continuationSeparator" w:id="0">
    <w:p w:rsidR="00743BD4" w:rsidRDefault="00743BD4" w:rsidP="000D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9" w:rsidRPr="00321C9D" w:rsidRDefault="004B3CB9" w:rsidP="004B3CB9">
    <w:pPr>
      <w:pStyle w:val="Footer"/>
      <w:rPr>
        <w:sz w:val="2"/>
        <w:szCs w:val="2"/>
      </w:rPr>
    </w:pPr>
  </w:p>
  <w:tbl>
    <w:tblPr>
      <w:tblStyle w:val="TableGrid"/>
      <w:tblW w:w="10348"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6096"/>
      <w:gridCol w:w="4252"/>
    </w:tblGrid>
    <w:tr w:rsidR="00D32D53" w:rsidTr="00E04742">
      <w:trPr>
        <w:cantSplit/>
        <w:trHeight w:hRule="exact" w:val="851"/>
      </w:trPr>
      <w:tc>
        <w:tcPr>
          <w:tcW w:w="6096" w:type="dxa"/>
          <w:tcBorders>
            <w:bottom w:val="nil"/>
            <w:right w:val="nil"/>
          </w:tcBorders>
          <w:vAlign w:val="bottom"/>
        </w:tcPr>
        <w:p w:rsidR="004B3CB9" w:rsidRDefault="003A2F08" w:rsidP="004B3CB9">
          <w:pPr>
            <w:pStyle w:val="Footer"/>
            <w:rPr>
              <w:rFonts w:ascii="Lato" w:hAnsi="Lato"/>
              <w:sz w:val="18"/>
            </w:rPr>
          </w:pPr>
          <w:r>
            <w:rPr>
              <w:rFonts w:ascii="Lato" w:hAnsi="Lato"/>
              <w:sz w:val="18"/>
            </w:rPr>
            <w:t xml:space="preserve">Version 1.0 – </w:t>
          </w:r>
          <w:r w:rsidR="004D147C">
            <w:rPr>
              <w:rFonts w:ascii="Lato" w:hAnsi="Lato"/>
              <w:sz w:val="18"/>
            </w:rPr>
            <w:t>Thur</w:t>
          </w:r>
          <w:r w:rsidR="005A7344">
            <w:rPr>
              <w:rFonts w:ascii="Lato" w:hAnsi="Lato"/>
              <w:sz w:val="18"/>
            </w:rPr>
            <w:t>s</w:t>
          </w:r>
          <w:r w:rsidR="00E67F92">
            <w:rPr>
              <w:rFonts w:ascii="Lato" w:hAnsi="Lato"/>
              <w:sz w:val="18"/>
            </w:rPr>
            <w:t>day</w:t>
          </w:r>
          <w:r w:rsidR="004D147C">
            <w:rPr>
              <w:rFonts w:ascii="Lato" w:hAnsi="Lato"/>
              <w:sz w:val="18"/>
            </w:rPr>
            <w:t xml:space="preserve"> 10</w:t>
          </w:r>
          <w:r w:rsidR="008752DD">
            <w:rPr>
              <w:rFonts w:ascii="Lato" w:hAnsi="Lato"/>
              <w:sz w:val="18"/>
            </w:rPr>
            <w:t xml:space="preserve"> </w:t>
          </w:r>
          <w:r w:rsidR="00267016">
            <w:rPr>
              <w:rFonts w:ascii="Lato" w:hAnsi="Lato"/>
              <w:sz w:val="18"/>
            </w:rPr>
            <w:t>February</w:t>
          </w:r>
          <w:r w:rsidR="008752DD">
            <w:rPr>
              <w:rFonts w:ascii="Lato" w:hAnsi="Lato"/>
              <w:sz w:val="18"/>
            </w:rPr>
            <w:t xml:space="preserve"> </w:t>
          </w:r>
          <w:r w:rsidR="003D4E2B">
            <w:rPr>
              <w:rFonts w:ascii="Lato" w:hAnsi="Lato"/>
              <w:sz w:val="18"/>
            </w:rPr>
            <w:t>202</w:t>
          </w:r>
          <w:r w:rsidR="00267016">
            <w:rPr>
              <w:rFonts w:ascii="Lato" w:hAnsi="Lato"/>
              <w:sz w:val="18"/>
            </w:rPr>
            <w:t>2</w:t>
          </w:r>
          <w:r>
            <w:rPr>
              <w:rFonts w:ascii="Lato" w:hAnsi="Lato"/>
              <w:sz w:val="18"/>
            </w:rPr>
            <w:t>.</w:t>
          </w:r>
        </w:p>
        <w:p w:rsidR="003A2F08" w:rsidRPr="003A2F08" w:rsidRDefault="003A2F08" w:rsidP="004B3CB9">
          <w:pPr>
            <w:pStyle w:val="Footer"/>
            <w:rPr>
              <w:rFonts w:ascii="Lato" w:hAnsi="Lato"/>
              <w:sz w:val="18"/>
            </w:rPr>
          </w:pPr>
          <w:r w:rsidRPr="003A2F08">
            <w:rPr>
              <w:rFonts w:ascii="Lato" w:hAnsi="Lato"/>
              <w:sz w:val="18"/>
            </w:rPr>
            <w:t xml:space="preserve">Page </w:t>
          </w:r>
          <w:r w:rsidRPr="003A2F08">
            <w:rPr>
              <w:rFonts w:ascii="Lato" w:hAnsi="Lato"/>
              <w:bCs/>
              <w:sz w:val="18"/>
            </w:rPr>
            <w:fldChar w:fldCharType="begin"/>
          </w:r>
          <w:r w:rsidRPr="003A2F08">
            <w:rPr>
              <w:rFonts w:ascii="Lato" w:hAnsi="Lato"/>
              <w:bCs/>
              <w:sz w:val="18"/>
            </w:rPr>
            <w:instrText xml:space="preserve"> PAGE  \* Arabic  \* MERGEFORMAT </w:instrText>
          </w:r>
          <w:r w:rsidRPr="003A2F08">
            <w:rPr>
              <w:rFonts w:ascii="Lato" w:hAnsi="Lato"/>
              <w:bCs/>
              <w:sz w:val="18"/>
            </w:rPr>
            <w:fldChar w:fldCharType="separate"/>
          </w:r>
          <w:r w:rsidR="008449EA">
            <w:rPr>
              <w:rFonts w:ascii="Lato" w:hAnsi="Lato"/>
              <w:bCs/>
              <w:noProof/>
              <w:sz w:val="18"/>
            </w:rPr>
            <w:t>2</w:t>
          </w:r>
          <w:r w:rsidRPr="003A2F08">
            <w:rPr>
              <w:rFonts w:ascii="Lato" w:hAnsi="Lato"/>
              <w:bCs/>
              <w:sz w:val="18"/>
            </w:rPr>
            <w:fldChar w:fldCharType="end"/>
          </w:r>
          <w:r w:rsidRPr="003A2F08">
            <w:rPr>
              <w:rFonts w:ascii="Lato" w:hAnsi="Lato"/>
              <w:sz w:val="18"/>
            </w:rPr>
            <w:t xml:space="preserve"> of </w:t>
          </w:r>
          <w:r w:rsidRPr="003A2F08">
            <w:rPr>
              <w:rFonts w:ascii="Lato" w:hAnsi="Lato"/>
              <w:bCs/>
              <w:sz w:val="18"/>
            </w:rPr>
            <w:fldChar w:fldCharType="begin"/>
          </w:r>
          <w:r w:rsidRPr="003A2F08">
            <w:rPr>
              <w:rFonts w:ascii="Lato" w:hAnsi="Lato"/>
              <w:bCs/>
              <w:sz w:val="18"/>
            </w:rPr>
            <w:instrText xml:space="preserve"> NUMPAGES  \* Arabic  \* MERGEFORMAT </w:instrText>
          </w:r>
          <w:r w:rsidRPr="003A2F08">
            <w:rPr>
              <w:rFonts w:ascii="Lato" w:hAnsi="Lato"/>
              <w:bCs/>
              <w:sz w:val="18"/>
            </w:rPr>
            <w:fldChar w:fldCharType="separate"/>
          </w:r>
          <w:r w:rsidR="008449EA">
            <w:rPr>
              <w:rFonts w:ascii="Lato" w:hAnsi="Lato"/>
              <w:bCs/>
              <w:noProof/>
              <w:sz w:val="18"/>
            </w:rPr>
            <w:t>2</w:t>
          </w:r>
          <w:r w:rsidRPr="003A2F08">
            <w:rPr>
              <w:rFonts w:ascii="Lato" w:hAnsi="Lato"/>
              <w:bCs/>
              <w:sz w:val="18"/>
            </w:rPr>
            <w:fldChar w:fldCharType="end"/>
          </w:r>
        </w:p>
      </w:tc>
      <w:tc>
        <w:tcPr>
          <w:tcW w:w="4252" w:type="dxa"/>
          <w:tcBorders>
            <w:left w:val="nil"/>
          </w:tcBorders>
        </w:tcPr>
        <w:p w:rsidR="004B3CB9" w:rsidRDefault="00D32D53" w:rsidP="00E04742">
          <w:pPr>
            <w:pStyle w:val="Footer"/>
            <w:tabs>
              <w:tab w:val="clear" w:pos="4513"/>
            </w:tabs>
            <w:ind w:left="407" w:right="-116" w:hanging="407"/>
          </w:pPr>
          <w:r>
            <w:rPr>
              <w:noProof/>
              <w:lang w:eastAsia="en-AU"/>
            </w:rPr>
            <w:drawing>
              <wp:inline distT="0" distB="0" distL="0" distR="0">
                <wp:extent cx="2664000" cy="5552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WS-NTG-lock-up.png"/>
                        <pic:cNvPicPr/>
                      </pic:nvPicPr>
                      <pic:blipFill>
                        <a:blip r:embed="rId1">
                          <a:extLst>
                            <a:ext uri="{28A0092B-C50C-407E-A947-70E740481C1C}">
                              <a14:useLocalDpi xmlns:a14="http://schemas.microsoft.com/office/drawing/2010/main" val="0"/>
                            </a:ext>
                          </a:extLst>
                        </a:blip>
                        <a:stretch>
                          <a:fillRect/>
                        </a:stretch>
                      </pic:blipFill>
                      <pic:spPr>
                        <a:xfrm>
                          <a:off x="0" y="0"/>
                          <a:ext cx="2664000" cy="555242"/>
                        </a:xfrm>
                        <a:prstGeom prst="rect">
                          <a:avLst/>
                        </a:prstGeom>
                      </pic:spPr>
                    </pic:pic>
                  </a:graphicData>
                </a:graphic>
              </wp:inline>
            </w:drawing>
          </w:r>
        </w:p>
      </w:tc>
    </w:tr>
  </w:tbl>
  <w:p w:rsidR="004B3CB9" w:rsidRPr="00D32D53" w:rsidRDefault="004B3CB9" w:rsidP="004B3CB9">
    <w:pPr>
      <w:pStyle w:val="Footer"/>
      <w:rPr>
        <w:rFonts w:ascii="Lato" w:hAnsi="Lato"/>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B7" w:rsidRPr="00321C9D" w:rsidRDefault="00FC75B7" w:rsidP="00FC75B7">
    <w:pPr>
      <w:pStyle w:val="Footer"/>
      <w:rPr>
        <w:sz w:val="2"/>
        <w:szCs w:val="2"/>
      </w:rPr>
    </w:pPr>
  </w:p>
  <w:tbl>
    <w:tblPr>
      <w:tblStyle w:val="TableGrid"/>
      <w:tblW w:w="10348"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6096"/>
      <w:gridCol w:w="4252"/>
    </w:tblGrid>
    <w:tr w:rsidR="00FC75B7" w:rsidTr="00F70C74">
      <w:trPr>
        <w:cantSplit/>
        <w:trHeight w:hRule="exact" w:val="851"/>
      </w:trPr>
      <w:tc>
        <w:tcPr>
          <w:tcW w:w="6096" w:type="dxa"/>
          <w:tcBorders>
            <w:bottom w:val="nil"/>
            <w:right w:val="nil"/>
          </w:tcBorders>
          <w:vAlign w:val="bottom"/>
        </w:tcPr>
        <w:p w:rsidR="00FC75B7" w:rsidRDefault="00FC75B7" w:rsidP="00FC75B7">
          <w:pPr>
            <w:pStyle w:val="Footer"/>
            <w:rPr>
              <w:rFonts w:ascii="Lato" w:hAnsi="Lato"/>
              <w:sz w:val="18"/>
            </w:rPr>
          </w:pPr>
          <w:r>
            <w:rPr>
              <w:rFonts w:ascii="Lato" w:hAnsi="Lato"/>
              <w:sz w:val="18"/>
            </w:rPr>
            <w:t xml:space="preserve">Version 1.0 – </w:t>
          </w:r>
          <w:r w:rsidR="00FE0848">
            <w:rPr>
              <w:rFonts w:ascii="Lato" w:hAnsi="Lato"/>
              <w:sz w:val="18"/>
            </w:rPr>
            <w:t>Tues</w:t>
          </w:r>
          <w:r w:rsidR="00130BE2">
            <w:rPr>
              <w:rFonts w:ascii="Lato" w:hAnsi="Lato"/>
              <w:sz w:val="18"/>
            </w:rPr>
            <w:t xml:space="preserve">day </w:t>
          </w:r>
          <w:r w:rsidR="00267016">
            <w:rPr>
              <w:rFonts w:ascii="Lato" w:hAnsi="Lato"/>
              <w:sz w:val="18"/>
            </w:rPr>
            <w:t>8</w:t>
          </w:r>
          <w:r w:rsidR="00130BE2">
            <w:rPr>
              <w:rFonts w:ascii="Lato" w:hAnsi="Lato"/>
              <w:sz w:val="18"/>
            </w:rPr>
            <w:t xml:space="preserve"> </w:t>
          </w:r>
          <w:r w:rsidR="00267016">
            <w:rPr>
              <w:rFonts w:ascii="Lato" w:hAnsi="Lato"/>
              <w:sz w:val="18"/>
            </w:rPr>
            <w:t>February</w:t>
          </w:r>
          <w:r w:rsidR="00130BE2">
            <w:rPr>
              <w:rFonts w:ascii="Lato" w:hAnsi="Lato"/>
              <w:sz w:val="18"/>
            </w:rPr>
            <w:t xml:space="preserve"> 202</w:t>
          </w:r>
          <w:r w:rsidR="00267016">
            <w:rPr>
              <w:rFonts w:ascii="Lato" w:hAnsi="Lato"/>
              <w:sz w:val="18"/>
            </w:rPr>
            <w:t>2</w:t>
          </w:r>
        </w:p>
        <w:p w:rsidR="00FC75B7" w:rsidRPr="003A2F08" w:rsidRDefault="00FC75B7" w:rsidP="00FC75B7">
          <w:pPr>
            <w:pStyle w:val="Footer"/>
            <w:rPr>
              <w:rFonts w:ascii="Lato" w:hAnsi="Lato"/>
              <w:sz w:val="18"/>
            </w:rPr>
          </w:pPr>
          <w:r w:rsidRPr="003A2F08">
            <w:rPr>
              <w:rFonts w:ascii="Lato" w:hAnsi="Lato"/>
              <w:sz w:val="18"/>
            </w:rPr>
            <w:t xml:space="preserve">Page </w:t>
          </w:r>
          <w:r w:rsidRPr="003A2F08">
            <w:rPr>
              <w:rFonts w:ascii="Lato" w:hAnsi="Lato"/>
              <w:bCs/>
              <w:sz w:val="18"/>
            </w:rPr>
            <w:fldChar w:fldCharType="begin"/>
          </w:r>
          <w:r w:rsidRPr="003A2F08">
            <w:rPr>
              <w:rFonts w:ascii="Lato" w:hAnsi="Lato"/>
              <w:bCs/>
              <w:sz w:val="18"/>
            </w:rPr>
            <w:instrText xml:space="preserve"> PAGE  \* Arabic  \* MERGEFORMAT </w:instrText>
          </w:r>
          <w:r w:rsidRPr="003A2F08">
            <w:rPr>
              <w:rFonts w:ascii="Lato" w:hAnsi="Lato"/>
              <w:bCs/>
              <w:sz w:val="18"/>
            </w:rPr>
            <w:fldChar w:fldCharType="separate"/>
          </w:r>
          <w:r w:rsidR="008449EA">
            <w:rPr>
              <w:rFonts w:ascii="Lato" w:hAnsi="Lato"/>
              <w:bCs/>
              <w:noProof/>
              <w:sz w:val="18"/>
            </w:rPr>
            <w:t>1</w:t>
          </w:r>
          <w:r w:rsidRPr="003A2F08">
            <w:rPr>
              <w:rFonts w:ascii="Lato" w:hAnsi="Lato"/>
              <w:bCs/>
              <w:sz w:val="18"/>
            </w:rPr>
            <w:fldChar w:fldCharType="end"/>
          </w:r>
          <w:r w:rsidRPr="003A2F08">
            <w:rPr>
              <w:rFonts w:ascii="Lato" w:hAnsi="Lato"/>
              <w:sz w:val="18"/>
            </w:rPr>
            <w:t xml:space="preserve"> of </w:t>
          </w:r>
          <w:r w:rsidRPr="003A2F08">
            <w:rPr>
              <w:rFonts w:ascii="Lato" w:hAnsi="Lato"/>
              <w:bCs/>
              <w:sz w:val="18"/>
            </w:rPr>
            <w:fldChar w:fldCharType="begin"/>
          </w:r>
          <w:r w:rsidRPr="003A2F08">
            <w:rPr>
              <w:rFonts w:ascii="Lato" w:hAnsi="Lato"/>
              <w:bCs/>
              <w:sz w:val="18"/>
            </w:rPr>
            <w:instrText xml:space="preserve"> NUMPAGES  \* Arabic  \* MERGEFORMAT </w:instrText>
          </w:r>
          <w:r w:rsidRPr="003A2F08">
            <w:rPr>
              <w:rFonts w:ascii="Lato" w:hAnsi="Lato"/>
              <w:bCs/>
              <w:sz w:val="18"/>
            </w:rPr>
            <w:fldChar w:fldCharType="separate"/>
          </w:r>
          <w:r w:rsidR="008449EA">
            <w:rPr>
              <w:rFonts w:ascii="Lato" w:hAnsi="Lato"/>
              <w:bCs/>
              <w:noProof/>
              <w:sz w:val="18"/>
            </w:rPr>
            <w:t>2</w:t>
          </w:r>
          <w:r w:rsidRPr="003A2F08">
            <w:rPr>
              <w:rFonts w:ascii="Lato" w:hAnsi="Lato"/>
              <w:bCs/>
              <w:sz w:val="18"/>
            </w:rPr>
            <w:fldChar w:fldCharType="end"/>
          </w:r>
        </w:p>
      </w:tc>
      <w:tc>
        <w:tcPr>
          <w:tcW w:w="4252" w:type="dxa"/>
          <w:tcBorders>
            <w:left w:val="nil"/>
          </w:tcBorders>
        </w:tcPr>
        <w:p w:rsidR="00FC75B7" w:rsidRDefault="00FC75B7" w:rsidP="00FC75B7">
          <w:pPr>
            <w:pStyle w:val="Footer"/>
            <w:tabs>
              <w:tab w:val="clear" w:pos="4513"/>
            </w:tabs>
            <w:ind w:left="407" w:right="-116" w:hanging="407"/>
          </w:pPr>
          <w:r>
            <w:rPr>
              <w:noProof/>
              <w:lang w:eastAsia="en-AU"/>
            </w:rPr>
            <w:drawing>
              <wp:inline distT="0" distB="0" distL="0" distR="0" wp14:anchorId="2C1F4500" wp14:editId="46A6CDC4">
                <wp:extent cx="2664000" cy="5552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WS-NTG-lock-up.png"/>
                        <pic:cNvPicPr/>
                      </pic:nvPicPr>
                      <pic:blipFill>
                        <a:blip r:embed="rId1">
                          <a:extLst>
                            <a:ext uri="{28A0092B-C50C-407E-A947-70E740481C1C}">
                              <a14:useLocalDpi xmlns:a14="http://schemas.microsoft.com/office/drawing/2010/main" val="0"/>
                            </a:ext>
                          </a:extLst>
                        </a:blip>
                        <a:stretch>
                          <a:fillRect/>
                        </a:stretch>
                      </pic:blipFill>
                      <pic:spPr>
                        <a:xfrm>
                          <a:off x="0" y="0"/>
                          <a:ext cx="2664000" cy="555242"/>
                        </a:xfrm>
                        <a:prstGeom prst="rect">
                          <a:avLst/>
                        </a:prstGeom>
                      </pic:spPr>
                    </pic:pic>
                  </a:graphicData>
                </a:graphic>
              </wp:inline>
            </w:drawing>
          </w:r>
        </w:p>
      </w:tc>
    </w:tr>
  </w:tbl>
  <w:p w:rsidR="00FC75B7" w:rsidRDefault="00FC7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BD4" w:rsidRDefault="00743BD4" w:rsidP="000D7AA8">
      <w:pPr>
        <w:spacing w:after="0" w:line="240" w:lineRule="auto"/>
      </w:pPr>
      <w:r>
        <w:separator/>
      </w:r>
    </w:p>
  </w:footnote>
  <w:footnote w:type="continuationSeparator" w:id="0">
    <w:p w:rsidR="00743BD4" w:rsidRDefault="00743BD4" w:rsidP="000D7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AA8" w:rsidRPr="00FC75B7" w:rsidRDefault="000D7AA8" w:rsidP="00FC75B7">
    <w:pPr>
      <w:pStyle w:val="Header"/>
      <w:spacing w:after="200"/>
      <w:jc w:val="right"/>
      <w:rPr>
        <w:rFonts w:ascii="Lato" w:hAnsi="Lato"/>
        <w:color w:val="FF9900"/>
      </w:rPr>
    </w:pPr>
    <w:r w:rsidRPr="00FC75B7">
      <w:rPr>
        <w:rFonts w:ascii="Lato" w:hAnsi="Lato"/>
        <w:color w:val="FF9900"/>
      </w:rPr>
      <w:t>Safety Alert</w:t>
    </w:r>
    <w:r w:rsidR="00FC75B7">
      <w:rPr>
        <w:rFonts w:ascii="Lato" w:hAnsi="Lato"/>
        <w:color w:val="FF9900"/>
      </w:rPr>
      <w:t xml:space="preserve"> – </w:t>
    </w:r>
    <w:r w:rsidR="00267016">
      <w:rPr>
        <w:rFonts w:ascii="Lato" w:hAnsi="Lato"/>
        <w:color w:val="FF9900"/>
      </w:rPr>
      <w:t>Power tool battery fires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B7" w:rsidRPr="00FC75B7" w:rsidRDefault="00FC75B7" w:rsidP="00FC75B7">
    <w:pPr>
      <w:pStyle w:val="Header"/>
      <w:spacing w:after="200"/>
      <w:rPr>
        <w:rFonts w:ascii="Lato Black" w:hAnsi="Lato Black"/>
        <w:color w:val="FF9900"/>
        <w:sz w:val="40"/>
        <w:szCs w:val="40"/>
      </w:rPr>
    </w:pPr>
    <w:r w:rsidRPr="00B813BD">
      <w:rPr>
        <w:rFonts w:ascii="Lato Black" w:hAnsi="Lato Black"/>
        <w:color w:val="FF9900"/>
        <w:sz w:val="40"/>
        <w:szCs w:val="40"/>
      </w:rPr>
      <w:t>Safety Alert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7C1"/>
    <w:multiLevelType w:val="hybridMultilevel"/>
    <w:tmpl w:val="05585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50807"/>
    <w:multiLevelType w:val="hybridMultilevel"/>
    <w:tmpl w:val="3B0A3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2153E6"/>
    <w:multiLevelType w:val="hybridMultilevel"/>
    <w:tmpl w:val="AE2C7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B4758A"/>
    <w:multiLevelType w:val="hybridMultilevel"/>
    <w:tmpl w:val="24E027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C2BF4"/>
    <w:multiLevelType w:val="hybridMultilevel"/>
    <w:tmpl w:val="DB5284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29390C"/>
    <w:multiLevelType w:val="multilevel"/>
    <w:tmpl w:val="5BD6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86F46"/>
    <w:multiLevelType w:val="multilevel"/>
    <w:tmpl w:val="1D2E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2306F"/>
    <w:multiLevelType w:val="hybridMultilevel"/>
    <w:tmpl w:val="BD5CE60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782157"/>
    <w:multiLevelType w:val="hybridMultilevel"/>
    <w:tmpl w:val="83E0A4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7663FF"/>
    <w:multiLevelType w:val="hybridMultilevel"/>
    <w:tmpl w:val="E04C3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F65A5C"/>
    <w:multiLevelType w:val="hybridMultilevel"/>
    <w:tmpl w:val="A01840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724A7E"/>
    <w:multiLevelType w:val="hybridMultilevel"/>
    <w:tmpl w:val="8DE89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161B40"/>
    <w:multiLevelType w:val="hybridMultilevel"/>
    <w:tmpl w:val="1C5AE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2A212B"/>
    <w:multiLevelType w:val="hybridMultilevel"/>
    <w:tmpl w:val="09AC71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B442FA"/>
    <w:multiLevelType w:val="hybridMultilevel"/>
    <w:tmpl w:val="41024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9204B1"/>
    <w:multiLevelType w:val="hybridMultilevel"/>
    <w:tmpl w:val="767E60B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B2276C"/>
    <w:multiLevelType w:val="hybridMultilevel"/>
    <w:tmpl w:val="148A5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6C0FA1"/>
    <w:multiLevelType w:val="hybridMultilevel"/>
    <w:tmpl w:val="B1742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A37569"/>
    <w:multiLevelType w:val="hybridMultilevel"/>
    <w:tmpl w:val="2C541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2F3D53"/>
    <w:multiLevelType w:val="hybridMultilevel"/>
    <w:tmpl w:val="CD9A4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C53AE5"/>
    <w:multiLevelType w:val="hybridMultilevel"/>
    <w:tmpl w:val="44DE4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9"/>
  </w:num>
  <w:num w:numId="4">
    <w:abstractNumId w:val="0"/>
  </w:num>
  <w:num w:numId="5">
    <w:abstractNumId w:val="14"/>
  </w:num>
  <w:num w:numId="6">
    <w:abstractNumId w:val="11"/>
  </w:num>
  <w:num w:numId="7">
    <w:abstractNumId w:val="8"/>
  </w:num>
  <w:num w:numId="8">
    <w:abstractNumId w:val="3"/>
  </w:num>
  <w:num w:numId="9">
    <w:abstractNumId w:val="5"/>
  </w:num>
  <w:num w:numId="10">
    <w:abstractNumId w:val="20"/>
  </w:num>
  <w:num w:numId="11">
    <w:abstractNumId w:val="4"/>
  </w:num>
  <w:num w:numId="12">
    <w:abstractNumId w:val="1"/>
  </w:num>
  <w:num w:numId="13">
    <w:abstractNumId w:val="2"/>
  </w:num>
  <w:num w:numId="14">
    <w:abstractNumId w:val="17"/>
  </w:num>
  <w:num w:numId="15">
    <w:abstractNumId w:val="12"/>
  </w:num>
  <w:num w:numId="16">
    <w:abstractNumId w:val="13"/>
  </w:num>
  <w:num w:numId="17">
    <w:abstractNumId w:val="10"/>
  </w:num>
  <w:num w:numId="18">
    <w:abstractNumId w:val="7"/>
  </w:num>
  <w:num w:numId="19">
    <w:abstractNumId w:val="15"/>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AA8"/>
    <w:rsid w:val="00021A50"/>
    <w:rsid w:val="000454B3"/>
    <w:rsid w:val="0005140D"/>
    <w:rsid w:val="00063FA2"/>
    <w:rsid w:val="000720D9"/>
    <w:rsid w:val="0009033F"/>
    <w:rsid w:val="00096765"/>
    <w:rsid w:val="000D202B"/>
    <w:rsid w:val="000D7AA8"/>
    <w:rsid w:val="000E390C"/>
    <w:rsid w:val="000E4A56"/>
    <w:rsid w:val="00100344"/>
    <w:rsid w:val="00107241"/>
    <w:rsid w:val="00125C98"/>
    <w:rsid w:val="00127E6C"/>
    <w:rsid w:val="00130BE2"/>
    <w:rsid w:val="00141972"/>
    <w:rsid w:val="00146234"/>
    <w:rsid w:val="0017637F"/>
    <w:rsid w:val="00176F0C"/>
    <w:rsid w:val="00182F2B"/>
    <w:rsid w:val="001A29FC"/>
    <w:rsid w:val="001D0FAD"/>
    <w:rsid w:val="0020576A"/>
    <w:rsid w:val="00207A7D"/>
    <w:rsid w:val="00216F99"/>
    <w:rsid w:val="002225ED"/>
    <w:rsid w:val="002274E0"/>
    <w:rsid w:val="00236589"/>
    <w:rsid w:val="002442E1"/>
    <w:rsid w:val="002631E4"/>
    <w:rsid w:val="00267016"/>
    <w:rsid w:val="00275256"/>
    <w:rsid w:val="00282846"/>
    <w:rsid w:val="00287591"/>
    <w:rsid w:val="002937AA"/>
    <w:rsid w:val="00293F73"/>
    <w:rsid w:val="002B268A"/>
    <w:rsid w:val="002C2CED"/>
    <w:rsid w:val="002E0629"/>
    <w:rsid w:val="002E1E24"/>
    <w:rsid w:val="00321C9D"/>
    <w:rsid w:val="003406FA"/>
    <w:rsid w:val="00347C6C"/>
    <w:rsid w:val="003569B9"/>
    <w:rsid w:val="00360D20"/>
    <w:rsid w:val="0037058F"/>
    <w:rsid w:val="0037443F"/>
    <w:rsid w:val="003A2F08"/>
    <w:rsid w:val="003B0FCB"/>
    <w:rsid w:val="003C1937"/>
    <w:rsid w:val="003C42DB"/>
    <w:rsid w:val="003D4E2B"/>
    <w:rsid w:val="003E2610"/>
    <w:rsid w:val="003F1DE4"/>
    <w:rsid w:val="003F4302"/>
    <w:rsid w:val="00410532"/>
    <w:rsid w:val="00415495"/>
    <w:rsid w:val="004242E0"/>
    <w:rsid w:val="00455EFF"/>
    <w:rsid w:val="00494F20"/>
    <w:rsid w:val="004B3CB9"/>
    <w:rsid w:val="004B52C8"/>
    <w:rsid w:val="004D147C"/>
    <w:rsid w:val="004E3259"/>
    <w:rsid w:val="004E688D"/>
    <w:rsid w:val="004F2BD3"/>
    <w:rsid w:val="00523C58"/>
    <w:rsid w:val="0052797F"/>
    <w:rsid w:val="005649B0"/>
    <w:rsid w:val="00574593"/>
    <w:rsid w:val="0058464F"/>
    <w:rsid w:val="005869D1"/>
    <w:rsid w:val="005A7344"/>
    <w:rsid w:val="005E52FE"/>
    <w:rsid w:val="00604B0D"/>
    <w:rsid w:val="00605DB0"/>
    <w:rsid w:val="00611A4A"/>
    <w:rsid w:val="00614C57"/>
    <w:rsid w:val="006205D6"/>
    <w:rsid w:val="006224E0"/>
    <w:rsid w:val="0063339D"/>
    <w:rsid w:val="0064090B"/>
    <w:rsid w:val="006478A0"/>
    <w:rsid w:val="0066061B"/>
    <w:rsid w:val="00697EE2"/>
    <w:rsid w:val="006C7163"/>
    <w:rsid w:val="006F376C"/>
    <w:rsid w:val="00703FAB"/>
    <w:rsid w:val="0070619F"/>
    <w:rsid w:val="00712568"/>
    <w:rsid w:val="00722EC2"/>
    <w:rsid w:val="0072687F"/>
    <w:rsid w:val="00743BD4"/>
    <w:rsid w:val="00773325"/>
    <w:rsid w:val="00773AD2"/>
    <w:rsid w:val="00782CAC"/>
    <w:rsid w:val="00794A8D"/>
    <w:rsid w:val="007E019A"/>
    <w:rsid w:val="007E7DB3"/>
    <w:rsid w:val="008063C9"/>
    <w:rsid w:val="00840EB8"/>
    <w:rsid w:val="008449EA"/>
    <w:rsid w:val="008509DF"/>
    <w:rsid w:val="008534FB"/>
    <w:rsid w:val="0087048A"/>
    <w:rsid w:val="008752DD"/>
    <w:rsid w:val="008A5C4D"/>
    <w:rsid w:val="008E6261"/>
    <w:rsid w:val="008F2DC7"/>
    <w:rsid w:val="009025E5"/>
    <w:rsid w:val="00910A92"/>
    <w:rsid w:val="009123B1"/>
    <w:rsid w:val="0092581B"/>
    <w:rsid w:val="00960A6A"/>
    <w:rsid w:val="009625D6"/>
    <w:rsid w:val="0096529D"/>
    <w:rsid w:val="00975525"/>
    <w:rsid w:val="00983419"/>
    <w:rsid w:val="009A0ADF"/>
    <w:rsid w:val="009B26A0"/>
    <w:rsid w:val="009B4D51"/>
    <w:rsid w:val="009C4CFD"/>
    <w:rsid w:val="009C6103"/>
    <w:rsid w:val="00A06359"/>
    <w:rsid w:val="00A11E8A"/>
    <w:rsid w:val="00A14308"/>
    <w:rsid w:val="00A50B5B"/>
    <w:rsid w:val="00AA6951"/>
    <w:rsid w:val="00AD2602"/>
    <w:rsid w:val="00AE13B7"/>
    <w:rsid w:val="00B02EBF"/>
    <w:rsid w:val="00B80462"/>
    <w:rsid w:val="00B813BD"/>
    <w:rsid w:val="00B87C5F"/>
    <w:rsid w:val="00BD5029"/>
    <w:rsid w:val="00BF152F"/>
    <w:rsid w:val="00BF449E"/>
    <w:rsid w:val="00C21834"/>
    <w:rsid w:val="00C40269"/>
    <w:rsid w:val="00C47D61"/>
    <w:rsid w:val="00C512CF"/>
    <w:rsid w:val="00C520D4"/>
    <w:rsid w:val="00C86F44"/>
    <w:rsid w:val="00C923BF"/>
    <w:rsid w:val="00CB74CC"/>
    <w:rsid w:val="00CF0997"/>
    <w:rsid w:val="00CF5E60"/>
    <w:rsid w:val="00D32D53"/>
    <w:rsid w:val="00D33C57"/>
    <w:rsid w:val="00D80C18"/>
    <w:rsid w:val="00D859B6"/>
    <w:rsid w:val="00D95FAE"/>
    <w:rsid w:val="00D973AD"/>
    <w:rsid w:val="00D97B00"/>
    <w:rsid w:val="00DA27A1"/>
    <w:rsid w:val="00DB2B97"/>
    <w:rsid w:val="00DF7A0B"/>
    <w:rsid w:val="00E04742"/>
    <w:rsid w:val="00E26E0B"/>
    <w:rsid w:val="00E32B38"/>
    <w:rsid w:val="00E67F92"/>
    <w:rsid w:val="00E708ED"/>
    <w:rsid w:val="00E955DD"/>
    <w:rsid w:val="00EA49AB"/>
    <w:rsid w:val="00EB089F"/>
    <w:rsid w:val="00EB1F1D"/>
    <w:rsid w:val="00EF5A2A"/>
    <w:rsid w:val="00F02D0F"/>
    <w:rsid w:val="00F2136B"/>
    <w:rsid w:val="00F2443B"/>
    <w:rsid w:val="00F2711B"/>
    <w:rsid w:val="00F352B4"/>
    <w:rsid w:val="00F83CA5"/>
    <w:rsid w:val="00FA6700"/>
    <w:rsid w:val="00FC75B7"/>
    <w:rsid w:val="00FE0848"/>
    <w:rsid w:val="00FF4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FBEC30-CDE1-49DC-BD9F-C1C4D4E1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AA8"/>
  </w:style>
  <w:style w:type="paragraph" w:styleId="Footer">
    <w:name w:val="footer"/>
    <w:basedOn w:val="Normal"/>
    <w:link w:val="FooterChar"/>
    <w:uiPriority w:val="99"/>
    <w:unhideWhenUsed/>
    <w:rsid w:val="000D7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AA8"/>
  </w:style>
  <w:style w:type="paragraph" w:styleId="ListParagraph">
    <w:name w:val="List Paragraph"/>
    <w:basedOn w:val="Normal"/>
    <w:uiPriority w:val="34"/>
    <w:qFormat/>
    <w:rsid w:val="00AE13B7"/>
    <w:pPr>
      <w:ind w:left="720"/>
      <w:contextualSpacing/>
    </w:pPr>
  </w:style>
  <w:style w:type="table" w:styleId="TableGrid">
    <w:name w:val="Table Grid"/>
    <w:basedOn w:val="TableNormal"/>
    <w:uiPriority w:val="39"/>
    <w:rsid w:val="004B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0FAD"/>
    <w:rPr>
      <w:color w:val="0563C1" w:themeColor="hyperlink"/>
      <w:u w:val="single"/>
    </w:rPr>
  </w:style>
  <w:style w:type="character" w:styleId="FollowedHyperlink">
    <w:name w:val="FollowedHyperlink"/>
    <w:basedOn w:val="DefaultParagraphFont"/>
    <w:uiPriority w:val="99"/>
    <w:semiHidden/>
    <w:unhideWhenUsed/>
    <w:rsid w:val="00BF449E"/>
    <w:rPr>
      <w:color w:val="954F72" w:themeColor="followedHyperlink"/>
      <w:u w:val="single"/>
    </w:rPr>
  </w:style>
  <w:style w:type="paragraph" w:styleId="BalloonText">
    <w:name w:val="Balloon Text"/>
    <w:basedOn w:val="Normal"/>
    <w:link w:val="BalloonTextChar"/>
    <w:uiPriority w:val="99"/>
    <w:semiHidden/>
    <w:unhideWhenUsed/>
    <w:rsid w:val="00605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D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2765E-4DC6-478B-B046-BE3FB7D7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Chan</dc:creator>
  <cp:keywords/>
  <dc:description/>
  <cp:lastModifiedBy>Peter Chan</cp:lastModifiedBy>
  <cp:revision>7</cp:revision>
  <cp:lastPrinted>2021-04-13T05:42:00Z</cp:lastPrinted>
  <dcterms:created xsi:type="dcterms:W3CDTF">2022-02-07T04:44:00Z</dcterms:created>
  <dcterms:modified xsi:type="dcterms:W3CDTF">2022-02-09T05:09:00Z</dcterms:modified>
</cp:coreProperties>
</file>