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843193947" w:edGrp="everyone" w:displacedByCustomXml="next"/>
    <w:permEnd w:id="843193947" w:displacedByCustomXml="next"/>
    <w:sdt>
      <w:sdtPr>
        <w:rPr>
          <w:rStyle w:val="TitleChar"/>
        </w:rPr>
        <w:alias w:val="Title"/>
        <w:tag w:val="Title"/>
        <w:id w:val="-509987125"/>
        <w:lock w:val="sdtLocked"/>
        <w:placeholder>
          <w:docPart w:val="4D2EBAE950BF4F8EA8F9A6F62D1C0A9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938D7A8" w14:textId="36A19ABD" w:rsidR="00886C9D" w:rsidRPr="00886C9D" w:rsidRDefault="00426CCA" w:rsidP="004B6CEB">
          <w:pPr>
            <w:pStyle w:val="Title"/>
            <w:spacing w:before="3600"/>
          </w:pPr>
          <w:r>
            <w:rPr>
              <w:rStyle w:val="TitleChar"/>
            </w:rPr>
            <w:t>Work Health and Safety investigations and prosecutions</w:t>
          </w:r>
        </w:p>
      </w:sdtContent>
    </w:sdt>
    <w:p w14:paraId="64B60911" w14:textId="54FAD152" w:rsidR="00DD64C2" w:rsidRDefault="00426CCA" w:rsidP="001852AF">
      <w:pPr>
        <w:pStyle w:val="Subtitle0"/>
      </w:pPr>
      <w:r>
        <w:t>Information for injured workers and families</w:t>
      </w:r>
    </w:p>
    <w:p w14:paraId="6B2CDE27" w14:textId="7CA2C4F7" w:rsidR="007761D8" w:rsidRDefault="007761D8" w:rsidP="00885590"/>
    <w:p w14:paraId="0B6B2C2C" w14:textId="77777777" w:rsidR="0005553F" w:rsidRPr="00DD64C2" w:rsidRDefault="0005553F" w:rsidP="00885590">
      <w:pPr>
        <w:sectPr w:rsidR="0005553F" w:rsidRPr="00DD64C2" w:rsidSect="007F02DB">
          <w:headerReference w:type="default" r:id="rId9"/>
          <w:headerReference w:type="first" r:id="rId10"/>
          <w:footerReference w:type="first" r:id="rId11"/>
          <w:pgSz w:w="11906" w:h="16838" w:code="9"/>
          <w:pgMar w:top="794" w:right="794" w:bottom="794" w:left="794" w:header="96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3223FE" w14:paraId="6335724A" w14:textId="77777777" w:rsidTr="00882BB8">
        <w:trPr>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bottom w:val="nil"/>
            </w:tcBorders>
            <w:shd w:val="clear" w:color="auto" w:fill="DB7310"/>
          </w:tcPr>
          <w:p w14:paraId="335369D7" w14:textId="77777777" w:rsidR="003223FE" w:rsidRPr="00882BB8" w:rsidRDefault="003223FE" w:rsidP="006145BB">
            <w:pPr>
              <w:rPr>
                <w:b/>
                <w:color w:val="FFFFFF" w:themeColor="background1"/>
              </w:rPr>
            </w:pPr>
            <w:r w:rsidRPr="00882BB8">
              <w:rPr>
                <w:b/>
                <w:color w:val="FFFFFF" w:themeColor="background1"/>
              </w:rPr>
              <w:lastRenderedPageBreak/>
              <w:t>Document title</w:t>
            </w:r>
          </w:p>
        </w:tc>
        <w:tc>
          <w:tcPr>
            <w:tcW w:w="7938" w:type="dxa"/>
          </w:tcPr>
          <w:p w14:paraId="221037B2" w14:textId="05518408" w:rsidR="003223FE" w:rsidRPr="006145BB" w:rsidRDefault="00FF5475" w:rsidP="006145BB">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25ADA54921C74AFE97A1C836329F4EC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26CCA">
                  <w:t>Work Health and Safety investigations and prosecutions</w:t>
                </w:r>
              </w:sdtContent>
            </w:sdt>
          </w:p>
        </w:tc>
      </w:tr>
      <w:tr w:rsidR="003223FE" w14:paraId="3F34F1F5" w14:textId="77777777" w:rsidTr="00882BB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shd w:val="clear" w:color="auto" w:fill="DB7310"/>
          </w:tcPr>
          <w:p w14:paraId="146E7DCB" w14:textId="77777777" w:rsidR="003223FE" w:rsidRPr="00882BB8" w:rsidRDefault="003223FE" w:rsidP="006145BB">
            <w:pPr>
              <w:rPr>
                <w:b/>
                <w:color w:val="FFFFFF" w:themeColor="background1"/>
              </w:rPr>
            </w:pPr>
            <w:r w:rsidRPr="00882BB8">
              <w:rPr>
                <w:b/>
                <w:color w:val="FFFFFF" w:themeColor="background1"/>
              </w:rPr>
              <w:t>Contact details</w:t>
            </w:r>
          </w:p>
        </w:tc>
        <w:tc>
          <w:tcPr>
            <w:tcW w:w="7938" w:type="dxa"/>
          </w:tcPr>
          <w:p w14:paraId="6DDC805A" w14:textId="77777777" w:rsidR="003223FE" w:rsidRPr="006145BB" w:rsidRDefault="00EE573A" w:rsidP="006145BB">
            <w:pPr>
              <w:cnfStyle w:val="000000010000" w:firstRow="0" w:lastRow="0" w:firstColumn="0" w:lastColumn="0" w:oddVBand="0" w:evenVBand="0" w:oddHBand="0" w:evenHBand="1" w:firstRowFirstColumn="0" w:firstRowLastColumn="0" w:lastRowFirstColumn="0" w:lastRowLastColumn="0"/>
            </w:pPr>
            <w:r>
              <w:t>NT WorkSafe</w:t>
            </w:r>
          </w:p>
        </w:tc>
      </w:tr>
      <w:tr w:rsidR="003223FE" w14:paraId="3E1C8861" w14:textId="77777777" w:rsidTr="00882BB8">
        <w:trPr>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shd w:val="clear" w:color="auto" w:fill="DB7310"/>
          </w:tcPr>
          <w:p w14:paraId="6D33282E" w14:textId="77777777" w:rsidR="003223FE" w:rsidRPr="00882BB8" w:rsidRDefault="003223FE" w:rsidP="006145BB">
            <w:pPr>
              <w:rPr>
                <w:b/>
                <w:color w:val="FFFFFF" w:themeColor="background1"/>
              </w:rPr>
            </w:pPr>
            <w:r w:rsidRPr="00882BB8">
              <w:rPr>
                <w:b/>
                <w:color w:val="FFFFFF" w:themeColor="background1"/>
              </w:rPr>
              <w:t>Approved by</w:t>
            </w:r>
          </w:p>
        </w:tc>
        <w:tc>
          <w:tcPr>
            <w:tcW w:w="7938" w:type="dxa"/>
          </w:tcPr>
          <w:p w14:paraId="5E99674B" w14:textId="77777777" w:rsidR="003223FE" w:rsidRPr="006145BB" w:rsidRDefault="00EE573A" w:rsidP="006145BB">
            <w:pPr>
              <w:cnfStyle w:val="000000000000" w:firstRow="0" w:lastRow="0" w:firstColumn="0" w:lastColumn="0" w:oddVBand="0" w:evenVBand="0" w:oddHBand="0" w:evenHBand="0" w:firstRowFirstColumn="0" w:firstRowLastColumn="0" w:lastRowFirstColumn="0" w:lastRowLastColumn="0"/>
            </w:pPr>
            <w:r>
              <w:t>Executive Director, Peggy Cheong</w:t>
            </w:r>
          </w:p>
        </w:tc>
      </w:tr>
      <w:tr w:rsidR="003223FE" w14:paraId="27894710" w14:textId="77777777" w:rsidTr="00882BB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shd w:val="clear" w:color="auto" w:fill="DB7310"/>
          </w:tcPr>
          <w:p w14:paraId="67A8CCCC" w14:textId="77777777" w:rsidR="003223FE" w:rsidRPr="00882BB8" w:rsidRDefault="003223FE" w:rsidP="006145BB">
            <w:pPr>
              <w:rPr>
                <w:b/>
                <w:color w:val="FFFFFF" w:themeColor="background1"/>
              </w:rPr>
            </w:pPr>
            <w:r w:rsidRPr="00882BB8">
              <w:rPr>
                <w:b/>
                <w:color w:val="FFFFFF" w:themeColor="background1"/>
              </w:rPr>
              <w:t>Date approved</w:t>
            </w:r>
          </w:p>
        </w:tc>
        <w:tc>
          <w:tcPr>
            <w:tcW w:w="7938" w:type="dxa"/>
          </w:tcPr>
          <w:p w14:paraId="51C5ACF6" w14:textId="5DE84B94" w:rsidR="003223FE" w:rsidRPr="006145BB" w:rsidRDefault="005D5693" w:rsidP="006145BB">
            <w:pPr>
              <w:cnfStyle w:val="000000010000" w:firstRow="0" w:lastRow="0" w:firstColumn="0" w:lastColumn="0" w:oddVBand="0" w:evenVBand="0" w:oddHBand="0" w:evenHBand="1" w:firstRowFirstColumn="0" w:firstRowLastColumn="0" w:lastRowFirstColumn="0" w:lastRowLastColumn="0"/>
            </w:pPr>
            <w:r>
              <w:t>July 2023</w:t>
            </w:r>
          </w:p>
        </w:tc>
      </w:tr>
      <w:tr w:rsidR="003223FE" w14:paraId="668AA95E" w14:textId="77777777" w:rsidTr="00882BB8">
        <w:trPr>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shd w:val="clear" w:color="auto" w:fill="DB7310"/>
          </w:tcPr>
          <w:p w14:paraId="587807A7" w14:textId="77777777" w:rsidR="003223FE" w:rsidRPr="00882BB8" w:rsidRDefault="003223FE" w:rsidP="006145BB">
            <w:pPr>
              <w:rPr>
                <w:b/>
                <w:color w:val="FFFFFF" w:themeColor="background1"/>
              </w:rPr>
            </w:pPr>
            <w:r w:rsidRPr="00882BB8">
              <w:rPr>
                <w:b/>
                <w:color w:val="FFFFFF" w:themeColor="background1"/>
              </w:rPr>
              <w:t>Document review</w:t>
            </w:r>
          </w:p>
        </w:tc>
        <w:tc>
          <w:tcPr>
            <w:tcW w:w="7938" w:type="dxa"/>
          </w:tcPr>
          <w:p w14:paraId="0FCA7F84" w14:textId="77777777" w:rsidR="003223FE" w:rsidRPr="006145BB" w:rsidRDefault="00EE573A" w:rsidP="006145BB">
            <w:pPr>
              <w:cnfStyle w:val="000000000000" w:firstRow="0" w:lastRow="0" w:firstColumn="0" w:lastColumn="0" w:oddVBand="0" w:evenVBand="0" w:oddHBand="0" w:evenHBand="0" w:firstRowFirstColumn="0" w:firstRowLastColumn="0" w:lastRowFirstColumn="0" w:lastRowLastColumn="0"/>
            </w:pPr>
            <w:r>
              <w:t>Annually</w:t>
            </w:r>
          </w:p>
        </w:tc>
      </w:tr>
      <w:tr w:rsidR="001E1982" w14:paraId="40D8016D" w14:textId="77777777" w:rsidTr="00882BB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4" w:space="0" w:color="1F1F5F" w:themeColor="text1"/>
            </w:tcBorders>
            <w:shd w:val="clear" w:color="auto" w:fill="DB7310"/>
          </w:tcPr>
          <w:p w14:paraId="709060C0" w14:textId="77777777" w:rsidR="001E1982" w:rsidRPr="00882BB8" w:rsidRDefault="001E1982" w:rsidP="006145BB">
            <w:pPr>
              <w:rPr>
                <w:b/>
                <w:color w:val="FFFFFF" w:themeColor="background1"/>
              </w:rPr>
            </w:pPr>
            <w:r w:rsidRPr="00882BB8">
              <w:rPr>
                <w:b/>
                <w:color w:val="FFFFFF" w:themeColor="background1"/>
              </w:rPr>
              <w:t>TRM number</w:t>
            </w:r>
          </w:p>
        </w:tc>
        <w:tc>
          <w:tcPr>
            <w:tcW w:w="7938" w:type="dxa"/>
          </w:tcPr>
          <w:p w14:paraId="6DDC8B46" w14:textId="314B4179" w:rsidR="001E1982" w:rsidRPr="006145BB" w:rsidRDefault="005D5693" w:rsidP="006145BB">
            <w:pPr>
              <w:cnfStyle w:val="000000010000" w:firstRow="0" w:lastRow="0" w:firstColumn="0" w:lastColumn="0" w:oddVBand="0" w:evenVBand="0" w:oddHBand="0" w:evenHBand="1" w:firstRowFirstColumn="0" w:firstRowLastColumn="0" w:lastRowFirstColumn="0" w:lastRowLastColumn="0"/>
            </w:pPr>
            <w:r>
              <w:rPr>
                <w:spacing w:val="-2"/>
              </w:rPr>
              <w:t>NTWS2022/0467-</w:t>
            </w:r>
            <w:r>
              <w:rPr>
                <w:spacing w:val="-4"/>
              </w:rPr>
              <w:t>0009</w:t>
            </w:r>
          </w:p>
        </w:tc>
      </w:tr>
    </w:tbl>
    <w:p w14:paraId="39BB9C52" w14:textId="77777777" w:rsidR="003223FE" w:rsidRDefault="003223FE" w:rsidP="00702D61"/>
    <w:tbl>
      <w:tblPr>
        <w:tblStyle w:val="NTGtable1"/>
        <w:tblW w:w="10343" w:type="dxa"/>
        <w:tblLayout w:type="fixed"/>
        <w:tblLook w:val="0120" w:firstRow="1" w:lastRow="0" w:firstColumn="0" w:lastColumn="1" w:noHBand="0" w:noVBand="0"/>
      </w:tblPr>
      <w:tblGrid>
        <w:gridCol w:w="1129"/>
        <w:gridCol w:w="2268"/>
        <w:gridCol w:w="2552"/>
        <w:gridCol w:w="4394"/>
      </w:tblGrid>
      <w:tr w:rsidR="003223FE" w:rsidRPr="00E87DE1" w14:paraId="52350ABF" w14:textId="77777777" w:rsidTr="00882BB8">
        <w:trPr>
          <w:cnfStyle w:val="100000000000" w:firstRow="1" w:lastRow="0" w:firstColumn="0" w:lastColumn="0" w:oddVBand="0" w:evenVBand="0" w:oddHBand="0" w:evenHBand="0" w:firstRowFirstColumn="0" w:firstRowLastColumn="0" w:lastRowFirstColumn="0" w:lastRowLastColumn="0"/>
          <w:trHeight w:val="431"/>
        </w:trPr>
        <w:tc>
          <w:tcPr>
            <w:tcW w:w="1129" w:type="dxa"/>
            <w:shd w:val="clear" w:color="auto" w:fill="DB7310"/>
          </w:tcPr>
          <w:p w14:paraId="6D68DAF1" w14:textId="77777777" w:rsidR="003223FE" w:rsidRPr="00882BB8" w:rsidRDefault="003223FE" w:rsidP="007B59D3">
            <w:pPr>
              <w:rPr>
                <w:color w:val="FFFFFF" w:themeColor="background1"/>
              </w:rPr>
            </w:pPr>
            <w:r w:rsidRPr="00882BB8">
              <w:rPr>
                <w:color w:val="FFFFFF" w:themeColor="background1"/>
                <w:w w:val="105"/>
              </w:rPr>
              <w:t>Version</w:t>
            </w:r>
          </w:p>
        </w:tc>
        <w:tc>
          <w:tcPr>
            <w:tcW w:w="2268" w:type="dxa"/>
            <w:shd w:val="clear" w:color="auto" w:fill="DB7310"/>
          </w:tcPr>
          <w:p w14:paraId="6AA431A1" w14:textId="77777777" w:rsidR="003223FE" w:rsidRPr="00882BB8" w:rsidRDefault="003223FE" w:rsidP="007B59D3">
            <w:pPr>
              <w:rPr>
                <w:color w:val="FFFFFF" w:themeColor="background1"/>
              </w:rPr>
            </w:pPr>
            <w:r w:rsidRPr="00882BB8">
              <w:rPr>
                <w:color w:val="FFFFFF" w:themeColor="background1"/>
                <w:w w:val="105"/>
              </w:rPr>
              <w:t>Date</w:t>
            </w:r>
          </w:p>
        </w:tc>
        <w:tc>
          <w:tcPr>
            <w:tcW w:w="2552" w:type="dxa"/>
            <w:shd w:val="clear" w:color="auto" w:fill="DB7310"/>
          </w:tcPr>
          <w:p w14:paraId="3810E4DA" w14:textId="77777777" w:rsidR="003223FE" w:rsidRPr="00882BB8" w:rsidRDefault="003223FE" w:rsidP="007B59D3">
            <w:pPr>
              <w:rPr>
                <w:color w:val="FFFFFF" w:themeColor="background1"/>
              </w:rPr>
            </w:pPr>
            <w:r w:rsidRPr="00882BB8">
              <w:rPr>
                <w:color w:val="FFFFFF" w:themeColor="background1"/>
                <w:w w:val="105"/>
              </w:rPr>
              <w:t>Author</w:t>
            </w:r>
          </w:p>
        </w:tc>
        <w:tc>
          <w:tcPr>
            <w:tcW w:w="4394" w:type="dxa"/>
            <w:shd w:val="clear" w:color="auto" w:fill="DB7310"/>
          </w:tcPr>
          <w:p w14:paraId="7B28403B" w14:textId="77777777" w:rsidR="003223FE" w:rsidRPr="00882BB8" w:rsidRDefault="003223FE" w:rsidP="007B59D3">
            <w:pPr>
              <w:rPr>
                <w:color w:val="FFFFFF" w:themeColor="background1"/>
              </w:rPr>
            </w:pPr>
            <w:r w:rsidRPr="00882BB8">
              <w:rPr>
                <w:color w:val="FFFFFF" w:themeColor="background1"/>
              </w:rPr>
              <w:t>Changes made</w:t>
            </w:r>
          </w:p>
        </w:tc>
      </w:tr>
      <w:tr w:rsidR="003223FE" w:rsidRPr="00E87DE1" w14:paraId="4B946E5E" w14:textId="77777777" w:rsidTr="00A71E1C">
        <w:trPr>
          <w:trHeight w:val="431"/>
        </w:trPr>
        <w:tc>
          <w:tcPr>
            <w:tcW w:w="1129" w:type="dxa"/>
          </w:tcPr>
          <w:p w14:paraId="57EA3034" w14:textId="77777777" w:rsidR="003223FE" w:rsidRPr="006145BB" w:rsidRDefault="00427383" w:rsidP="006145BB">
            <w:r>
              <w:t>1.0</w:t>
            </w:r>
          </w:p>
        </w:tc>
        <w:tc>
          <w:tcPr>
            <w:tcW w:w="2268" w:type="dxa"/>
          </w:tcPr>
          <w:p w14:paraId="4E482D88" w14:textId="7522D9F8" w:rsidR="003223FE" w:rsidRPr="006145BB" w:rsidRDefault="005D5693" w:rsidP="006145BB">
            <w:r>
              <w:t>February 2023</w:t>
            </w:r>
          </w:p>
        </w:tc>
        <w:tc>
          <w:tcPr>
            <w:tcW w:w="2552" w:type="dxa"/>
          </w:tcPr>
          <w:p w14:paraId="420790CC" w14:textId="6AE6942C" w:rsidR="003223FE" w:rsidRPr="006145BB" w:rsidRDefault="005D5693" w:rsidP="005D5693">
            <w:r>
              <w:t>Tanya McKeon</w:t>
            </w:r>
          </w:p>
        </w:tc>
        <w:tc>
          <w:tcPr>
            <w:tcW w:w="4394" w:type="dxa"/>
          </w:tcPr>
          <w:p w14:paraId="374ACC82" w14:textId="1D28AE43" w:rsidR="003223FE" w:rsidRPr="006145BB" w:rsidRDefault="005D5693" w:rsidP="006145BB">
            <w:r>
              <w:rPr>
                <w:noProof/>
                <w:lang w:eastAsia="en-AU"/>
              </w:rPr>
              <w:drawing>
                <wp:anchor distT="0" distB="0" distL="114300" distR="114300" simplePos="0" relativeHeight="251660288" behindDoc="0" locked="0" layoutInCell="1" allowOverlap="1" wp14:anchorId="1660C52B" wp14:editId="78CA6FA8">
                  <wp:simplePos x="0" y="0"/>
                  <wp:positionH relativeFrom="column">
                    <wp:posOffset>1205230</wp:posOffset>
                  </wp:positionH>
                  <wp:positionV relativeFrom="paragraph">
                    <wp:posOffset>192405</wp:posOffset>
                  </wp:positionV>
                  <wp:extent cx="737870" cy="44513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7870" cy="445135"/>
                          </a:xfrm>
                          <a:prstGeom prst="rect">
                            <a:avLst/>
                          </a:prstGeom>
                          <a:noFill/>
                        </pic:spPr>
                      </pic:pic>
                    </a:graphicData>
                  </a:graphic>
                  <wp14:sizeRelH relativeFrom="page">
                    <wp14:pctWidth>0</wp14:pctWidth>
                  </wp14:sizeRelH>
                  <wp14:sizeRelV relativeFrom="page">
                    <wp14:pctHeight>0</wp14:pctHeight>
                  </wp14:sizeRelV>
                </wp:anchor>
              </w:drawing>
            </w:r>
            <w:r w:rsidR="00427383">
              <w:t>First Version.</w:t>
            </w:r>
          </w:p>
        </w:tc>
      </w:tr>
      <w:tr w:rsidR="003223FE" w:rsidRPr="00E87DE1" w14:paraId="54FDB51C"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185AEF82" w14:textId="74443945" w:rsidR="003223FE" w:rsidRPr="006145BB" w:rsidRDefault="005D5693" w:rsidP="006145BB">
            <w:r>
              <w:t>1.1</w:t>
            </w:r>
          </w:p>
        </w:tc>
        <w:tc>
          <w:tcPr>
            <w:tcW w:w="2268" w:type="dxa"/>
            <w:tcBorders>
              <w:bottom w:val="nil"/>
            </w:tcBorders>
          </w:tcPr>
          <w:p w14:paraId="73A2FC28" w14:textId="54F4683C" w:rsidR="003223FE" w:rsidRPr="006145BB" w:rsidRDefault="005D5693" w:rsidP="006145BB">
            <w:r>
              <w:t>September 2023</w:t>
            </w:r>
          </w:p>
        </w:tc>
        <w:tc>
          <w:tcPr>
            <w:tcW w:w="2552" w:type="dxa"/>
            <w:tcBorders>
              <w:bottom w:val="nil"/>
            </w:tcBorders>
          </w:tcPr>
          <w:p w14:paraId="4EB071A2" w14:textId="0599EE78" w:rsidR="003223FE" w:rsidRPr="006145BB" w:rsidRDefault="005D5693" w:rsidP="006145BB">
            <w:r>
              <w:t>Tanya McKeon</w:t>
            </w:r>
          </w:p>
        </w:tc>
        <w:tc>
          <w:tcPr>
            <w:tcW w:w="4394" w:type="dxa"/>
            <w:tcBorders>
              <w:bottom w:val="nil"/>
            </w:tcBorders>
          </w:tcPr>
          <w:p w14:paraId="62042B4B" w14:textId="1BF83C29" w:rsidR="003223FE" w:rsidRPr="006145BB" w:rsidRDefault="005D5693" w:rsidP="006145BB">
            <w:r>
              <w:t xml:space="preserve">Approved by ED </w:t>
            </w:r>
          </w:p>
        </w:tc>
      </w:tr>
      <w:tr w:rsidR="003223FE" w:rsidRPr="00E87DE1" w14:paraId="09B84997" w14:textId="77777777" w:rsidTr="00A71E1C">
        <w:trPr>
          <w:trHeight w:val="431"/>
        </w:trPr>
        <w:tc>
          <w:tcPr>
            <w:tcW w:w="1129" w:type="dxa"/>
            <w:tcBorders>
              <w:bottom w:val="single" w:sz="4" w:space="0" w:color="1F1F5F" w:themeColor="text1"/>
            </w:tcBorders>
          </w:tcPr>
          <w:p w14:paraId="2419DD59" w14:textId="694E677C" w:rsidR="003223FE" w:rsidRPr="006145BB" w:rsidRDefault="00901353" w:rsidP="006145BB">
            <w:r>
              <w:t>1.2</w:t>
            </w:r>
          </w:p>
        </w:tc>
        <w:tc>
          <w:tcPr>
            <w:tcW w:w="2268" w:type="dxa"/>
            <w:tcBorders>
              <w:bottom w:val="single" w:sz="4" w:space="0" w:color="1F1F5F" w:themeColor="text1"/>
            </w:tcBorders>
          </w:tcPr>
          <w:p w14:paraId="0F4D6192" w14:textId="7410EF68" w:rsidR="003223FE" w:rsidRPr="006145BB" w:rsidRDefault="00901353" w:rsidP="006145BB">
            <w:r>
              <w:t>March 2024</w:t>
            </w:r>
          </w:p>
        </w:tc>
        <w:tc>
          <w:tcPr>
            <w:tcW w:w="2552" w:type="dxa"/>
            <w:tcBorders>
              <w:bottom w:val="single" w:sz="4" w:space="0" w:color="1F1F5F" w:themeColor="text1"/>
            </w:tcBorders>
          </w:tcPr>
          <w:p w14:paraId="26A4E765" w14:textId="560D79F3" w:rsidR="003223FE" w:rsidRPr="006145BB" w:rsidRDefault="00901353" w:rsidP="006145BB">
            <w:r>
              <w:t>P. Chan</w:t>
            </w:r>
          </w:p>
        </w:tc>
        <w:tc>
          <w:tcPr>
            <w:tcW w:w="4394" w:type="dxa"/>
            <w:tcBorders>
              <w:bottom w:val="single" w:sz="4" w:space="0" w:color="1F1F5F" w:themeColor="text1"/>
            </w:tcBorders>
          </w:tcPr>
          <w:p w14:paraId="1F4DE0DD" w14:textId="6674DF42" w:rsidR="003223FE" w:rsidRPr="006145BB" w:rsidRDefault="00901353" w:rsidP="006145BB">
            <w:r>
              <w:t>Inclusion of NT WorkSafe Support Officer</w:t>
            </w:r>
          </w:p>
        </w:tc>
      </w:tr>
    </w:tbl>
    <w:p w14:paraId="7DEBEE62" w14:textId="77777777" w:rsidR="003223FE" w:rsidRDefault="003223FE" w:rsidP="00702D61"/>
    <w:tbl>
      <w:tblPr>
        <w:tblStyle w:val="NTGtable1"/>
        <w:tblW w:w="10343" w:type="dxa"/>
        <w:tblLayout w:type="fixed"/>
        <w:tblLook w:val="0120" w:firstRow="1" w:lastRow="0" w:firstColumn="0" w:lastColumn="1" w:noHBand="0" w:noVBand="0"/>
      </w:tblPr>
      <w:tblGrid>
        <w:gridCol w:w="1980"/>
        <w:gridCol w:w="8363"/>
      </w:tblGrid>
      <w:tr w:rsidR="003223FE" w:rsidRPr="00E87DE1" w14:paraId="4968CB1C" w14:textId="77777777" w:rsidTr="00882BB8">
        <w:trPr>
          <w:cnfStyle w:val="100000000000" w:firstRow="1" w:lastRow="0" w:firstColumn="0" w:lastColumn="0" w:oddVBand="0" w:evenVBand="0" w:oddHBand="0" w:evenHBand="0" w:firstRowFirstColumn="0" w:firstRowLastColumn="0" w:lastRowFirstColumn="0" w:lastRowLastColumn="0"/>
          <w:trHeight w:val="431"/>
        </w:trPr>
        <w:tc>
          <w:tcPr>
            <w:tcW w:w="1980" w:type="dxa"/>
            <w:shd w:val="clear" w:color="auto" w:fill="DB7310"/>
          </w:tcPr>
          <w:p w14:paraId="5F251F35" w14:textId="77777777" w:rsidR="003223FE" w:rsidRPr="00882BB8" w:rsidRDefault="003223FE" w:rsidP="007B59D3">
            <w:pPr>
              <w:rPr>
                <w:color w:val="FFFFFF" w:themeColor="background1"/>
              </w:rPr>
            </w:pPr>
            <w:r w:rsidRPr="00882BB8">
              <w:rPr>
                <w:color w:val="FFFFFF" w:themeColor="background1"/>
                <w:w w:val="105"/>
              </w:rPr>
              <w:t>Acronyms</w:t>
            </w:r>
          </w:p>
        </w:tc>
        <w:tc>
          <w:tcPr>
            <w:tcW w:w="8363" w:type="dxa"/>
            <w:shd w:val="clear" w:color="auto" w:fill="DB7310"/>
          </w:tcPr>
          <w:p w14:paraId="2E2B2CF7" w14:textId="77777777" w:rsidR="003223FE" w:rsidRPr="00882BB8" w:rsidRDefault="003223FE" w:rsidP="007B59D3">
            <w:pPr>
              <w:rPr>
                <w:color w:val="FFFFFF" w:themeColor="background1"/>
              </w:rPr>
            </w:pPr>
            <w:r w:rsidRPr="00882BB8">
              <w:rPr>
                <w:color w:val="FFFFFF" w:themeColor="background1"/>
                <w:w w:val="105"/>
              </w:rPr>
              <w:t>Full</w:t>
            </w:r>
            <w:r w:rsidRPr="00882BB8">
              <w:rPr>
                <w:color w:val="FFFFFF" w:themeColor="background1"/>
                <w:spacing w:val="-17"/>
                <w:w w:val="105"/>
              </w:rPr>
              <w:t xml:space="preserve"> </w:t>
            </w:r>
            <w:r w:rsidRPr="00882BB8">
              <w:rPr>
                <w:color w:val="FFFFFF" w:themeColor="background1"/>
                <w:w w:val="105"/>
              </w:rPr>
              <w:t>form</w:t>
            </w:r>
          </w:p>
        </w:tc>
      </w:tr>
      <w:tr w:rsidR="00EF4222" w:rsidRPr="00E87DE1" w14:paraId="0C527396" w14:textId="77777777" w:rsidTr="00A71E1C">
        <w:trPr>
          <w:trHeight w:val="431"/>
        </w:trPr>
        <w:tc>
          <w:tcPr>
            <w:tcW w:w="1980" w:type="dxa"/>
          </w:tcPr>
          <w:p w14:paraId="6A754EC0" w14:textId="5A607813" w:rsidR="00EF4222" w:rsidRDefault="005D5693" w:rsidP="006145BB">
            <w:r>
              <w:t>LAS</w:t>
            </w:r>
          </w:p>
        </w:tc>
        <w:tc>
          <w:tcPr>
            <w:tcW w:w="8363" w:type="dxa"/>
          </w:tcPr>
          <w:p w14:paraId="315B0819" w14:textId="3C19D05E" w:rsidR="00EF4222" w:rsidRDefault="005D5693" w:rsidP="006145BB">
            <w:r>
              <w:t>Licensing and Advisory Services</w:t>
            </w:r>
          </w:p>
        </w:tc>
      </w:tr>
      <w:tr w:rsidR="00EF4222" w:rsidRPr="00E87DE1" w14:paraId="0FF65C1F"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5229066D" w14:textId="0F07BE52" w:rsidR="00EF4222" w:rsidRDefault="005D5693" w:rsidP="006145BB">
            <w:r>
              <w:t>NTWS</w:t>
            </w:r>
          </w:p>
        </w:tc>
        <w:tc>
          <w:tcPr>
            <w:tcW w:w="8363" w:type="dxa"/>
          </w:tcPr>
          <w:p w14:paraId="0AE861A3" w14:textId="471C6E42" w:rsidR="00EF4222" w:rsidRDefault="005D5693" w:rsidP="006145BB">
            <w:r>
              <w:t>NT WorkSafe</w:t>
            </w:r>
          </w:p>
        </w:tc>
      </w:tr>
      <w:tr w:rsidR="00EF4222" w:rsidRPr="00E87DE1" w14:paraId="5ECFC3CC" w14:textId="77777777" w:rsidTr="00A71E1C">
        <w:trPr>
          <w:trHeight w:val="431"/>
        </w:trPr>
        <w:tc>
          <w:tcPr>
            <w:tcW w:w="1980" w:type="dxa"/>
          </w:tcPr>
          <w:p w14:paraId="7938C3AF" w14:textId="4D2DCDB8" w:rsidR="00EF4222" w:rsidRDefault="00426CCA" w:rsidP="00EF4222">
            <w:r>
              <w:t>WHS</w:t>
            </w:r>
          </w:p>
        </w:tc>
        <w:tc>
          <w:tcPr>
            <w:tcW w:w="8363" w:type="dxa"/>
          </w:tcPr>
          <w:p w14:paraId="11B81A25" w14:textId="1E007E2A" w:rsidR="00EF4222" w:rsidRDefault="00426CCA" w:rsidP="00EF4222">
            <w:r>
              <w:t>Work Health and Safety</w:t>
            </w:r>
          </w:p>
        </w:tc>
      </w:tr>
      <w:tr w:rsidR="00EF4222" w:rsidRPr="00E87DE1" w14:paraId="07433B4A"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63975873" w14:textId="6B6F3C6E" w:rsidR="00EF4222" w:rsidRPr="006145BB" w:rsidRDefault="00EF4222" w:rsidP="00EF4222"/>
        </w:tc>
        <w:tc>
          <w:tcPr>
            <w:tcW w:w="8363" w:type="dxa"/>
          </w:tcPr>
          <w:p w14:paraId="402930D5" w14:textId="09B47814" w:rsidR="00EF4222" w:rsidRPr="006145BB" w:rsidRDefault="00EF4222" w:rsidP="00EF4222"/>
        </w:tc>
      </w:tr>
      <w:tr w:rsidR="00EF4222" w:rsidRPr="00E87DE1" w14:paraId="045E661F" w14:textId="77777777" w:rsidTr="00A71E1C">
        <w:trPr>
          <w:trHeight w:val="431"/>
        </w:trPr>
        <w:tc>
          <w:tcPr>
            <w:tcW w:w="1980" w:type="dxa"/>
            <w:tcBorders>
              <w:bottom w:val="nil"/>
            </w:tcBorders>
          </w:tcPr>
          <w:p w14:paraId="39464C8A" w14:textId="0D9D8104" w:rsidR="00EF4222" w:rsidRDefault="00EF4222" w:rsidP="00EF4222"/>
        </w:tc>
        <w:tc>
          <w:tcPr>
            <w:tcW w:w="8363" w:type="dxa"/>
            <w:tcBorders>
              <w:bottom w:val="nil"/>
            </w:tcBorders>
          </w:tcPr>
          <w:p w14:paraId="58F32EFC" w14:textId="256E2566" w:rsidR="00EF4222" w:rsidRDefault="00EF4222" w:rsidP="00EF4222"/>
        </w:tc>
      </w:tr>
      <w:tr w:rsidR="00EF4222" w:rsidRPr="00E87DE1" w14:paraId="3449873A"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34806E4E" w14:textId="2048803B" w:rsidR="00EF4222" w:rsidRPr="006145BB" w:rsidRDefault="00EF4222" w:rsidP="00EF4222"/>
        </w:tc>
        <w:tc>
          <w:tcPr>
            <w:tcW w:w="8363" w:type="dxa"/>
            <w:tcBorders>
              <w:bottom w:val="nil"/>
            </w:tcBorders>
          </w:tcPr>
          <w:p w14:paraId="3E148545" w14:textId="6E6B2A73" w:rsidR="00EF4222" w:rsidRPr="006145BB" w:rsidRDefault="00EF4222" w:rsidP="00EF4222"/>
        </w:tc>
      </w:tr>
      <w:tr w:rsidR="00EF4222" w:rsidRPr="00E87DE1" w14:paraId="257C4388" w14:textId="77777777" w:rsidTr="00A71E1C">
        <w:trPr>
          <w:trHeight w:val="431"/>
        </w:trPr>
        <w:tc>
          <w:tcPr>
            <w:tcW w:w="1980" w:type="dxa"/>
          </w:tcPr>
          <w:p w14:paraId="03D589C6" w14:textId="77777777" w:rsidR="00EF4222" w:rsidRPr="006145BB" w:rsidRDefault="00EF4222" w:rsidP="00EF4222"/>
        </w:tc>
        <w:tc>
          <w:tcPr>
            <w:tcW w:w="8363" w:type="dxa"/>
          </w:tcPr>
          <w:p w14:paraId="32133245" w14:textId="77777777" w:rsidR="00EF4222" w:rsidRPr="006145BB" w:rsidRDefault="00EF4222" w:rsidP="00EF4222"/>
        </w:tc>
      </w:tr>
      <w:tr w:rsidR="00EF4222" w:rsidRPr="00E87DE1" w14:paraId="00D682DF"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2B37704E" w14:textId="77777777" w:rsidR="00EF4222" w:rsidRPr="006145BB" w:rsidRDefault="00EF4222" w:rsidP="00EF4222"/>
        </w:tc>
        <w:tc>
          <w:tcPr>
            <w:tcW w:w="8363" w:type="dxa"/>
          </w:tcPr>
          <w:p w14:paraId="08DC2726" w14:textId="77777777" w:rsidR="00EF4222" w:rsidRPr="006145BB" w:rsidRDefault="00EF4222" w:rsidP="00EF4222"/>
        </w:tc>
      </w:tr>
    </w:tbl>
    <w:p w14:paraId="406762FA"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594CF2FA" w14:textId="77777777" w:rsidR="00964B22" w:rsidRPr="00422874" w:rsidRDefault="00964B22" w:rsidP="00074573">
          <w:pPr>
            <w:pStyle w:val="TOCHeading"/>
            <w:tabs>
              <w:tab w:val="left" w:pos="9444"/>
            </w:tabs>
            <w:rPr>
              <w:lang w:eastAsia="ja-JP"/>
            </w:rPr>
          </w:pPr>
          <w:r w:rsidRPr="00422874">
            <w:t>Contents</w:t>
          </w:r>
        </w:p>
        <w:p w14:paraId="5E4B1B55" w14:textId="044C1037" w:rsidR="0005553F"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56383769" w:history="1">
            <w:r w:rsidR="0005553F" w:rsidRPr="008A6E82">
              <w:rPr>
                <w:rStyle w:val="Hyperlink"/>
                <w:noProof/>
                <w:lang w:eastAsia="en-AU"/>
              </w:rPr>
              <w:t>Introduction</w:t>
            </w:r>
            <w:r w:rsidR="0005553F">
              <w:rPr>
                <w:noProof/>
                <w:webHidden/>
              </w:rPr>
              <w:tab/>
            </w:r>
            <w:r w:rsidR="0005553F">
              <w:rPr>
                <w:noProof/>
                <w:webHidden/>
              </w:rPr>
              <w:fldChar w:fldCharType="begin"/>
            </w:r>
            <w:r w:rsidR="0005553F">
              <w:rPr>
                <w:noProof/>
                <w:webHidden/>
              </w:rPr>
              <w:instrText xml:space="preserve"> PAGEREF _Toc156383769 \h </w:instrText>
            </w:r>
            <w:r w:rsidR="0005553F">
              <w:rPr>
                <w:noProof/>
                <w:webHidden/>
              </w:rPr>
            </w:r>
            <w:r w:rsidR="0005553F">
              <w:rPr>
                <w:noProof/>
                <w:webHidden/>
              </w:rPr>
              <w:fldChar w:fldCharType="separate"/>
            </w:r>
            <w:r w:rsidR="0005553F">
              <w:rPr>
                <w:noProof/>
                <w:webHidden/>
              </w:rPr>
              <w:t>4</w:t>
            </w:r>
            <w:r w:rsidR="0005553F">
              <w:rPr>
                <w:noProof/>
                <w:webHidden/>
              </w:rPr>
              <w:fldChar w:fldCharType="end"/>
            </w:r>
          </w:hyperlink>
        </w:p>
        <w:p w14:paraId="026482DE" w14:textId="50AECA59" w:rsidR="0005553F" w:rsidRDefault="00FF5475">
          <w:pPr>
            <w:pStyle w:val="TOC1"/>
            <w:rPr>
              <w:rFonts w:asciiTheme="minorHAnsi" w:eastAsiaTheme="minorEastAsia" w:hAnsiTheme="minorHAnsi" w:cstheme="minorBidi"/>
              <w:b w:val="0"/>
              <w:noProof/>
              <w:lang w:eastAsia="en-AU"/>
            </w:rPr>
          </w:pPr>
          <w:hyperlink w:anchor="_Toc156383770" w:history="1">
            <w:r w:rsidR="0005553F" w:rsidRPr="008A6E82">
              <w:rPr>
                <w:rStyle w:val="Hyperlink"/>
                <w:noProof/>
              </w:rPr>
              <w:t>Investigations</w:t>
            </w:r>
            <w:r w:rsidR="0005553F">
              <w:rPr>
                <w:noProof/>
                <w:webHidden/>
              </w:rPr>
              <w:tab/>
            </w:r>
            <w:r w:rsidR="0005553F">
              <w:rPr>
                <w:noProof/>
                <w:webHidden/>
              </w:rPr>
              <w:fldChar w:fldCharType="begin"/>
            </w:r>
            <w:r w:rsidR="0005553F">
              <w:rPr>
                <w:noProof/>
                <w:webHidden/>
              </w:rPr>
              <w:instrText xml:space="preserve"> PAGEREF _Toc156383770 \h </w:instrText>
            </w:r>
            <w:r w:rsidR="0005553F">
              <w:rPr>
                <w:noProof/>
                <w:webHidden/>
              </w:rPr>
            </w:r>
            <w:r w:rsidR="0005553F">
              <w:rPr>
                <w:noProof/>
                <w:webHidden/>
              </w:rPr>
              <w:fldChar w:fldCharType="separate"/>
            </w:r>
            <w:r w:rsidR="0005553F">
              <w:rPr>
                <w:noProof/>
                <w:webHidden/>
              </w:rPr>
              <w:t>4</w:t>
            </w:r>
            <w:r w:rsidR="0005553F">
              <w:rPr>
                <w:noProof/>
                <w:webHidden/>
              </w:rPr>
              <w:fldChar w:fldCharType="end"/>
            </w:r>
          </w:hyperlink>
        </w:p>
        <w:p w14:paraId="64FD4335" w14:textId="5A50CE4E" w:rsidR="0005553F" w:rsidRDefault="00FF5475">
          <w:pPr>
            <w:pStyle w:val="TOC1"/>
            <w:rPr>
              <w:rFonts w:asciiTheme="minorHAnsi" w:eastAsiaTheme="minorEastAsia" w:hAnsiTheme="minorHAnsi" w:cstheme="minorBidi"/>
              <w:b w:val="0"/>
              <w:noProof/>
              <w:lang w:eastAsia="en-AU"/>
            </w:rPr>
          </w:pPr>
          <w:hyperlink w:anchor="_Toc156383771" w:history="1">
            <w:r w:rsidR="0005553F" w:rsidRPr="008A6E82">
              <w:rPr>
                <w:rStyle w:val="Hyperlink"/>
                <w:noProof/>
              </w:rPr>
              <w:t>Prosecutions</w:t>
            </w:r>
            <w:r w:rsidR="0005553F">
              <w:rPr>
                <w:noProof/>
                <w:webHidden/>
              </w:rPr>
              <w:tab/>
            </w:r>
            <w:r w:rsidR="0005553F">
              <w:rPr>
                <w:noProof/>
                <w:webHidden/>
              </w:rPr>
              <w:fldChar w:fldCharType="begin"/>
            </w:r>
            <w:r w:rsidR="0005553F">
              <w:rPr>
                <w:noProof/>
                <w:webHidden/>
              </w:rPr>
              <w:instrText xml:space="preserve"> PAGEREF _Toc156383771 \h </w:instrText>
            </w:r>
            <w:r w:rsidR="0005553F">
              <w:rPr>
                <w:noProof/>
                <w:webHidden/>
              </w:rPr>
            </w:r>
            <w:r w:rsidR="0005553F">
              <w:rPr>
                <w:noProof/>
                <w:webHidden/>
              </w:rPr>
              <w:fldChar w:fldCharType="separate"/>
            </w:r>
            <w:r w:rsidR="0005553F">
              <w:rPr>
                <w:noProof/>
                <w:webHidden/>
              </w:rPr>
              <w:t>5</w:t>
            </w:r>
            <w:r w:rsidR="0005553F">
              <w:rPr>
                <w:noProof/>
                <w:webHidden/>
              </w:rPr>
              <w:fldChar w:fldCharType="end"/>
            </w:r>
          </w:hyperlink>
        </w:p>
        <w:p w14:paraId="630829D0" w14:textId="5524F3A8" w:rsidR="0005553F" w:rsidRDefault="00FF5475">
          <w:pPr>
            <w:pStyle w:val="TOC1"/>
            <w:rPr>
              <w:rFonts w:asciiTheme="minorHAnsi" w:eastAsiaTheme="minorEastAsia" w:hAnsiTheme="minorHAnsi" w:cstheme="minorBidi"/>
              <w:b w:val="0"/>
              <w:noProof/>
              <w:lang w:eastAsia="en-AU"/>
            </w:rPr>
          </w:pPr>
          <w:hyperlink w:anchor="_Toc156383772" w:history="1">
            <w:r w:rsidR="0005553F" w:rsidRPr="008A6E82">
              <w:rPr>
                <w:rStyle w:val="Hyperlink"/>
                <w:noProof/>
              </w:rPr>
              <w:t>How NT WorkSafe will keep you informed</w:t>
            </w:r>
            <w:r w:rsidR="0005553F">
              <w:rPr>
                <w:noProof/>
                <w:webHidden/>
              </w:rPr>
              <w:tab/>
            </w:r>
            <w:r w:rsidR="0005553F">
              <w:rPr>
                <w:noProof/>
                <w:webHidden/>
              </w:rPr>
              <w:fldChar w:fldCharType="begin"/>
            </w:r>
            <w:r w:rsidR="0005553F">
              <w:rPr>
                <w:noProof/>
                <w:webHidden/>
              </w:rPr>
              <w:instrText xml:space="preserve"> PAGEREF _Toc156383772 \h </w:instrText>
            </w:r>
            <w:r w:rsidR="0005553F">
              <w:rPr>
                <w:noProof/>
                <w:webHidden/>
              </w:rPr>
            </w:r>
            <w:r w:rsidR="0005553F">
              <w:rPr>
                <w:noProof/>
                <w:webHidden/>
              </w:rPr>
              <w:fldChar w:fldCharType="separate"/>
            </w:r>
            <w:r w:rsidR="0005553F">
              <w:rPr>
                <w:noProof/>
                <w:webHidden/>
              </w:rPr>
              <w:t>5</w:t>
            </w:r>
            <w:r w:rsidR="0005553F">
              <w:rPr>
                <w:noProof/>
                <w:webHidden/>
              </w:rPr>
              <w:fldChar w:fldCharType="end"/>
            </w:r>
          </w:hyperlink>
        </w:p>
        <w:p w14:paraId="4B38EE13" w14:textId="16A66F5F" w:rsidR="0005553F" w:rsidRDefault="00FF5475">
          <w:pPr>
            <w:pStyle w:val="TOC1"/>
            <w:rPr>
              <w:rFonts w:asciiTheme="minorHAnsi" w:eastAsiaTheme="minorEastAsia" w:hAnsiTheme="minorHAnsi" w:cstheme="minorBidi"/>
              <w:b w:val="0"/>
              <w:noProof/>
              <w:lang w:eastAsia="en-AU"/>
            </w:rPr>
          </w:pPr>
          <w:hyperlink w:anchor="_Toc156383773" w:history="1">
            <w:r w:rsidR="0005553F" w:rsidRPr="008A6E82">
              <w:rPr>
                <w:rStyle w:val="Hyperlink"/>
                <w:noProof/>
              </w:rPr>
              <w:t>Principles</w:t>
            </w:r>
            <w:r w:rsidR="0005553F">
              <w:rPr>
                <w:noProof/>
                <w:webHidden/>
              </w:rPr>
              <w:tab/>
            </w:r>
            <w:r w:rsidR="0005553F">
              <w:rPr>
                <w:noProof/>
                <w:webHidden/>
              </w:rPr>
              <w:fldChar w:fldCharType="begin"/>
            </w:r>
            <w:r w:rsidR="0005553F">
              <w:rPr>
                <w:noProof/>
                <w:webHidden/>
              </w:rPr>
              <w:instrText xml:space="preserve"> PAGEREF _Toc156383773 \h </w:instrText>
            </w:r>
            <w:r w:rsidR="0005553F">
              <w:rPr>
                <w:noProof/>
                <w:webHidden/>
              </w:rPr>
            </w:r>
            <w:r w:rsidR="0005553F">
              <w:rPr>
                <w:noProof/>
                <w:webHidden/>
              </w:rPr>
              <w:fldChar w:fldCharType="separate"/>
            </w:r>
            <w:r w:rsidR="0005553F">
              <w:rPr>
                <w:noProof/>
                <w:webHidden/>
              </w:rPr>
              <w:t>6</w:t>
            </w:r>
            <w:r w:rsidR="0005553F">
              <w:rPr>
                <w:noProof/>
                <w:webHidden/>
              </w:rPr>
              <w:fldChar w:fldCharType="end"/>
            </w:r>
          </w:hyperlink>
        </w:p>
        <w:p w14:paraId="62121CC0" w14:textId="510D35B2" w:rsidR="0005553F" w:rsidRDefault="00FF5475">
          <w:pPr>
            <w:pStyle w:val="TOC1"/>
            <w:rPr>
              <w:rFonts w:asciiTheme="minorHAnsi" w:eastAsiaTheme="minorEastAsia" w:hAnsiTheme="minorHAnsi" w:cstheme="minorBidi"/>
              <w:b w:val="0"/>
              <w:noProof/>
              <w:lang w:eastAsia="en-AU"/>
            </w:rPr>
          </w:pPr>
          <w:hyperlink w:anchor="_Toc156383774" w:history="1">
            <w:r w:rsidR="0005553F" w:rsidRPr="008A6E82">
              <w:rPr>
                <w:rStyle w:val="Hyperlink"/>
                <w:noProof/>
              </w:rPr>
              <w:t>Northern Territory Charter of Victims’ Rights</w:t>
            </w:r>
            <w:r w:rsidR="0005553F">
              <w:rPr>
                <w:noProof/>
                <w:webHidden/>
              </w:rPr>
              <w:tab/>
            </w:r>
            <w:r w:rsidR="0005553F">
              <w:rPr>
                <w:noProof/>
                <w:webHidden/>
              </w:rPr>
              <w:fldChar w:fldCharType="begin"/>
            </w:r>
            <w:r w:rsidR="0005553F">
              <w:rPr>
                <w:noProof/>
                <w:webHidden/>
              </w:rPr>
              <w:instrText xml:space="preserve"> PAGEREF _Toc156383774 \h </w:instrText>
            </w:r>
            <w:r w:rsidR="0005553F">
              <w:rPr>
                <w:noProof/>
                <w:webHidden/>
              </w:rPr>
            </w:r>
            <w:r w:rsidR="0005553F">
              <w:rPr>
                <w:noProof/>
                <w:webHidden/>
              </w:rPr>
              <w:fldChar w:fldCharType="separate"/>
            </w:r>
            <w:r w:rsidR="0005553F">
              <w:rPr>
                <w:noProof/>
                <w:webHidden/>
              </w:rPr>
              <w:t>6</w:t>
            </w:r>
            <w:r w:rsidR="0005553F">
              <w:rPr>
                <w:noProof/>
                <w:webHidden/>
              </w:rPr>
              <w:fldChar w:fldCharType="end"/>
            </w:r>
          </w:hyperlink>
        </w:p>
        <w:p w14:paraId="6BE5E763" w14:textId="6C599EC2" w:rsidR="0005553F" w:rsidRDefault="00FF5475">
          <w:pPr>
            <w:pStyle w:val="TOC1"/>
            <w:rPr>
              <w:rFonts w:asciiTheme="minorHAnsi" w:eastAsiaTheme="minorEastAsia" w:hAnsiTheme="minorHAnsi" w:cstheme="minorBidi"/>
              <w:b w:val="0"/>
              <w:noProof/>
              <w:lang w:eastAsia="en-AU"/>
            </w:rPr>
          </w:pPr>
          <w:hyperlink w:anchor="_Toc156383775" w:history="1">
            <w:r w:rsidR="0005553F" w:rsidRPr="008A6E82">
              <w:rPr>
                <w:rStyle w:val="Hyperlink"/>
                <w:noProof/>
              </w:rPr>
              <w:t>Victim Impact Statement</w:t>
            </w:r>
            <w:r w:rsidR="0005553F">
              <w:rPr>
                <w:noProof/>
                <w:webHidden/>
              </w:rPr>
              <w:tab/>
            </w:r>
            <w:r w:rsidR="0005553F">
              <w:rPr>
                <w:noProof/>
                <w:webHidden/>
              </w:rPr>
              <w:fldChar w:fldCharType="begin"/>
            </w:r>
            <w:r w:rsidR="0005553F">
              <w:rPr>
                <w:noProof/>
                <w:webHidden/>
              </w:rPr>
              <w:instrText xml:space="preserve"> PAGEREF _Toc156383775 \h </w:instrText>
            </w:r>
            <w:r w:rsidR="0005553F">
              <w:rPr>
                <w:noProof/>
                <w:webHidden/>
              </w:rPr>
            </w:r>
            <w:r w:rsidR="0005553F">
              <w:rPr>
                <w:noProof/>
                <w:webHidden/>
              </w:rPr>
              <w:fldChar w:fldCharType="separate"/>
            </w:r>
            <w:r w:rsidR="0005553F">
              <w:rPr>
                <w:noProof/>
                <w:webHidden/>
              </w:rPr>
              <w:t>6</w:t>
            </w:r>
            <w:r w:rsidR="0005553F">
              <w:rPr>
                <w:noProof/>
                <w:webHidden/>
              </w:rPr>
              <w:fldChar w:fldCharType="end"/>
            </w:r>
          </w:hyperlink>
        </w:p>
        <w:p w14:paraId="6DEAA18C" w14:textId="2769060F" w:rsidR="0005553F" w:rsidRDefault="00FF5475">
          <w:pPr>
            <w:pStyle w:val="TOC1"/>
            <w:rPr>
              <w:rFonts w:asciiTheme="minorHAnsi" w:eastAsiaTheme="minorEastAsia" w:hAnsiTheme="minorHAnsi" w:cstheme="minorBidi"/>
              <w:b w:val="0"/>
              <w:noProof/>
              <w:lang w:eastAsia="en-AU"/>
            </w:rPr>
          </w:pPr>
          <w:hyperlink w:anchor="_Toc156383776" w:history="1">
            <w:r w:rsidR="0005553F" w:rsidRPr="008A6E82">
              <w:rPr>
                <w:rStyle w:val="Hyperlink"/>
                <w:noProof/>
              </w:rPr>
              <w:t>Return of property</w:t>
            </w:r>
            <w:r w:rsidR="0005553F">
              <w:rPr>
                <w:noProof/>
                <w:webHidden/>
              </w:rPr>
              <w:tab/>
            </w:r>
            <w:r w:rsidR="0005553F">
              <w:rPr>
                <w:noProof/>
                <w:webHidden/>
              </w:rPr>
              <w:fldChar w:fldCharType="begin"/>
            </w:r>
            <w:r w:rsidR="0005553F">
              <w:rPr>
                <w:noProof/>
                <w:webHidden/>
              </w:rPr>
              <w:instrText xml:space="preserve"> PAGEREF _Toc156383776 \h </w:instrText>
            </w:r>
            <w:r w:rsidR="0005553F">
              <w:rPr>
                <w:noProof/>
                <w:webHidden/>
              </w:rPr>
            </w:r>
            <w:r w:rsidR="0005553F">
              <w:rPr>
                <w:noProof/>
                <w:webHidden/>
              </w:rPr>
              <w:fldChar w:fldCharType="separate"/>
            </w:r>
            <w:r w:rsidR="0005553F">
              <w:rPr>
                <w:noProof/>
                <w:webHidden/>
              </w:rPr>
              <w:t>6</w:t>
            </w:r>
            <w:r w:rsidR="0005553F">
              <w:rPr>
                <w:noProof/>
                <w:webHidden/>
              </w:rPr>
              <w:fldChar w:fldCharType="end"/>
            </w:r>
          </w:hyperlink>
        </w:p>
        <w:p w14:paraId="5D4456F1" w14:textId="666A1030" w:rsidR="0005553F" w:rsidRDefault="00FF5475">
          <w:pPr>
            <w:pStyle w:val="TOC1"/>
            <w:rPr>
              <w:rFonts w:asciiTheme="minorHAnsi" w:eastAsiaTheme="minorEastAsia" w:hAnsiTheme="minorHAnsi" w:cstheme="minorBidi"/>
              <w:b w:val="0"/>
              <w:noProof/>
              <w:lang w:eastAsia="en-AU"/>
            </w:rPr>
          </w:pPr>
          <w:hyperlink w:anchor="_Toc156383777" w:history="1">
            <w:r w:rsidR="0005553F" w:rsidRPr="008A6E82">
              <w:rPr>
                <w:rStyle w:val="Hyperlink"/>
                <w:noProof/>
              </w:rPr>
              <w:t>Financial Assistance for victims and families affected</w:t>
            </w:r>
            <w:r w:rsidR="0005553F">
              <w:rPr>
                <w:noProof/>
                <w:webHidden/>
              </w:rPr>
              <w:tab/>
            </w:r>
            <w:r w:rsidR="0005553F">
              <w:rPr>
                <w:noProof/>
                <w:webHidden/>
              </w:rPr>
              <w:fldChar w:fldCharType="begin"/>
            </w:r>
            <w:r w:rsidR="0005553F">
              <w:rPr>
                <w:noProof/>
                <w:webHidden/>
              </w:rPr>
              <w:instrText xml:space="preserve"> PAGEREF _Toc156383777 \h </w:instrText>
            </w:r>
            <w:r w:rsidR="0005553F">
              <w:rPr>
                <w:noProof/>
                <w:webHidden/>
              </w:rPr>
            </w:r>
            <w:r w:rsidR="0005553F">
              <w:rPr>
                <w:noProof/>
                <w:webHidden/>
              </w:rPr>
              <w:fldChar w:fldCharType="separate"/>
            </w:r>
            <w:r w:rsidR="0005553F">
              <w:rPr>
                <w:noProof/>
                <w:webHidden/>
              </w:rPr>
              <w:t>7</w:t>
            </w:r>
            <w:r w:rsidR="0005553F">
              <w:rPr>
                <w:noProof/>
                <w:webHidden/>
              </w:rPr>
              <w:fldChar w:fldCharType="end"/>
            </w:r>
          </w:hyperlink>
        </w:p>
        <w:p w14:paraId="21C848B9" w14:textId="2D93FE93" w:rsidR="0005553F" w:rsidRDefault="00FF5475">
          <w:pPr>
            <w:pStyle w:val="TOC1"/>
            <w:rPr>
              <w:rFonts w:asciiTheme="minorHAnsi" w:eastAsiaTheme="minorEastAsia" w:hAnsiTheme="minorHAnsi" w:cstheme="minorBidi"/>
              <w:b w:val="0"/>
              <w:noProof/>
              <w:lang w:eastAsia="en-AU"/>
            </w:rPr>
          </w:pPr>
          <w:hyperlink w:anchor="_Toc156383778" w:history="1">
            <w:r w:rsidR="0005553F" w:rsidRPr="008A6E82">
              <w:rPr>
                <w:rStyle w:val="Hyperlink"/>
                <w:noProof/>
              </w:rPr>
              <w:t>Financial Assistance for attending court to provide evidence</w:t>
            </w:r>
            <w:r w:rsidR="0005553F">
              <w:rPr>
                <w:noProof/>
                <w:webHidden/>
              </w:rPr>
              <w:tab/>
            </w:r>
            <w:r w:rsidR="0005553F">
              <w:rPr>
                <w:noProof/>
                <w:webHidden/>
              </w:rPr>
              <w:fldChar w:fldCharType="begin"/>
            </w:r>
            <w:r w:rsidR="0005553F">
              <w:rPr>
                <w:noProof/>
                <w:webHidden/>
              </w:rPr>
              <w:instrText xml:space="preserve"> PAGEREF _Toc156383778 \h </w:instrText>
            </w:r>
            <w:r w:rsidR="0005553F">
              <w:rPr>
                <w:noProof/>
                <w:webHidden/>
              </w:rPr>
            </w:r>
            <w:r w:rsidR="0005553F">
              <w:rPr>
                <w:noProof/>
                <w:webHidden/>
              </w:rPr>
              <w:fldChar w:fldCharType="separate"/>
            </w:r>
            <w:r w:rsidR="0005553F">
              <w:rPr>
                <w:noProof/>
                <w:webHidden/>
              </w:rPr>
              <w:t>7</w:t>
            </w:r>
            <w:r w:rsidR="0005553F">
              <w:rPr>
                <w:noProof/>
                <w:webHidden/>
              </w:rPr>
              <w:fldChar w:fldCharType="end"/>
            </w:r>
          </w:hyperlink>
        </w:p>
        <w:p w14:paraId="44D707C7" w14:textId="29AAB076"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0852442C" w14:textId="77777777" w:rsidR="00964B22" w:rsidRPr="002F2780" w:rsidRDefault="00964B22" w:rsidP="00964B22">
      <w:pPr>
        <w:sectPr w:rsidR="00964B22" w:rsidRPr="002F2780" w:rsidSect="00C800F1">
          <w:headerReference w:type="first" r:id="rId13"/>
          <w:footerReference w:type="first" r:id="rId14"/>
          <w:pgSz w:w="11906" w:h="16838" w:code="9"/>
          <w:pgMar w:top="794" w:right="794" w:bottom="794" w:left="794" w:header="794" w:footer="794" w:gutter="0"/>
          <w:cols w:space="708"/>
          <w:titlePg/>
          <w:docGrid w:linePitch="360"/>
        </w:sectPr>
      </w:pPr>
    </w:p>
    <w:p w14:paraId="570E0E85" w14:textId="77777777" w:rsidR="00BD7EFC" w:rsidRDefault="00132821" w:rsidP="00BD7EFC">
      <w:pPr>
        <w:pStyle w:val="Heading1"/>
        <w:ind w:left="432" w:hanging="432"/>
        <w:rPr>
          <w:noProof/>
          <w:lang w:eastAsia="en-AU"/>
        </w:rPr>
      </w:pPr>
      <w:bookmarkStart w:id="0" w:name="_Toc156383769"/>
      <w:r>
        <w:rPr>
          <w:noProof/>
          <w:lang w:eastAsia="en-AU"/>
        </w:rPr>
        <w:lastRenderedPageBreak/>
        <w:t>Introduction</w:t>
      </w:r>
      <w:bookmarkEnd w:id="0"/>
    </w:p>
    <w:p w14:paraId="106C46CD" w14:textId="77777777" w:rsidR="005D5693" w:rsidRDefault="005D5693" w:rsidP="005D5693">
      <w:r>
        <w:t>NT WorkSafe is the Territory’s work health and safety regulator. We work with workers, duty holders and stakeholders to ensure compliance with their duties under the Work Health and Safety (National Uniform Legislation) Act and other related legislation. NT WorkSafe staff, officers and inspectors also work with all relevant parties to identify and address work health and safety risks to reduce the number of work-related injuries and fatalities in the Northern Territory.</w:t>
      </w:r>
    </w:p>
    <w:p w14:paraId="24E4DCCC" w14:textId="75B1B820" w:rsidR="005D5693" w:rsidRDefault="005D5693" w:rsidP="005D5693">
      <w:r>
        <w:t xml:space="preserve">NT WorkSafe acknowledges that along with the wider impact on </w:t>
      </w:r>
      <w:r w:rsidR="000C40DB">
        <w:t>workers with</w:t>
      </w:r>
      <w:r>
        <w:t xml:space="preserve"> serious injury, there is significant ongoing impacts on friends and family associated with workplace injuries and fatalities. We are committed to assisting </w:t>
      </w:r>
      <w:r w:rsidR="000C40DB">
        <w:t>injured workers</w:t>
      </w:r>
      <w:r>
        <w:t>, friends and family who have been affected by workplace injuries or fatalities.</w:t>
      </w:r>
    </w:p>
    <w:p w14:paraId="7AF74C08" w14:textId="782444D5" w:rsidR="005D5693" w:rsidRDefault="005D5693" w:rsidP="005D5693">
      <w:r>
        <w:t xml:space="preserve">The assistance and cooperation of </w:t>
      </w:r>
      <w:r w:rsidR="000C40DB">
        <w:t>injured workers</w:t>
      </w:r>
      <w:r>
        <w:t xml:space="preserve">, witnesses, friends and families of </w:t>
      </w:r>
      <w:r w:rsidR="000C40DB">
        <w:t>injured workers</w:t>
      </w:r>
      <w:r>
        <w:t xml:space="preserve"> is crucial in investigations and prosecutions of appropriate cases carried out by NT WorkSafe. Those directly impacted or involved in an investigation or prosecution include a person seriously injured and their next of kin, the next of kin for a person fatally injured and business, workers and other duty holders involved in the incident.</w:t>
      </w:r>
    </w:p>
    <w:p w14:paraId="7C2CCB82" w14:textId="0D948378" w:rsidR="005D5693" w:rsidRDefault="005D5693" w:rsidP="005D5693">
      <w:r>
        <w:t>Th</w:t>
      </w:r>
      <w:r w:rsidR="00646F4B">
        <w:t>is guide</w:t>
      </w:r>
      <w:r>
        <w:t xml:space="preserve"> ha</w:t>
      </w:r>
      <w:r w:rsidR="000C40DB">
        <w:t>s</w:t>
      </w:r>
      <w:r>
        <w:t xml:space="preserve"> been created to provide information for </w:t>
      </w:r>
      <w:r w:rsidR="000C40DB">
        <w:t xml:space="preserve">injured workers, </w:t>
      </w:r>
      <w:r>
        <w:t>witnesses and families in circumstances where an investigation and / or prosecution has commenced. NT WorkSafe aims to improve transparency and communication with all affected parties.</w:t>
      </w:r>
    </w:p>
    <w:p w14:paraId="5D883D20" w14:textId="77777777" w:rsidR="005D5693" w:rsidRDefault="005D5693" w:rsidP="005D5693">
      <w:r>
        <w:t>NT WorkSafe has incorporated the National Compliance and Enforcement Policy and the National Principles of Safe Work Australia in this guide. The Customer Service Standard of SafeWork NSW has also been referred to in preparing this guide. These procedures align with strategic objectives in the NT WorkSafe Strategic Plan of reducing harm and securing compliance as well as the Northern Territory Charter of Victims’ Rights.</w:t>
      </w:r>
    </w:p>
    <w:p w14:paraId="2CDE9940" w14:textId="11C84C73" w:rsidR="00532EE6" w:rsidRDefault="005D5693" w:rsidP="00532EE6">
      <w:r>
        <w:t xml:space="preserve">The </w:t>
      </w:r>
      <w:r w:rsidR="00646F4B">
        <w:t xml:space="preserve">guide </w:t>
      </w:r>
      <w:r>
        <w:t xml:space="preserve">ensure that </w:t>
      </w:r>
      <w:r w:rsidR="000C40DB">
        <w:t>injured workers</w:t>
      </w:r>
      <w:r>
        <w:t xml:space="preserve"> and families are provided clarity around the progress and status of investigations and prosecutions.</w:t>
      </w:r>
    </w:p>
    <w:p w14:paraId="72A9F321" w14:textId="55279F4E" w:rsidR="007926F1" w:rsidRDefault="005D5693" w:rsidP="007926F1">
      <w:pPr>
        <w:pStyle w:val="Heading1"/>
      </w:pPr>
      <w:bookmarkStart w:id="1" w:name="_Toc156383770"/>
      <w:r>
        <w:t>Investigations</w:t>
      </w:r>
      <w:bookmarkEnd w:id="1"/>
    </w:p>
    <w:p w14:paraId="63458C46" w14:textId="412EC052" w:rsidR="000E4FF6" w:rsidRDefault="000E4FF6" w:rsidP="005D5693">
      <w:r>
        <w:t xml:space="preserve">Not all incidents notified to NT WorkSafe will be investigated.  Incidents that may be referred for investigations will usually involve reasonable belief that a potential breach of the work health and safety legislation has occurred. </w:t>
      </w:r>
    </w:p>
    <w:p w14:paraId="311CF2C7" w14:textId="6618DF90" w:rsidR="005D5693" w:rsidRDefault="005D5693" w:rsidP="005D5693">
      <w:r>
        <w:t>The purpose of an investigation is to determine the causes of an incident and then assess whether a breach of a work health and safety duty was the sole, or contributing factor to the incident. Once NT WorkSafe’s Investigation Unit accepts a matter for investigation, further information will be gathered including:</w:t>
      </w:r>
    </w:p>
    <w:p w14:paraId="14546FBC" w14:textId="4C29A314" w:rsidR="005D5693" w:rsidRDefault="005D5693" w:rsidP="00507D54">
      <w:pPr>
        <w:pStyle w:val="ListParagraph"/>
        <w:numPr>
          <w:ilvl w:val="0"/>
          <w:numId w:val="10"/>
        </w:numPr>
      </w:pPr>
      <w:r>
        <w:t>interviewing injured persons, when they are fit to do so</w:t>
      </w:r>
    </w:p>
    <w:p w14:paraId="743BF5BA" w14:textId="74622528" w:rsidR="005D5693" w:rsidRDefault="005D5693" w:rsidP="00507D54">
      <w:pPr>
        <w:pStyle w:val="ListParagraph"/>
        <w:numPr>
          <w:ilvl w:val="0"/>
          <w:numId w:val="10"/>
        </w:numPr>
      </w:pPr>
      <w:r>
        <w:t>gathering documentation, information and records from other parties such as businesses, manufacturers or suppliers, NT Police, Department of Health and health care providers</w:t>
      </w:r>
    </w:p>
    <w:p w14:paraId="721B3E9B" w14:textId="74386923" w:rsidR="005D5693" w:rsidRDefault="005D5693" w:rsidP="00507D54">
      <w:pPr>
        <w:pStyle w:val="ListParagraph"/>
        <w:numPr>
          <w:ilvl w:val="0"/>
          <w:numId w:val="10"/>
        </w:numPr>
      </w:pPr>
      <w:r>
        <w:t>interviewing people who may assist us in better understanding the circumstances leading up to the incident, including witnesses, co-workers, supervisors and business representatives</w:t>
      </w:r>
    </w:p>
    <w:p w14:paraId="280EA60A" w14:textId="33265C6D" w:rsidR="005D5693" w:rsidRDefault="005D5693" w:rsidP="00507D54">
      <w:pPr>
        <w:pStyle w:val="ListParagraph"/>
        <w:numPr>
          <w:ilvl w:val="0"/>
          <w:numId w:val="10"/>
        </w:numPr>
      </w:pPr>
      <w:r>
        <w:t>collecting further physical evidence</w:t>
      </w:r>
    </w:p>
    <w:p w14:paraId="050D52FE" w14:textId="27CABF03" w:rsidR="00532EE6" w:rsidRDefault="005D5693" w:rsidP="00507D54">
      <w:pPr>
        <w:pStyle w:val="ListParagraph"/>
        <w:numPr>
          <w:ilvl w:val="0"/>
          <w:numId w:val="10"/>
        </w:numPr>
      </w:pPr>
      <w:r>
        <w:t>assistance or advice from technical experts (where required and as appropriate).</w:t>
      </w:r>
    </w:p>
    <w:p w14:paraId="3287A5B2" w14:textId="4579BBD1" w:rsidR="005D5693" w:rsidRDefault="005D5693" w:rsidP="005D5693">
      <w:r>
        <w:lastRenderedPageBreak/>
        <w:t>Once the Investigator has gathered sufficient evidence, a brief of evidence will be prepared which may include the statements, interviews, photographs and other information obtained in response to notices which will be used in a Court of Law. A report may also be prepared for the Coroner based on the evidence gathered during the investigation in matters involving a fatality or a disaster where public safety was substantially endangered.</w:t>
      </w:r>
    </w:p>
    <w:p w14:paraId="18EC5EEE" w14:textId="77777777" w:rsidR="005D5693" w:rsidRDefault="005D5693" w:rsidP="005D5693">
      <w:r>
        <w:t>An Investigation Report will be completed and provided to the Regulator who will decide whether:</w:t>
      </w:r>
    </w:p>
    <w:p w14:paraId="154B09C9" w14:textId="03F54062" w:rsidR="005D5693" w:rsidRDefault="005D5693" w:rsidP="00507D54">
      <w:pPr>
        <w:pStyle w:val="ListParagraph"/>
        <w:numPr>
          <w:ilvl w:val="0"/>
          <w:numId w:val="11"/>
        </w:numPr>
      </w:pPr>
      <w:r>
        <w:t>No further action be taken</w:t>
      </w:r>
      <w:r w:rsidR="00AE51A5">
        <w:t>.</w:t>
      </w:r>
    </w:p>
    <w:p w14:paraId="6C1DC905" w14:textId="61B48D0C" w:rsidR="005D5693" w:rsidRDefault="005D5693" w:rsidP="00507D54">
      <w:pPr>
        <w:pStyle w:val="ListParagraph"/>
        <w:numPr>
          <w:ilvl w:val="0"/>
          <w:numId w:val="11"/>
        </w:numPr>
      </w:pPr>
      <w:r>
        <w:t>A Referral be sent to the Compliance Unit for further actions</w:t>
      </w:r>
      <w:r w:rsidR="00AE51A5">
        <w:t>.</w:t>
      </w:r>
    </w:p>
    <w:p w14:paraId="30B7B1B8" w14:textId="43F1AD72" w:rsidR="005D5693" w:rsidRDefault="005D5693" w:rsidP="00507D54">
      <w:pPr>
        <w:pStyle w:val="ListParagraph"/>
        <w:numPr>
          <w:ilvl w:val="0"/>
          <w:numId w:val="11"/>
        </w:numPr>
      </w:pPr>
      <w:r>
        <w:t>Legal proceedings to be commenced</w:t>
      </w:r>
      <w:r w:rsidR="00AE51A5">
        <w:t>.</w:t>
      </w:r>
    </w:p>
    <w:p w14:paraId="1734AB3C" w14:textId="77777777" w:rsidR="005D5693" w:rsidRDefault="005D5693" w:rsidP="005D5693">
      <w:pPr>
        <w:pStyle w:val="Heading1"/>
      </w:pPr>
      <w:bookmarkStart w:id="2" w:name="_Toc156383771"/>
      <w:r>
        <w:t>Prosecutions</w:t>
      </w:r>
      <w:bookmarkEnd w:id="2"/>
    </w:p>
    <w:p w14:paraId="5A99D12C" w14:textId="77777777" w:rsidR="005D5693" w:rsidRDefault="005D5693" w:rsidP="005D5693">
      <w:r>
        <w:t>Charges will be filed against the defendant in the Local Court. The legal process can take considerable time, particularly if the defendant contests the criminal charge. If the defendant pleads guilty or is convicted after the hearing or trial, the matter will progress to sentencing. Injured persons or family members of fatally injured workers may have an entitlement to provide a Victim Impact Statement to the Court which will be considered by the Judge on sentencing.</w:t>
      </w:r>
    </w:p>
    <w:p w14:paraId="59FA5D8C" w14:textId="77777777" w:rsidR="005D5693" w:rsidRDefault="005D5693" w:rsidP="005D5693">
      <w:pPr>
        <w:pStyle w:val="Heading1"/>
      </w:pPr>
      <w:bookmarkStart w:id="3" w:name="_Toc156383772"/>
      <w:r>
        <w:t>How NT WorkSafe will keep you informed</w:t>
      </w:r>
      <w:bookmarkEnd w:id="3"/>
    </w:p>
    <w:p w14:paraId="74E3B885" w14:textId="77777777" w:rsidR="005D5693" w:rsidRDefault="005D5693" w:rsidP="005D5693">
      <w:r>
        <w:t>NT WorkSafe are committed to completing investigations within a timely manner. Investigations and any subsequent prosecutions can be quite complex. It may take up to two years until a prosecution is finalised in Court.</w:t>
      </w:r>
    </w:p>
    <w:p w14:paraId="5F2ABF66" w14:textId="4E8924CD" w:rsidR="005D5693" w:rsidRDefault="005D5693" w:rsidP="005D5693">
      <w:r>
        <w:t>NT WorkSafe understands the importance of keeping</w:t>
      </w:r>
      <w:r w:rsidR="00C914F1">
        <w:t xml:space="preserve"> injured workers</w:t>
      </w:r>
      <w:r>
        <w:t xml:space="preserve"> and families updated and involved in the investigation and prosecution process whilst maintaining the integrity of the investigation.</w:t>
      </w:r>
    </w:p>
    <w:p w14:paraId="7E559EAA" w14:textId="227F04BD" w:rsidR="00934EF3" w:rsidRDefault="00934EF3" w:rsidP="005D5693">
      <w:r>
        <w:t xml:space="preserve">The NT WorkSafe Support Officer </w:t>
      </w:r>
      <w:r w:rsidR="002647E6">
        <w:t>will be your primary contact at NT WorkSafe.</w:t>
      </w:r>
    </w:p>
    <w:p w14:paraId="05FD9A47" w14:textId="0FB0F9A6" w:rsidR="005D5693" w:rsidRDefault="002647E6" w:rsidP="005D5693">
      <w:r>
        <w:t xml:space="preserve">The Support Officer </w:t>
      </w:r>
      <w:r w:rsidR="005D5693">
        <w:t>will communicate with you:</w:t>
      </w:r>
    </w:p>
    <w:p w14:paraId="0E3AB634" w14:textId="77777777" w:rsidR="005D5693" w:rsidRDefault="005D5693" w:rsidP="00507D54">
      <w:pPr>
        <w:pStyle w:val="ListParagraph"/>
        <w:numPr>
          <w:ilvl w:val="0"/>
          <w:numId w:val="12"/>
        </w:numPr>
      </w:pPr>
      <w:r>
        <w:t>to advise when a matter has been referred to the Investigations Unit and allocated to the Investigator</w:t>
      </w:r>
    </w:p>
    <w:p w14:paraId="7DFE72B3" w14:textId="75F6CC5B" w:rsidR="005D5693" w:rsidRDefault="005D5693" w:rsidP="00507D54">
      <w:pPr>
        <w:pStyle w:val="ListParagraph"/>
        <w:numPr>
          <w:ilvl w:val="0"/>
          <w:numId w:val="12"/>
        </w:numPr>
      </w:pPr>
      <w:r>
        <w:t>once an investigation has commenced, an update will be provided at least once in every 6 to 8 weeks</w:t>
      </w:r>
    </w:p>
    <w:p w14:paraId="0730AFA9" w14:textId="30F8FEA0" w:rsidR="005D5693" w:rsidRDefault="005D5693" w:rsidP="00507D54">
      <w:pPr>
        <w:pStyle w:val="ListParagraph"/>
        <w:numPr>
          <w:ilvl w:val="0"/>
          <w:numId w:val="12"/>
        </w:numPr>
      </w:pPr>
      <w:r>
        <w:t xml:space="preserve">when a matter has been closed with no further action or managed by way of Infringement or other Notice. </w:t>
      </w:r>
    </w:p>
    <w:p w14:paraId="1D8FF84D" w14:textId="1366111A" w:rsidR="005D5693" w:rsidRDefault="002647E6" w:rsidP="005D5693">
      <w:r>
        <w:t>The Support Officer</w:t>
      </w:r>
      <w:r w:rsidR="005D5693">
        <w:t xml:space="preserve"> will also communicate with families and injured workers to:</w:t>
      </w:r>
    </w:p>
    <w:p w14:paraId="4211DC50" w14:textId="77777777" w:rsidR="005D5693" w:rsidRDefault="005D5693" w:rsidP="00507D54">
      <w:pPr>
        <w:pStyle w:val="ListParagraph"/>
        <w:numPr>
          <w:ilvl w:val="0"/>
          <w:numId w:val="13"/>
        </w:numPr>
      </w:pPr>
      <w:r>
        <w:t>provide support and updates during proceedings before the Court</w:t>
      </w:r>
    </w:p>
    <w:p w14:paraId="5B1C9CEB" w14:textId="60CA4657" w:rsidR="005D5693" w:rsidRDefault="005D5693" w:rsidP="00507D54">
      <w:pPr>
        <w:pStyle w:val="ListParagraph"/>
        <w:numPr>
          <w:ilvl w:val="0"/>
          <w:numId w:val="13"/>
        </w:numPr>
      </w:pPr>
      <w:r>
        <w:t>the time, date and place of any court dates</w:t>
      </w:r>
    </w:p>
    <w:p w14:paraId="56238B86" w14:textId="77777777" w:rsidR="005D5693" w:rsidRDefault="005D5693" w:rsidP="00507D54">
      <w:pPr>
        <w:pStyle w:val="ListParagraph"/>
        <w:numPr>
          <w:ilvl w:val="0"/>
          <w:numId w:val="13"/>
        </w:numPr>
      </w:pPr>
      <w:r>
        <w:t>general description of the charges laid</w:t>
      </w:r>
    </w:p>
    <w:p w14:paraId="456C6FE1" w14:textId="180AACAE" w:rsidR="005D5693" w:rsidRDefault="005D5693" w:rsidP="00507D54">
      <w:pPr>
        <w:pStyle w:val="ListParagraph"/>
        <w:numPr>
          <w:ilvl w:val="0"/>
          <w:numId w:val="13"/>
        </w:numPr>
      </w:pPr>
      <w:r>
        <w:t>advise of Court decisions, even in the event where no conviction is recorded against the defendant</w:t>
      </w:r>
    </w:p>
    <w:p w14:paraId="0E2C9D5D" w14:textId="1EAADD9D" w:rsidR="005D5693" w:rsidRDefault="005D5693" w:rsidP="00507D54">
      <w:pPr>
        <w:pStyle w:val="ListParagraph"/>
        <w:numPr>
          <w:ilvl w:val="0"/>
          <w:numId w:val="13"/>
        </w:numPr>
      </w:pPr>
      <w:r>
        <w:t>advise if an application for an Enforceable Undertaking is received.</w:t>
      </w:r>
    </w:p>
    <w:p w14:paraId="609DAEF5" w14:textId="2B2D03C5" w:rsidR="005D5693" w:rsidRDefault="005D5693" w:rsidP="005D5693">
      <w:r>
        <w:lastRenderedPageBreak/>
        <w:t xml:space="preserve">You can advise </w:t>
      </w:r>
      <w:r w:rsidR="002647E6">
        <w:t>the support officer</w:t>
      </w:r>
      <w:r>
        <w:t xml:space="preserve"> at any stage how you prefer to be kept informed e.g. by phone or email. If you do not wish to be kept informed during the progress of the investigation, you can advise the </w:t>
      </w:r>
      <w:r w:rsidR="002647E6">
        <w:t xml:space="preserve">support officer </w:t>
      </w:r>
      <w:r>
        <w:t>of this at any time.</w:t>
      </w:r>
    </w:p>
    <w:p w14:paraId="1C4DD35C" w14:textId="77777777" w:rsidR="005D5693" w:rsidRDefault="005D5693" w:rsidP="005D5693">
      <w:r>
        <w:t>Due to privacy legislation and other legal requirements, NT WorkSafe will only be able to provide limited information in relation to investigations that are active or where legal proceedings are before the Courts. If information or evidence is disclosed prior to an investigation being completed, it may prejudice the investigation or lead to evidence contamination.</w:t>
      </w:r>
    </w:p>
    <w:p w14:paraId="70B2288A" w14:textId="77777777" w:rsidR="005D5693" w:rsidRDefault="005D5693" w:rsidP="005D5693">
      <w:pPr>
        <w:pStyle w:val="Heading1"/>
      </w:pPr>
      <w:bookmarkStart w:id="4" w:name="_Toc156383773"/>
      <w:r>
        <w:t>Principles</w:t>
      </w:r>
      <w:bookmarkEnd w:id="4"/>
    </w:p>
    <w:p w14:paraId="7DCA3834" w14:textId="6C8F5F28" w:rsidR="005D5693" w:rsidRDefault="005D5693" w:rsidP="005D5693">
      <w:r>
        <w:t xml:space="preserve">NT WorkSafe recognise that </w:t>
      </w:r>
      <w:r w:rsidR="00C914F1">
        <w:t xml:space="preserve">injured workers </w:t>
      </w:r>
      <w:r>
        <w:t>and families have the right:</w:t>
      </w:r>
    </w:p>
    <w:p w14:paraId="33F5FB58" w14:textId="345434CC" w:rsidR="005D5693" w:rsidRDefault="005D5693" w:rsidP="00507D54">
      <w:pPr>
        <w:pStyle w:val="ListParagraph"/>
        <w:numPr>
          <w:ilvl w:val="0"/>
          <w:numId w:val="14"/>
        </w:numPr>
      </w:pPr>
      <w:r>
        <w:t>To be provided with important and relevant information in a timely and accessible manner.</w:t>
      </w:r>
    </w:p>
    <w:p w14:paraId="7CFC35AB" w14:textId="77777777" w:rsidR="005D5693" w:rsidRDefault="005D5693" w:rsidP="00507D54">
      <w:pPr>
        <w:pStyle w:val="ListParagraph"/>
        <w:numPr>
          <w:ilvl w:val="0"/>
          <w:numId w:val="14"/>
        </w:numPr>
      </w:pPr>
      <w:r>
        <w:t>To receive and have access to clear information in a variety of forms, which enables them to exercise their preferences.</w:t>
      </w:r>
    </w:p>
    <w:p w14:paraId="65DADA8F" w14:textId="77777777" w:rsidR="005D5693" w:rsidRDefault="005D5693" w:rsidP="00507D54">
      <w:pPr>
        <w:pStyle w:val="ListParagraph"/>
        <w:numPr>
          <w:ilvl w:val="0"/>
          <w:numId w:val="14"/>
        </w:numPr>
      </w:pPr>
      <w:r>
        <w:t>To be kept abreast of the progress of an investigation unless the disclosure might jeopardise the investigation.</w:t>
      </w:r>
    </w:p>
    <w:p w14:paraId="438E5C46" w14:textId="77777777" w:rsidR="005D5693" w:rsidRDefault="005D5693" w:rsidP="00507D54">
      <w:pPr>
        <w:pStyle w:val="ListParagraph"/>
        <w:numPr>
          <w:ilvl w:val="0"/>
          <w:numId w:val="14"/>
        </w:numPr>
      </w:pPr>
      <w:r>
        <w:t>To be kept informed in a timely manner of the charges laid against the defendant and the court process, their rights in relation to attending any trial or hearing and their role in the justice system, including as a witness for the prosecution.</w:t>
      </w:r>
    </w:p>
    <w:p w14:paraId="20BAFC24" w14:textId="77777777" w:rsidR="005D5693" w:rsidRDefault="005D5693" w:rsidP="00507D54">
      <w:pPr>
        <w:pStyle w:val="ListParagraph"/>
        <w:numPr>
          <w:ilvl w:val="0"/>
          <w:numId w:val="14"/>
        </w:numPr>
      </w:pPr>
      <w:r>
        <w:t>To be advised when a decision is taken not to proceed with charges, and upon request, the reasons for taking such action.</w:t>
      </w:r>
    </w:p>
    <w:p w14:paraId="4DA2AD30" w14:textId="0E4FA6B4" w:rsidR="005D5693" w:rsidRDefault="005D5693" w:rsidP="00507D54">
      <w:pPr>
        <w:pStyle w:val="ListParagraph"/>
        <w:numPr>
          <w:ilvl w:val="0"/>
          <w:numId w:val="14"/>
        </w:numPr>
      </w:pPr>
      <w:r>
        <w:t>To have the opportunity to give feedback to NT WorkSafe and advocate for change or reform to meet the needs of those significantly impacted by industrial death or serious injury.</w:t>
      </w:r>
    </w:p>
    <w:p w14:paraId="74DAE420" w14:textId="77777777" w:rsidR="005D5693" w:rsidRDefault="005D5693" w:rsidP="005D5693">
      <w:pPr>
        <w:pStyle w:val="Heading1"/>
      </w:pPr>
      <w:bookmarkStart w:id="5" w:name="_Toc156383774"/>
      <w:r>
        <w:t>Northern Territory Charter of Victims’ Rights</w:t>
      </w:r>
      <w:bookmarkEnd w:id="5"/>
    </w:p>
    <w:p w14:paraId="0C6E89BA" w14:textId="72A83681" w:rsidR="005D5693" w:rsidRDefault="005D5693" w:rsidP="005D5693">
      <w:r>
        <w:t xml:space="preserve">The Northern Territory Government ensures that victims </w:t>
      </w:r>
      <w:r w:rsidR="00C914F1">
        <w:t xml:space="preserve">of crime </w:t>
      </w:r>
      <w:r>
        <w:t>have a strong voice in the justice system with better protections and access to vital services.</w:t>
      </w:r>
    </w:p>
    <w:p w14:paraId="07A65FD8" w14:textId="77777777" w:rsidR="005D5693" w:rsidRDefault="005D5693" w:rsidP="005D5693">
      <w:r>
        <w:t>The Charter of Victims’ Rights outlines the core key principles that the NT Government aim to comply with. The Charter of Victims’ Rights can be found here:</w:t>
      </w:r>
    </w:p>
    <w:p w14:paraId="14B78896" w14:textId="195CF093" w:rsidR="005D5693" w:rsidRDefault="00FF5475" w:rsidP="00507D54">
      <w:pPr>
        <w:pStyle w:val="ListParagraph"/>
        <w:numPr>
          <w:ilvl w:val="0"/>
          <w:numId w:val="15"/>
        </w:numPr>
      </w:pPr>
      <w:hyperlink r:id="rId15" w:history="1">
        <w:r w:rsidR="005D5693" w:rsidRPr="005D5693">
          <w:rPr>
            <w:rStyle w:val="Hyperlink"/>
          </w:rPr>
          <w:t>Northern Territory Charter of Victims</w:t>
        </w:r>
        <w:r w:rsidR="00426CCA">
          <w:rPr>
            <w:rStyle w:val="Hyperlink"/>
          </w:rPr>
          <w:t>’</w:t>
        </w:r>
        <w:r w:rsidR="005D5693" w:rsidRPr="005D5693">
          <w:rPr>
            <w:rStyle w:val="Hyperlink"/>
          </w:rPr>
          <w:t xml:space="preserve"> Rights</w:t>
        </w:r>
      </w:hyperlink>
    </w:p>
    <w:p w14:paraId="5FFF8EEC" w14:textId="77777777" w:rsidR="005D5693" w:rsidRDefault="005D5693" w:rsidP="005D5693">
      <w:pPr>
        <w:pStyle w:val="Heading1"/>
      </w:pPr>
      <w:bookmarkStart w:id="6" w:name="_Toc156383775"/>
      <w:r>
        <w:t>Victim Impact Statement</w:t>
      </w:r>
      <w:bookmarkEnd w:id="6"/>
    </w:p>
    <w:p w14:paraId="6A1AE8EC" w14:textId="77777777" w:rsidR="005D5693" w:rsidRDefault="005D5693" w:rsidP="005D5693">
      <w:r>
        <w:t>If you have been harmed by a crime, you have the right to tell a court how it has affected you. A victim impact statement is usually a written statement presented by the prosecutor to the court. It is given after the defendant has been found guilty and before they are sentenced.</w:t>
      </w:r>
    </w:p>
    <w:p w14:paraId="256682DF" w14:textId="77777777" w:rsidR="005D5693" w:rsidRDefault="005D5693" w:rsidP="005D5693">
      <w:r>
        <w:t>It can help the court understand how you have been harmed before they decide how the offender will be punished. The Prosecution and defendant’s legal representative will review the Victim Impact Statement, so it is important your statement complies with rules of the court.</w:t>
      </w:r>
    </w:p>
    <w:p w14:paraId="68B77662" w14:textId="77777777" w:rsidR="005D5693" w:rsidRDefault="005D5693" w:rsidP="00FF5475">
      <w:pPr>
        <w:spacing w:after="360"/>
      </w:pPr>
      <w:r>
        <w:t>You can choose not to make a statement.</w:t>
      </w:r>
      <w:bookmarkStart w:id="7" w:name="_GoBack"/>
      <w:bookmarkEnd w:id="7"/>
    </w:p>
    <w:p w14:paraId="6145717B" w14:textId="77777777" w:rsidR="005D5693" w:rsidRDefault="005D5693" w:rsidP="005D5693">
      <w:pPr>
        <w:pStyle w:val="Heading1"/>
      </w:pPr>
      <w:bookmarkStart w:id="8" w:name="_Toc156383776"/>
      <w:r>
        <w:lastRenderedPageBreak/>
        <w:t>Return of property</w:t>
      </w:r>
      <w:bookmarkEnd w:id="8"/>
    </w:p>
    <w:p w14:paraId="401F5A65" w14:textId="77777777" w:rsidR="005D5693" w:rsidRDefault="005D5693" w:rsidP="005D5693">
      <w:r>
        <w:t xml:space="preserve">If any of your property or your family member’s property is held by NT WorkSafe for the purpose of </w:t>
      </w:r>
      <w:permStart w:id="1317558212" w:edGrp="everyone"/>
      <w:permEnd w:id="1317558212"/>
      <w:r>
        <w:t>investigation or evidence, this property will be returned to you at the earliest practical opportunity.</w:t>
      </w:r>
    </w:p>
    <w:p w14:paraId="0DDB9EF3" w14:textId="77777777" w:rsidR="005D5693" w:rsidRDefault="005D5693" w:rsidP="005D5693">
      <w:pPr>
        <w:pStyle w:val="Heading1"/>
      </w:pPr>
      <w:bookmarkStart w:id="9" w:name="_Toc156383777"/>
      <w:r>
        <w:t>Financial Assistance for victims and families affected</w:t>
      </w:r>
      <w:bookmarkEnd w:id="9"/>
    </w:p>
    <w:p w14:paraId="3D6D83FA" w14:textId="1422FB0A" w:rsidR="005D5693" w:rsidRDefault="005D5693" w:rsidP="005D5693">
      <w:r>
        <w:t>If you are a</w:t>
      </w:r>
      <w:r w:rsidR="00646F4B">
        <w:t>n injured worker</w:t>
      </w:r>
      <w:r>
        <w:t xml:space="preserve"> or family member affected by</w:t>
      </w:r>
      <w:r w:rsidR="00AE51A5">
        <w:t xml:space="preserve"> an</w:t>
      </w:r>
      <w:r>
        <w:t xml:space="preserve"> </w:t>
      </w:r>
      <w:r w:rsidR="00AE51A5">
        <w:t xml:space="preserve">incident </w:t>
      </w:r>
      <w:r w:rsidR="00646F4B">
        <w:t>due to</w:t>
      </w:r>
      <w:r>
        <w:t xml:space="preserve"> a breach of Work Health and Safety Legislation, you may be eligible to claim financial assistance. </w:t>
      </w:r>
      <w:r w:rsidR="00646F4B">
        <w:t>Injured workers may be eligible to ma</w:t>
      </w:r>
      <w:r w:rsidR="00426CCA">
        <w:t xml:space="preserve">ke a workers compensation claim, Further information is available in the </w:t>
      </w:r>
      <w:hyperlink r:id="rId16" w:history="1">
        <w:r w:rsidR="00426CCA" w:rsidRPr="00426CCA">
          <w:rPr>
            <w:rStyle w:val="Hyperlink"/>
          </w:rPr>
          <w:t>Workers guide to workers’ compensation</w:t>
        </w:r>
      </w:hyperlink>
      <w:r>
        <w:t>.</w:t>
      </w:r>
    </w:p>
    <w:p w14:paraId="463786FA" w14:textId="66A83BB1" w:rsidR="005D5693" w:rsidRDefault="00426CCA" w:rsidP="005D5693">
      <w:r>
        <w:t xml:space="preserve">Family and dependants of a worker who had died from a workplace incident may be eligible to make a death claim for financial assistance. For further information on death claims, </w:t>
      </w:r>
      <w:r w:rsidR="005D5693">
        <w:t xml:space="preserve">email </w:t>
      </w:r>
      <w:hyperlink r:id="rId17" w:history="1">
        <w:r w:rsidR="005C47E3" w:rsidRPr="00BB2754">
          <w:rPr>
            <w:rStyle w:val="Hyperlink"/>
          </w:rPr>
          <w:t>datantworksafe@nt.gov.au</w:t>
        </w:r>
      </w:hyperlink>
      <w:r w:rsidR="005C47E3">
        <w:t xml:space="preserve"> </w:t>
      </w:r>
      <w:r w:rsidR="005D5693">
        <w:t xml:space="preserve">or call </w:t>
      </w:r>
      <w:r w:rsidR="005D5693" w:rsidRPr="00506069">
        <w:t>1800 250 713</w:t>
      </w:r>
      <w:r w:rsidR="005D5693">
        <w:t>.</w:t>
      </w:r>
    </w:p>
    <w:p w14:paraId="5A439202" w14:textId="77777777" w:rsidR="005D5693" w:rsidRDefault="005D5693" w:rsidP="007F02DB">
      <w:pPr>
        <w:pStyle w:val="Heading1"/>
      </w:pPr>
      <w:bookmarkStart w:id="10" w:name="_Toc156383778"/>
      <w:r>
        <w:t>Financial Assistance for attending court to provide evidence</w:t>
      </w:r>
      <w:bookmarkEnd w:id="10"/>
    </w:p>
    <w:p w14:paraId="6D452A32" w14:textId="77777777" w:rsidR="005D5693" w:rsidRDefault="005D5693" w:rsidP="005D5693">
      <w:r>
        <w:t>If you are a witness subpoenaed to court to give evidence (other than an expert witness) you are entitled for reimbursement for your loss of wages. NT WorkSafe has a Witness Expense Claim procedure.</w:t>
      </w:r>
    </w:p>
    <w:p w14:paraId="1170A758" w14:textId="5B344956" w:rsidR="005D5693" w:rsidRDefault="005D5693" w:rsidP="005D5693">
      <w:r>
        <w:t xml:space="preserve">If you are needing to travel interstate to attend court, NT WorkSafe will be in touch to organise </w:t>
      </w:r>
      <w:r w:rsidR="007F02DB">
        <w:t>a</w:t>
      </w:r>
      <w:r>
        <w:t>irfares</w:t>
      </w:r>
      <w:r w:rsidR="007F02DB">
        <w:t>,</w:t>
      </w:r>
      <w:r>
        <w:t xml:space="preserve"> </w:t>
      </w:r>
      <w:r w:rsidR="007F02DB">
        <w:t>a</w:t>
      </w:r>
      <w:r>
        <w:t>ccommodation and travel allowance.</w:t>
      </w:r>
    </w:p>
    <w:p w14:paraId="59CB6F59" w14:textId="33042933" w:rsidR="005D5693" w:rsidRDefault="005D5693" w:rsidP="005D5693">
      <w:r>
        <w:t xml:space="preserve">More information can be forwarded to you via emailing: </w:t>
      </w:r>
      <w:hyperlink r:id="rId18" w:history="1">
        <w:r w:rsidR="007F02DB" w:rsidRPr="00BB2754">
          <w:rPr>
            <w:rStyle w:val="Hyperlink"/>
          </w:rPr>
          <w:t>AGD.NTWSProsecutions@nt.gov.au</w:t>
        </w:r>
      </w:hyperlink>
      <w:r w:rsidR="007F02DB">
        <w:t xml:space="preserve"> </w:t>
      </w:r>
      <w:r>
        <w:t xml:space="preserve">or calling </w:t>
      </w:r>
      <w:r w:rsidRPr="00506069">
        <w:t>1800 019 115</w:t>
      </w:r>
      <w:r>
        <w:t xml:space="preserve"> and asking to speak to the Investigations Assistant.</w:t>
      </w:r>
    </w:p>
    <w:sectPr w:rsidR="005D5693" w:rsidSect="00505A10">
      <w:footerReference w:type="default" r:id="rId19"/>
      <w:headerReference w:type="first" r:id="rId20"/>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4A8D9" w14:textId="77777777" w:rsidR="00374E68" w:rsidRDefault="00374E68">
      <w:r>
        <w:separator/>
      </w:r>
    </w:p>
  </w:endnote>
  <w:endnote w:type="continuationSeparator" w:id="0">
    <w:p w14:paraId="170797AD" w14:textId="77777777" w:rsidR="00374E68" w:rsidRDefault="00374E68">
      <w:r>
        <w:continuationSeparator/>
      </w:r>
    </w:p>
  </w:endnote>
  <w:endnote w:type="continuationNotice" w:id="1">
    <w:p w14:paraId="0C18736A" w14:textId="77777777" w:rsidR="00374E68" w:rsidRDefault="00374E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6D5F" w14:textId="77777777" w:rsidR="00505A10" w:rsidRPr="00F538BD" w:rsidRDefault="00505A10" w:rsidP="000A385C">
    <w:pPr>
      <w:pStyle w:val="Hidden"/>
      <w:ind w:firstLine="0"/>
      <w:jc w:val="right"/>
    </w:pPr>
    <w:r w:rsidRPr="001852AF">
      <w:rPr>
        <w:noProof/>
        <w:lang w:eastAsia="en-AU"/>
      </w:rPr>
      <w:drawing>
        <wp:inline distT="0" distB="0" distL="0" distR="0" wp14:anchorId="056FACD0" wp14:editId="3F454045">
          <wp:extent cx="2741086" cy="5400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41086" cy="540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4D753" w14:textId="77777777" w:rsidR="00505A10" w:rsidRPr="00F538BD" w:rsidRDefault="00505A10"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06BDD" w14:textId="77777777" w:rsidR="00505A10" w:rsidRPr="00A50829" w:rsidRDefault="00505A10" w:rsidP="00505A10">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05A10" w:rsidRPr="00132658" w14:paraId="4A315EDB" w14:textId="77777777" w:rsidTr="00505A10">
      <w:trPr>
        <w:cantSplit/>
        <w:trHeight w:hRule="exact" w:val="850"/>
        <w:tblHeader/>
      </w:trPr>
      <w:tc>
        <w:tcPr>
          <w:tcW w:w="10318" w:type="dxa"/>
          <w:vAlign w:val="bottom"/>
        </w:tcPr>
        <w:p w14:paraId="64F6A1C6" w14:textId="77777777" w:rsidR="00505A10" w:rsidRDefault="00FF5475" w:rsidP="00505A10">
          <w:pPr>
            <w:spacing w:after="0"/>
            <w:rPr>
              <w:rStyle w:val="PageNumber"/>
              <w:b/>
            </w:rPr>
          </w:pP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505A10">
                <w:rPr>
                  <w:rStyle w:val="PageNumber"/>
                  <w:b/>
                </w:rPr>
                <w:t>NT WorkSafe</w:t>
              </w:r>
            </w:sdtContent>
          </w:sdt>
        </w:p>
        <w:p w14:paraId="64A91460" w14:textId="6FC987C4" w:rsidR="00505A10" w:rsidRPr="00CE6614" w:rsidRDefault="00FF5475" w:rsidP="00505A10">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3-08T00:00:00Z">
                <w:dateFormat w:val="d MMMM yyyy"/>
                <w:lid w:val="en-AU"/>
                <w:storeMappedDataAs w:val="dateTime"/>
                <w:calendar w:val="gregorian"/>
              </w:date>
            </w:sdtPr>
            <w:sdtEndPr>
              <w:rPr>
                <w:rStyle w:val="PageNumber"/>
              </w:rPr>
            </w:sdtEndPr>
            <w:sdtContent>
              <w:r w:rsidR="00876935">
                <w:rPr>
                  <w:rStyle w:val="PageNumber"/>
                </w:rPr>
                <w:t>8 March 2024</w:t>
              </w:r>
            </w:sdtContent>
          </w:sdt>
        </w:p>
        <w:p w14:paraId="457F92D9" w14:textId="370DBBF9" w:rsidR="00505A10" w:rsidRPr="00AC4488" w:rsidRDefault="00505A10" w:rsidP="00505A10">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F5475">
            <w:rPr>
              <w:rStyle w:val="PageNumber"/>
              <w:noProof/>
            </w:rPr>
            <w:t>7</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F5475">
            <w:rPr>
              <w:rStyle w:val="PageNumber"/>
              <w:noProof/>
            </w:rPr>
            <w:t>7</w:t>
          </w:r>
          <w:r w:rsidRPr="00AC4488">
            <w:rPr>
              <w:rStyle w:val="PageNumber"/>
            </w:rPr>
            <w:fldChar w:fldCharType="end"/>
          </w:r>
        </w:p>
      </w:tc>
    </w:tr>
  </w:tbl>
  <w:p w14:paraId="6310D119" w14:textId="77777777" w:rsidR="00505A10" w:rsidRDefault="00505A10" w:rsidP="00505A10">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760C3" w14:textId="77777777" w:rsidR="00374E68" w:rsidRDefault="00374E68">
      <w:r>
        <w:separator/>
      </w:r>
    </w:p>
  </w:footnote>
  <w:footnote w:type="continuationSeparator" w:id="0">
    <w:p w14:paraId="524FB3DF" w14:textId="77777777" w:rsidR="00374E68" w:rsidRDefault="00374E68">
      <w:r>
        <w:continuationSeparator/>
      </w:r>
    </w:p>
  </w:footnote>
  <w:footnote w:type="continuationNotice" w:id="1">
    <w:p w14:paraId="5C254F02" w14:textId="77777777" w:rsidR="00374E68" w:rsidRDefault="00374E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061E" w14:textId="72B5B435" w:rsidR="00505A10" w:rsidRPr="008E0345" w:rsidRDefault="00FF5475"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426CCA">
          <w:t>Work Health and Safety investigations and prosecutions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B5B55" w14:textId="77777777" w:rsidR="00505A10" w:rsidRDefault="00505A10" w:rsidP="00382BE1">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EF4F9" w14:textId="77777777" w:rsidR="00505A10" w:rsidRPr="00274F1C" w:rsidRDefault="00505A10"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E90F1184747140AB89876B8FF20E0A1D"/>
      </w:placeholder>
      <w:dataBinding w:prefixMappings="xmlns:ns0='http://purl.org/dc/elements/1.1/' xmlns:ns1='http://schemas.openxmlformats.org/package/2006/metadata/core-properties' " w:xpath="/ns1:coreProperties[1]/ns0:title[1]" w:storeItemID="{6C3C8BC8-F283-45AE-878A-BAB7291924A1}"/>
      <w:text/>
    </w:sdtPr>
    <w:sdtEndPr/>
    <w:sdtContent>
      <w:p w14:paraId="08A19C67" w14:textId="47CC2458" w:rsidR="00505A10" w:rsidRPr="00964B22" w:rsidRDefault="00426CCA" w:rsidP="008E0345">
        <w:pPr>
          <w:pStyle w:val="Header"/>
          <w:rPr>
            <w:b/>
          </w:rPr>
        </w:pPr>
        <w:r>
          <w:t>Work Health and Safety investigations and prosecutions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1011042"/>
    <w:multiLevelType w:val="multilevel"/>
    <w:tmpl w:val="AEF0C9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A50257F"/>
    <w:multiLevelType w:val="hybridMultilevel"/>
    <w:tmpl w:val="79EA8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64B5048"/>
    <w:multiLevelType w:val="hybridMultilevel"/>
    <w:tmpl w:val="2604B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9FA2516"/>
    <w:multiLevelType w:val="hybridMultilevel"/>
    <w:tmpl w:val="08F27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5756064"/>
    <w:multiLevelType w:val="hybridMultilevel"/>
    <w:tmpl w:val="3CACD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9C63930"/>
    <w:multiLevelType w:val="hybridMultilevel"/>
    <w:tmpl w:val="5B66F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5E9557AC"/>
    <w:multiLevelType w:val="hybridMultilevel"/>
    <w:tmpl w:val="7834EE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7E18BD20"/>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3"/>
  </w:num>
  <w:num w:numId="3">
    <w:abstractNumId w:val="41"/>
  </w:num>
  <w:num w:numId="4">
    <w:abstractNumId w:val="28"/>
  </w:num>
  <w:num w:numId="5">
    <w:abstractNumId w:val="19"/>
  </w:num>
  <w:num w:numId="6">
    <w:abstractNumId w:val="8"/>
  </w:num>
  <w:num w:numId="7">
    <w:abstractNumId w:val="30"/>
  </w:num>
  <w:num w:numId="8">
    <w:abstractNumId w:val="17"/>
  </w:num>
  <w:num w:numId="9">
    <w:abstractNumId w:val="24"/>
  </w:num>
  <w:num w:numId="10">
    <w:abstractNumId w:val="18"/>
  </w:num>
  <w:num w:numId="11">
    <w:abstractNumId w:val="14"/>
  </w:num>
  <w:num w:numId="12">
    <w:abstractNumId w:val="34"/>
  </w:num>
  <w:num w:numId="13">
    <w:abstractNumId w:val="9"/>
  </w:num>
  <w:num w:numId="14">
    <w:abstractNumId w:val="37"/>
  </w:num>
  <w:num w:numId="15">
    <w:abstractNumId w:val="26"/>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adzAL2aTKtgv14wGs491tKEwR4aQzM57YdFfz9sUn3rzXgn+Rbq+f3PPthrkujg5mpR5sbYAoIKCiLFU1SLBUQ==" w:salt="9a4VrA0GWyIIuD8Xt9CfSQ=="/>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83"/>
    <w:rsid w:val="00001DDF"/>
    <w:rsid w:val="0000322D"/>
    <w:rsid w:val="00007670"/>
    <w:rsid w:val="00010036"/>
    <w:rsid w:val="00010665"/>
    <w:rsid w:val="0002393A"/>
    <w:rsid w:val="00027DB8"/>
    <w:rsid w:val="000307A7"/>
    <w:rsid w:val="00030A98"/>
    <w:rsid w:val="00031A96"/>
    <w:rsid w:val="00033BC1"/>
    <w:rsid w:val="00040BF3"/>
    <w:rsid w:val="0004577F"/>
    <w:rsid w:val="00046C59"/>
    <w:rsid w:val="00051362"/>
    <w:rsid w:val="00051F45"/>
    <w:rsid w:val="00052953"/>
    <w:rsid w:val="0005341A"/>
    <w:rsid w:val="0005553F"/>
    <w:rsid w:val="00056DEF"/>
    <w:rsid w:val="000720BE"/>
    <w:rsid w:val="0007259C"/>
    <w:rsid w:val="00074573"/>
    <w:rsid w:val="00080202"/>
    <w:rsid w:val="00080DCD"/>
    <w:rsid w:val="00080E22"/>
    <w:rsid w:val="00082573"/>
    <w:rsid w:val="000840A3"/>
    <w:rsid w:val="00085062"/>
    <w:rsid w:val="00086A5F"/>
    <w:rsid w:val="000911EF"/>
    <w:rsid w:val="000962C5"/>
    <w:rsid w:val="000A04AF"/>
    <w:rsid w:val="000A385C"/>
    <w:rsid w:val="000A4317"/>
    <w:rsid w:val="000A559C"/>
    <w:rsid w:val="000B2CA1"/>
    <w:rsid w:val="000C40DB"/>
    <w:rsid w:val="000D1F29"/>
    <w:rsid w:val="000D633D"/>
    <w:rsid w:val="000E0962"/>
    <w:rsid w:val="000E342B"/>
    <w:rsid w:val="000E38FB"/>
    <w:rsid w:val="000E4FF6"/>
    <w:rsid w:val="000E5DD2"/>
    <w:rsid w:val="000F2958"/>
    <w:rsid w:val="000F4805"/>
    <w:rsid w:val="00104E7F"/>
    <w:rsid w:val="001117D8"/>
    <w:rsid w:val="001137EC"/>
    <w:rsid w:val="001152F5"/>
    <w:rsid w:val="00117743"/>
    <w:rsid w:val="00117F5B"/>
    <w:rsid w:val="00132658"/>
    <w:rsid w:val="00132821"/>
    <w:rsid w:val="00147DED"/>
    <w:rsid w:val="00150DC0"/>
    <w:rsid w:val="00156CD4"/>
    <w:rsid w:val="00161CC6"/>
    <w:rsid w:val="00164A3E"/>
    <w:rsid w:val="00166FF6"/>
    <w:rsid w:val="00172C77"/>
    <w:rsid w:val="00176123"/>
    <w:rsid w:val="00181620"/>
    <w:rsid w:val="001852AF"/>
    <w:rsid w:val="001957AD"/>
    <w:rsid w:val="001A21F0"/>
    <w:rsid w:val="001A2B7F"/>
    <w:rsid w:val="001A3AFD"/>
    <w:rsid w:val="001A496C"/>
    <w:rsid w:val="001A6304"/>
    <w:rsid w:val="001B2B6C"/>
    <w:rsid w:val="001B49AD"/>
    <w:rsid w:val="001D01C4"/>
    <w:rsid w:val="001D52B0"/>
    <w:rsid w:val="001D5A18"/>
    <w:rsid w:val="001D7CA4"/>
    <w:rsid w:val="001E057F"/>
    <w:rsid w:val="001E14EB"/>
    <w:rsid w:val="001E1982"/>
    <w:rsid w:val="001F2879"/>
    <w:rsid w:val="001F59E6"/>
    <w:rsid w:val="001F5C6E"/>
    <w:rsid w:val="001F6C85"/>
    <w:rsid w:val="00202014"/>
    <w:rsid w:val="00206936"/>
    <w:rsid w:val="00206C6F"/>
    <w:rsid w:val="00206FBD"/>
    <w:rsid w:val="00207746"/>
    <w:rsid w:val="00212651"/>
    <w:rsid w:val="00221220"/>
    <w:rsid w:val="00230031"/>
    <w:rsid w:val="00235C01"/>
    <w:rsid w:val="00236878"/>
    <w:rsid w:val="00247343"/>
    <w:rsid w:val="002647E6"/>
    <w:rsid w:val="00265C56"/>
    <w:rsid w:val="002716CD"/>
    <w:rsid w:val="00274D4B"/>
    <w:rsid w:val="002806F5"/>
    <w:rsid w:val="00281577"/>
    <w:rsid w:val="002926BC"/>
    <w:rsid w:val="00293A72"/>
    <w:rsid w:val="002A0160"/>
    <w:rsid w:val="002A30C3"/>
    <w:rsid w:val="002A6F6A"/>
    <w:rsid w:val="002A7712"/>
    <w:rsid w:val="002B38F7"/>
    <w:rsid w:val="002B5591"/>
    <w:rsid w:val="002B6AA4"/>
    <w:rsid w:val="002C1FE9"/>
    <w:rsid w:val="002D3A57"/>
    <w:rsid w:val="002D7D05"/>
    <w:rsid w:val="002E20C8"/>
    <w:rsid w:val="002E4290"/>
    <w:rsid w:val="002E5B94"/>
    <w:rsid w:val="002E66A6"/>
    <w:rsid w:val="002F0DB1"/>
    <w:rsid w:val="002F2885"/>
    <w:rsid w:val="002F32D0"/>
    <w:rsid w:val="002F3CF1"/>
    <w:rsid w:val="002F45A1"/>
    <w:rsid w:val="003037F9"/>
    <w:rsid w:val="0030583E"/>
    <w:rsid w:val="00307FE1"/>
    <w:rsid w:val="003164BA"/>
    <w:rsid w:val="003223FE"/>
    <w:rsid w:val="003258E6"/>
    <w:rsid w:val="00342283"/>
    <w:rsid w:val="00343A87"/>
    <w:rsid w:val="00344A36"/>
    <w:rsid w:val="003456F4"/>
    <w:rsid w:val="003477B6"/>
    <w:rsid w:val="00347FB6"/>
    <w:rsid w:val="003504FD"/>
    <w:rsid w:val="00350881"/>
    <w:rsid w:val="003514A9"/>
    <w:rsid w:val="00357D55"/>
    <w:rsid w:val="00363513"/>
    <w:rsid w:val="00364388"/>
    <w:rsid w:val="003657E5"/>
    <w:rsid w:val="0036589C"/>
    <w:rsid w:val="00371312"/>
    <w:rsid w:val="00371DC7"/>
    <w:rsid w:val="00374E68"/>
    <w:rsid w:val="003765C6"/>
    <w:rsid w:val="00376BF0"/>
    <w:rsid w:val="00377B21"/>
    <w:rsid w:val="003812ED"/>
    <w:rsid w:val="00382BE1"/>
    <w:rsid w:val="00390CE3"/>
    <w:rsid w:val="00394876"/>
    <w:rsid w:val="00394AAF"/>
    <w:rsid w:val="00394CE5"/>
    <w:rsid w:val="003A134B"/>
    <w:rsid w:val="003A6341"/>
    <w:rsid w:val="003B173F"/>
    <w:rsid w:val="003B67FD"/>
    <w:rsid w:val="003B6A61"/>
    <w:rsid w:val="003D42C0"/>
    <w:rsid w:val="003D5B29"/>
    <w:rsid w:val="003D72E6"/>
    <w:rsid w:val="003D7818"/>
    <w:rsid w:val="003E2445"/>
    <w:rsid w:val="003E3BB2"/>
    <w:rsid w:val="003E511B"/>
    <w:rsid w:val="003F5B58"/>
    <w:rsid w:val="0040222A"/>
    <w:rsid w:val="004047BC"/>
    <w:rsid w:val="00406497"/>
    <w:rsid w:val="004100F7"/>
    <w:rsid w:val="00414CB3"/>
    <w:rsid w:val="0041563D"/>
    <w:rsid w:val="00420CF5"/>
    <w:rsid w:val="00421FB4"/>
    <w:rsid w:val="00422874"/>
    <w:rsid w:val="00426CCA"/>
    <w:rsid w:val="00426E25"/>
    <w:rsid w:val="00427383"/>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3D3"/>
    <w:rsid w:val="004B0C15"/>
    <w:rsid w:val="004B35EA"/>
    <w:rsid w:val="004B3704"/>
    <w:rsid w:val="004B69E4"/>
    <w:rsid w:val="004B6CEB"/>
    <w:rsid w:val="004B7373"/>
    <w:rsid w:val="004C2BF4"/>
    <w:rsid w:val="004C6C39"/>
    <w:rsid w:val="004D075F"/>
    <w:rsid w:val="004D1B76"/>
    <w:rsid w:val="004D344E"/>
    <w:rsid w:val="004E019E"/>
    <w:rsid w:val="004E06EC"/>
    <w:rsid w:val="004E2CB7"/>
    <w:rsid w:val="004F016A"/>
    <w:rsid w:val="004F2206"/>
    <w:rsid w:val="004F4628"/>
    <w:rsid w:val="00500F94"/>
    <w:rsid w:val="00502FB3"/>
    <w:rsid w:val="00503DE9"/>
    <w:rsid w:val="0050530C"/>
    <w:rsid w:val="00505A10"/>
    <w:rsid w:val="00505DEA"/>
    <w:rsid w:val="00506069"/>
    <w:rsid w:val="00507782"/>
    <w:rsid w:val="00507D54"/>
    <w:rsid w:val="00512A04"/>
    <w:rsid w:val="005249F5"/>
    <w:rsid w:val="005260F7"/>
    <w:rsid w:val="00532EE6"/>
    <w:rsid w:val="00543BD1"/>
    <w:rsid w:val="0054507C"/>
    <w:rsid w:val="00546D7E"/>
    <w:rsid w:val="00556113"/>
    <w:rsid w:val="00564C12"/>
    <w:rsid w:val="005654B8"/>
    <w:rsid w:val="0057377F"/>
    <w:rsid w:val="005762CC"/>
    <w:rsid w:val="00582D3D"/>
    <w:rsid w:val="00595386"/>
    <w:rsid w:val="005A3621"/>
    <w:rsid w:val="005A4AC0"/>
    <w:rsid w:val="005A5FDF"/>
    <w:rsid w:val="005B0FB7"/>
    <w:rsid w:val="005B122A"/>
    <w:rsid w:val="005B5AC2"/>
    <w:rsid w:val="005C2833"/>
    <w:rsid w:val="005C47E3"/>
    <w:rsid w:val="005D3964"/>
    <w:rsid w:val="005D5693"/>
    <w:rsid w:val="005E144D"/>
    <w:rsid w:val="005E1500"/>
    <w:rsid w:val="005E3A43"/>
    <w:rsid w:val="005E51A4"/>
    <w:rsid w:val="005F77C7"/>
    <w:rsid w:val="0060030B"/>
    <w:rsid w:val="006145BB"/>
    <w:rsid w:val="00620675"/>
    <w:rsid w:val="00622910"/>
    <w:rsid w:val="006433C3"/>
    <w:rsid w:val="00646F4B"/>
    <w:rsid w:val="00650F5B"/>
    <w:rsid w:val="00652DC0"/>
    <w:rsid w:val="00660584"/>
    <w:rsid w:val="006670D7"/>
    <w:rsid w:val="006719EA"/>
    <w:rsid w:val="00671F13"/>
    <w:rsid w:val="0067400A"/>
    <w:rsid w:val="006747E0"/>
    <w:rsid w:val="006847AD"/>
    <w:rsid w:val="00690862"/>
    <w:rsid w:val="00690B7D"/>
    <w:rsid w:val="0069114B"/>
    <w:rsid w:val="006A756A"/>
    <w:rsid w:val="006C396A"/>
    <w:rsid w:val="006C75D4"/>
    <w:rsid w:val="006D1ADA"/>
    <w:rsid w:val="006D66F7"/>
    <w:rsid w:val="006D6723"/>
    <w:rsid w:val="006E3B5D"/>
    <w:rsid w:val="00702D61"/>
    <w:rsid w:val="00705C9D"/>
    <w:rsid w:val="00705F13"/>
    <w:rsid w:val="00714F1D"/>
    <w:rsid w:val="00715225"/>
    <w:rsid w:val="00720CC6"/>
    <w:rsid w:val="00722DDB"/>
    <w:rsid w:val="00724728"/>
    <w:rsid w:val="00724F98"/>
    <w:rsid w:val="00730B9B"/>
    <w:rsid w:val="0073182E"/>
    <w:rsid w:val="007332FF"/>
    <w:rsid w:val="0073520D"/>
    <w:rsid w:val="007372B0"/>
    <w:rsid w:val="007408F5"/>
    <w:rsid w:val="00741EAE"/>
    <w:rsid w:val="0075413F"/>
    <w:rsid w:val="00755248"/>
    <w:rsid w:val="0076190B"/>
    <w:rsid w:val="0076355D"/>
    <w:rsid w:val="00763A2D"/>
    <w:rsid w:val="007761D8"/>
    <w:rsid w:val="00777795"/>
    <w:rsid w:val="00783A57"/>
    <w:rsid w:val="00784C92"/>
    <w:rsid w:val="007859CD"/>
    <w:rsid w:val="007907E4"/>
    <w:rsid w:val="007926F1"/>
    <w:rsid w:val="00796461"/>
    <w:rsid w:val="007A6A4F"/>
    <w:rsid w:val="007B03F5"/>
    <w:rsid w:val="007B59D3"/>
    <w:rsid w:val="007B5C09"/>
    <w:rsid w:val="007B5DA2"/>
    <w:rsid w:val="007C0966"/>
    <w:rsid w:val="007C19E7"/>
    <w:rsid w:val="007C5CFD"/>
    <w:rsid w:val="007C6D9F"/>
    <w:rsid w:val="007D4893"/>
    <w:rsid w:val="007D7697"/>
    <w:rsid w:val="007E57B6"/>
    <w:rsid w:val="007E6F71"/>
    <w:rsid w:val="007E70CF"/>
    <w:rsid w:val="007E74A4"/>
    <w:rsid w:val="007F02DB"/>
    <w:rsid w:val="007F263F"/>
    <w:rsid w:val="007F46EA"/>
    <w:rsid w:val="007F5579"/>
    <w:rsid w:val="008002E8"/>
    <w:rsid w:val="0080766E"/>
    <w:rsid w:val="008105BE"/>
    <w:rsid w:val="00811169"/>
    <w:rsid w:val="00815297"/>
    <w:rsid w:val="00817BA1"/>
    <w:rsid w:val="00823022"/>
    <w:rsid w:val="0082634E"/>
    <w:rsid w:val="0082669D"/>
    <w:rsid w:val="008313C4"/>
    <w:rsid w:val="00835434"/>
    <w:rsid w:val="008358C0"/>
    <w:rsid w:val="00842838"/>
    <w:rsid w:val="00854EC1"/>
    <w:rsid w:val="0085797F"/>
    <w:rsid w:val="00860804"/>
    <w:rsid w:val="00861DC3"/>
    <w:rsid w:val="00867019"/>
    <w:rsid w:val="008735A9"/>
    <w:rsid w:val="00876935"/>
    <w:rsid w:val="00877D20"/>
    <w:rsid w:val="00881C48"/>
    <w:rsid w:val="00882BB8"/>
    <w:rsid w:val="00885590"/>
    <w:rsid w:val="00885B80"/>
    <w:rsid w:val="00885C30"/>
    <w:rsid w:val="00885E9B"/>
    <w:rsid w:val="00886C9D"/>
    <w:rsid w:val="00891F06"/>
    <w:rsid w:val="00893C96"/>
    <w:rsid w:val="0089500A"/>
    <w:rsid w:val="00897C94"/>
    <w:rsid w:val="008A51A3"/>
    <w:rsid w:val="008A7C12"/>
    <w:rsid w:val="008B03CE"/>
    <w:rsid w:val="008B529E"/>
    <w:rsid w:val="008B7C3D"/>
    <w:rsid w:val="008C17FB"/>
    <w:rsid w:val="008D1B00"/>
    <w:rsid w:val="008D57B8"/>
    <w:rsid w:val="008E0345"/>
    <w:rsid w:val="008E03FC"/>
    <w:rsid w:val="008E2202"/>
    <w:rsid w:val="008E510B"/>
    <w:rsid w:val="00901353"/>
    <w:rsid w:val="00902B13"/>
    <w:rsid w:val="00911941"/>
    <w:rsid w:val="009138A0"/>
    <w:rsid w:val="00925F0F"/>
    <w:rsid w:val="00930C91"/>
    <w:rsid w:val="00932F6B"/>
    <w:rsid w:val="00934EF3"/>
    <w:rsid w:val="009436FF"/>
    <w:rsid w:val="0094483E"/>
    <w:rsid w:val="009468BC"/>
    <w:rsid w:val="009616DF"/>
    <w:rsid w:val="009640A0"/>
    <w:rsid w:val="00964B22"/>
    <w:rsid w:val="0096542F"/>
    <w:rsid w:val="00967FA7"/>
    <w:rsid w:val="00971645"/>
    <w:rsid w:val="00977919"/>
    <w:rsid w:val="00983000"/>
    <w:rsid w:val="009870FA"/>
    <w:rsid w:val="009921C3"/>
    <w:rsid w:val="0099551D"/>
    <w:rsid w:val="009A5897"/>
    <w:rsid w:val="009A5F24"/>
    <w:rsid w:val="009B0B3E"/>
    <w:rsid w:val="009B1913"/>
    <w:rsid w:val="009B6657"/>
    <w:rsid w:val="009B7C35"/>
    <w:rsid w:val="009C198E"/>
    <w:rsid w:val="009C21F1"/>
    <w:rsid w:val="009C5B17"/>
    <w:rsid w:val="009D0EB5"/>
    <w:rsid w:val="009D14F9"/>
    <w:rsid w:val="009D2B74"/>
    <w:rsid w:val="009D63FF"/>
    <w:rsid w:val="009E175D"/>
    <w:rsid w:val="009E3CC2"/>
    <w:rsid w:val="009F06BD"/>
    <w:rsid w:val="009F2A4D"/>
    <w:rsid w:val="009F3302"/>
    <w:rsid w:val="00A00828"/>
    <w:rsid w:val="00A0271B"/>
    <w:rsid w:val="00A03290"/>
    <w:rsid w:val="00A07490"/>
    <w:rsid w:val="00A10655"/>
    <w:rsid w:val="00A1197C"/>
    <w:rsid w:val="00A12B64"/>
    <w:rsid w:val="00A160EA"/>
    <w:rsid w:val="00A22C38"/>
    <w:rsid w:val="00A25193"/>
    <w:rsid w:val="00A26E80"/>
    <w:rsid w:val="00A31AE8"/>
    <w:rsid w:val="00A33710"/>
    <w:rsid w:val="00A3739D"/>
    <w:rsid w:val="00A37DDA"/>
    <w:rsid w:val="00A37ED8"/>
    <w:rsid w:val="00A438BA"/>
    <w:rsid w:val="00A45BF7"/>
    <w:rsid w:val="00A57BDE"/>
    <w:rsid w:val="00A71E1C"/>
    <w:rsid w:val="00A925EC"/>
    <w:rsid w:val="00A929AA"/>
    <w:rsid w:val="00A92B6B"/>
    <w:rsid w:val="00A955A9"/>
    <w:rsid w:val="00AA541E"/>
    <w:rsid w:val="00AD0DA4"/>
    <w:rsid w:val="00AD4169"/>
    <w:rsid w:val="00AE25C6"/>
    <w:rsid w:val="00AE306C"/>
    <w:rsid w:val="00AE51A5"/>
    <w:rsid w:val="00AF28C1"/>
    <w:rsid w:val="00AF5F76"/>
    <w:rsid w:val="00B02EF1"/>
    <w:rsid w:val="00B07C97"/>
    <w:rsid w:val="00B07EA1"/>
    <w:rsid w:val="00B10EDC"/>
    <w:rsid w:val="00B11C67"/>
    <w:rsid w:val="00B15754"/>
    <w:rsid w:val="00B15A27"/>
    <w:rsid w:val="00B2046E"/>
    <w:rsid w:val="00B20E8B"/>
    <w:rsid w:val="00B257E1"/>
    <w:rsid w:val="00B2599A"/>
    <w:rsid w:val="00B27AC4"/>
    <w:rsid w:val="00B330AA"/>
    <w:rsid w:val="00B343CC"/>
    <w:rsid w:val="00B43C75"/>
    <w:rsid w:val="00B47ABC"/>
    <w:rsid w:val="00B5084A"/>
    <w:rsid w:val="00B606A1"/>
    <w:rsid w:val="00B614F7"/>
    <w:rsid w:val="00B61B26"/>
    <w:rsid w:val="00B675B2"/>
    <w:rsid w:val="00B67E17"/>
    <w:rsid w:val="00B81261"/>
    <w:rsid w:val="00B8223E"/>
    <w:rsid w:val="00B832AE"/>
    <w:rsid w:val="00B83E5C"/>
    <w:rsid w:val="00B86678"/>
    <w:rsid w:val="00B92F9B"/>
    <w:rsid w:val="00B941B3"/>
    <w:rsid w:val="00B96513"/>
    <w:rsid w:val="00BA1D47"/>
    <w:rsid w:val="00BA66F0"/>
    <w:rsid w:val="00BB2239"/>
    <w:rsid w:val="00BB2AE7"/>
    <w:rsid w:val="00BB6464"/>
    <w:rsid w:val="00BC1BB8"/>
    <w:rsid w:val="00BD7EFC"/>
    <w:rsid w:val="00BD7FE1"/>
    <w:rsid w:val="00BE37CA"/>
    <w:rsid w:val="00BE6144"/>
    <w:rsid w:val="00BE635A"/>
    <w:rsid w:val="00BF17E9"/>
    <w:rsid w:val="00BF2ABB"/>
    <w:rsid w:val="00BF5099"/>
    <w:rsid w:val="00BF5345"/>
    <w:rsid w:val="00C10F10"/>
    <w:rsid w:val="00C15D4D"/>
    <w:rsid w:val="00C175DC"/>
    <w:rsid w:val="00C30171"/>
    <w:rsid w:val="00C309D8"/>
    <w:rsid w:val="00C33D72"/>
    <w:rsid w:val="00C43519"/>
    <w:rsid w:val="00C51537"/>
    <w:rsid w:val="00C52BC3"/>
    <w:rsid w:val="00C61AFA"/>
    <w:rsid w:val="00C61D64"/>
    <w:rsid w:val="00C62099"/>
    <w:rsid w:val="00C64EA3"/>
    <w:rsid w:val="00C72867"/>
    <w:rsid w:val="00C75E81"/>
    <w:rsid w:val="00C75F52"/>
    <w:rsid w:val="00C800F1"/>
    <w:rsid w:val="00C86533"/>
    <w:rsid w:val="00C86609"/>
    <w:rsid w:val="00C914F1"/>
    <w:rsid w:val="00C92B4C"/>
    <w:rsid w:val="00C954F6"/>
    <w:rsid w:val="00CA6BC5"/>
    <w:rsid w:val="00CB6A67"/>
    <w:rsid w:val="00CC61CD"/>
    <w:rsid w:val="00CD5011"/>
    <w:rsid w:val="00CE640F"/>
    <w:rsid w:val="00CE76BC"/>
    <w:rsid w:val="00CF540E"/>
    <w:rsid w:val="00D02F07"/>
    <w:rsid w:val="00D21C7A"/>
    <w:rsid w:val="00D23346"/>
    <w:rsid w:val="00D27EBE"/>
    <w:rsid w:val="00D36A49"/>
    <w:rsid w:val="00D517C6"/>
    <w:rsid w:val="00D64806"/>
    <w:rsid w:val="00D71D84"/>
    <w:rsid w:val="00D72464"/>
    <w:rsid w:val="00D768EB"/>
    <w:rsid w:val="00D820E0"/>
    <w:rsid w:val="00D82D1E"/>
    <w:rsid w:val="00D832D9"/>
    <w:rsid w:val="00D90F00"/>
    <w:rsid w:val="00D94F6B"/>
    <w:rsid w:val="00D975C0"/>
    <w:rsid w:val="00DA5285"/>
    <w:rsid w:val="00DA5FD1"/>
    <w:rsid w:val="00DA68E8"/>
    <w:rsid w:val="00DB191D"/>
    <w:rsid w:val="00DB4F91"/>
    <w:rsid w:val="00DB5BBC"/>
    <w:rsid w:val="00DC1EF7"/>
    <w:rsid w:val="00DC1F0F"/>
    <w:rsid w:val="00DC3117"/>
    <w:rsid w:val="00DC5DD9"/>
    <w:rsid w:val="00DC6D2D"/>
    <w:rsid w:val="00DD64C2"/>
    <w:rsid w:val="00DE03CB"/>
    <w:rsid w:val="00DE33B5"/>
    <w:rsid w:val="00DE5E18"/>
    <w:rsid w:val="00DE6E01"/>
    <w:rsid w:val="00DF0487"/>
    <w:rsid w:val="00DF1C5B"/>
    <w:rsid w:val="00DF5EA4"/>
    <w:rsid w:val="00E02681"/>
    <w:rsid w:val="00E02792"/>
    <w:rsid w:val="00E034D8"/>
    <w:rsid w:val="00E04CC0"/>
    <w:rsid w:val="00E15816"/>
    <w:rsid w:val="00E160D5"/>
    <w:rsid w:val="00E239FF"/>
    <w:rsid w:val="00E27D7B"/>
    <w:rsid w:val="00E30556"/>
    <w:rsid w:val="00E30981"/>
    <w:rsid w:val="00E32C7B"/>
    <w:rsid w:val="00E33136"/>
    <w:rsid w:val="00E34D7C"/>
    <w:rsid w:val="00E36C7E"/>
    <w:rsid w:val="00E3723D"/>
    <w:rsid w:val="00E44C89"/>
    <w:rsid w:val="00E470F6"/>
    <w:rsid w:val="00E61BA2"/>
    <w:rsid w:val="00E63864"/>
    <w:rsid w:val="00E6403F"/>
    <w:rsid w:val="00E64725"/>
    <w:rsid w:val="00E75449"/>
    <w:rsid w:val="00E770C4"/>
    <w:rsid w:val="00E84C5A"/>
    <w:rsid w:val="00E861DB"/>
    <w:rsid w:val="00E93406"/>
    <w:rsid w:val="00E956C5"/>
    <w:rsid w:val="00E9579A"/>
    <w:rsid w:val="00E95C39"/>
    <w:rsid w:val="00EA2C39"/>
    <w:rsid w:val="00EB0A3C"/>
    <w:rsid w:val="00EB0A96"/>
    <w:rsid w:val="00EB3F97"/>
    <w:rsid w:val="00EB77F9"/>
    <w:rsid w:val="00EC5769"/>
    <w:rsid w:val="00EC7D00"/>
    <w:rsid w:val="00ED0304"/>
    <w:rsid w:val="00ED087C"/>
    <w:rsid w:val="00EE38FA"/>
    <w:rsid w:val="00EE3E2C"/>
    <w:rsid w:val="00EE573A"/>
    <w:rsid w:val="00EE5D23"/>
    <w:rsid w:val="00EE6D25"/>
    <w:rsid w:val="00EE750D"/>
    <w:rsid w:val="00EF3CA4"/>
    <w:rsid w:val="00EF4222"/>
    <w:rsid w:val="00EF5E1F"/>
    <w:rsid w:val="00EF7859"/>
    <w:rsid w:val="00F014DA"/>
    <w:rsid w:val="00F01BE6"/>
    <w:rsid w:val="00F02591"/>
    <w:rsid w:val="00F14273"/>
    <w:rsid w:val="00F24F21"/>
    <w:rsid w:val="00F30056"/>
    <w:rsid w:val="00F5696E"/>
    <w:rsid w:val="00F60EFF"/>
    <w:rsid w:val="00F67D2D"/>
    <w:rsid w:val="00F67E19"/>
    <w:rsid w:val="00F70D88"/>
    <w:rsid w:val="00F860CC"/>
    <w:rsid w:val="00F90858"/>
    <w:rsid w:val="00F94398"/>
    <w:rsid w:val="00FA4629"/>
    <w:rsid w:val="00FB0845"/>
    <w:rsid w:val="00FB2B56"/>
    <w:rsid w:val="00FB4E3A"/>
    <w:rsid w:val="00FC12BF"/>
    <w:rsid w:val="00FC1A7C"/>
    <w:rsid w:val="00FC2C60"/>
    <w:rsid w:val="00FC64AB"/>
    <w:rsid w:val="00FD3E6F"/>
    <w:rsid w:val="00FD51B9"/>
    <w:rsid w:val="00FE2A39"/>
    <w:rsid w:val="00FE2EF6"/>
    <w:rsid w:val="00FE3F44"/>
    <w:rsid w:val="00FF39CF"/>
    <w:rsid w:val="00FF547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4EEE62"/>
  <w15:docId w15:val="{5DAB5EC4-03CB-4A2D-9CA0-175FD0D1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882BB8"/>
    <w:pPr>
      <w:spacing w:before="240"/>
      <w:outlineLvl w:val="0"/>
    </w:pPr>
    <w:rPr>
      <w:rFonts w:asciiTheme="majorHAnsi" w:eastAsiaTheme="majorEastAsia" w:hAnsiTheme="majorHAnsi" w:cstheme="majorBidi"/>
      <w:bCs/>
      <w:color w:val="DB7310"/>
      <w:kern w:val="32"/>
      <w:sz w:val="36"/>
      <w:szCs w:val="32"/>
    </w:rPr>
  </w:style>
  <w:style w:type="paragraph" w:styleId="Heading2">
    <w:name w:val="heading 2"/>
    <w:basedOn w:val="Normal"/>
    <w:next w:val="Normal"/>
    <w:link w:val="Heading2Char"/>
    <w:uiPriority w:val="2"/>
    <w:qFormat/>
    <w:rsid w:val="00882BB8"/>
    <w:p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882BB8"/>
    <w:pPr>
      <w:spacing w:before="240"/>
      <w:outlineLvl w:val="2"/>
    </w:pPr>
    <w:rPr>
      <w:rFonts w:asciiTheme="majorHAnsi" w:hAnsiTheme="majorHAnsi" w:cs="Arial"/>
      <w:bCs/>
      <w:color w:val="454347"/>
      <w:sz w:val="28"/>
      <w:szCs w:val="28"/>
      <w:lang w:eastAsia="en-AU"/>
    </w:rPr>
  </w:style>
  <w:style w:type="paragraph" w:styleId="Heading4">
    <w:name w:val="heading 4"/>
    <w:basedOn w:val="Normal"/>
    <w:next w:val="Normal"/>
    <w:link w:val="Heading4Char"/>
    <w:uiPriority w:val="2"/>
    <w:qFormat/>
    <w:rsid w:val="00882BB8"/>
    <w:p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F70D88"/>
    <w:rPr>
      <w:rFonts w:asciiTheme="majorHAnsi" w:eastAsiaTheme="majorEastAsia" w:hAnsiTheme="majorHAnsi" w:cstheme="majorBidi"/>
      <w:bCs/>
      <w:color w:val="DB7310"/>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7E6F71"/>
    <w:rPr>
      <w:rFonts w:ascii="Lato Semibold" w:eastAsia="Times New Roman" w:hAnsi="Lato Semibold"/>
      <w:bCs/>
      <w:color w:val="DB7310"/>
      <w:kern w:val="32"/>
      <w:sz w:val="60"/>
      <w:szCs w:val="64"/>
    </w:rPr>
  </w:style>
  <w:style w:type="character" w:customStyle="1" w:styleId="TitleChar">
    <w:name w:val="Title Char"/>
    <w:basedOn w:val="DefaultParagraphFont"/>
    <w:link w:val="Title"/>
    <w:rsid w:val="007E6F71"/>
    <w:rPr>
      <w:rFonts w:ascii="Lato Semibold" w:eastAsia="Times New Roman" w:hAnsi="Lato Semibold"/>
      <w:bCs/>
      <w:color w:val="DB731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882BB8"/>
    <w:rPr>
      <w:rFonts w:asciiTheme="majorHAnsi" w:hAnsiTheme="majorHAnsi" w:cs="Arial"/>
      <w:bCs/>
      <w:color w:val="454347"/>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E6F71"/>
    <w:pPr>
      <w:numPr>
        <w:ilvl w:val="1"/>
      </w:numPr>
      <w:spacing w:after="160"/>
    </w:pPr>
    <w:rPr>
      <w:rFonts w:ascii="Lato Semibold" w:eastAsia="Times New Roman" w:hAnsi="Lato Semibold"/>
      <w:color w:val="808080"/>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CommentReference">
    <w:name w:val="annotation reference"/>
    <w:basedOn w:val="DefaultParagraphFont"/>
    <w:uiPriority w:val="99"/>
    <w:semiHidden/>
    <w:unhideWhenUsed/>
    <w:rsid w:val="00364388"/>
    <w:rPr>
      <w:sz w:val="16"/>
      <w:szCs w:val="16"/>
    </w:rPr>
  </w:style>
  <w:style w:type="paragraph" w:styleId="CommentText">
    <w:name w:val="annotation text"/>
    <w:basedOn w:val="Normal"/>
    <w:link w:val="CommentTextChar"/>
    <w:uiPriority w:val="99"/>
    <w:semiHidden/>
    <w:unhideWhenUsed/>
    <w:rsid w:val="00364388"/>
    <w:rPr>
      <w:sz w:val="20"/>
      <w:szCs w:val="20"/>
    </w:rPr>
  </w:style>
  <w:style w:type="character" w:customStyle="1" w:styleId="CommentTextChar">
    <w:name w:val="Comment Text Char"/>
    <w:basedOn w:val="DefaultParagraphFont"/>
    <w:link w:val="CommentText"/>
    <w:uiPriority w:val="99"/>
    <w:semiHidden/>
    <w:rsid w:val="0036438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364388"/>
    <w:rPr>
      <w:b/>
      <w:bCs/>
    </w:rPr>
  </w:style>
  <w:style w:type="character" w:customStyle="1" w:styleId="CommentSubjectChar">
    <w:name w:val="Comment Subject Char"/>
    <w:basedOn w:val="CommentTextChar"/>
    <w:link w:val="CommentSubject"/>
    <w:uiPriority w:val="99"/>
    <w:semiHidden/>
    <w:rsid w:val="00364388"/>
    <w:rPr>
      <w:rFonts w:ascii="Lato" w:hAnsi="Lato"/>
      <w:b/>
      <w:bCs/>
      <w:sz w:val="20"/>
      <w:szCs w:val="20"/>
    </w:rPr>
  </w:style>
  <w:style w:type="paragraph" w:styleId="BalloonText">
    <w:name w:val="Balloon Text"/>
    <w:basedOn w:val="Normal"/>
    <w:link w:val="BalloonTextChar"/>
    <w:uiPriority w:val="99"/>
    <w:semiHidden/>
    <w:unhideWhenUsed/>
    <w:rsid w:val="0036438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3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AGD.NTWSProsecutions@nt.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datantworksafe@nt.gov.au" TargetMode="External"/><Relationship Id="rId2" Type="http://schemas.openxmlformats.org/officeDocument/2006/relationships/customXml" Target="../customXml/item2.xml"/><Relationship Id="rId16" Type="http://schemas.openxmlformats.org/officeDocument/2006/relationships/hyperlink" Target="https://worksafe.nt.gov.au/forms-and-resources/guides/workers-guide-to-workers-compensatio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justice.nt.gov.au/__data/assets/pdf_file/0010/718147/Charter-of-Victims-Rights-August-2019.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p\Desktop\summary-guide-for-infringement-notic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2EBAE950BF4F8EA8F9A6F62D1C0A94"/>
        <w:category>
          <w:name w:val="General"/>
          <w:gallery w:val="placeholder"/>
        </w:category>
        <w:types>
          <w:type w:val="bbPlcHdr"/>
        </w:types>
        <w:behaviors>
          <w:behavior w:val="content"/>
        </w:behaviors>
        <w:guid w:val="{E6F4D92B-A7EF-4F8F-A350-5D59D64B6F61}"/>
      </w:docPartPr>
      <w:docPartBody>
        <w:p w:rsidR="00264129" w:rsidRDefault="006E17C9">
          <w:pPr>
            <w:pStyle w:val="4D2EBAE950BF4F8EA8F9A6F62D1C0A94"/>
          </w:pPr>
          <w:r w:rsidRPr="000C7A65">
            <w:rPr>
              <w:rStyle w:val="PlaceholderText"/>
            </w:rPr>
            <w:t>[Title]</w:t>
          </w:r>
        </w:p>
      </w:docPartBody>
    </w:docPart>
    <w:docPart>
      <w:docPartPr>
        <w:name w:val="25ADA54921C74AFE97A1C836329F4EC2"/>
        <w:category>
          <w:name w:val="General"/>
          <w:gallery w:val="placeholder"/>
        </w:category>
        <w:types>
          <w:type w:val="bbPlcHdr"/>
        </w:types>
        <w:behaviors>
          <w:behavior w:val="content"/>
        </w:behaviors>
        <w:guid w:val="{30404037-6F34-4AD7-908E-8B72DFDC9A56}"/>
      </w:docPartPr>
      <w:docPartBody>
        <w:p w:rsidR="00264129" w:rsidRDefault="006E17C9">
          <w:pPr>
            <w:pStyle w:val="25ADA54921C74AFE97A1C836329F4EC2"/>
          </w:pPr>
          <w:r w:rsidRPr="00741874">
            <w:rPr>
              <w:rStyle w:val="PlaceholderText"/>
            </w:rPr>
            <w:t>[Title]</w:t>
          </w:r>
        </w:p>
      </w:docPartBody>
    </w:docPart>
    <w:docPart>
      <w:docPartPr>
        <w:name w:val="E90F1184747140AB89876B8FF20E0A1D"/>
        <w:category>
          <w:name w:val="General"/>
          <w:gallery w:val="placeholder"/>
        </w:category>
        <w:types>
          <w:type w:val="bbPlcHdr"/>
        </w:types>
        <w:behaviors>
          <w:behavior w:val="content"/>
        </w:behaviors>
        <w:guid w:val="{F52040B0-7886-4653-A8FD-98DEE5F0C41E}"/>
      </w:docPartPr>
      <w:docPartBody>
        <w:p w:rsidR="00264129" w:rsidRDefault="006E17C9">
          <w:pPr>
            <w:pStyle w:val="E90F1184747140AB89876B8FF20E0A1D"/>
          </w:pPr>
          <w:r w:rsidRPr="007B29C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C9"/>
    <w:rsid w:val="00100C95"/>
    <w:rsid w:val="00264129"/>
    <w:rsid w:val="00395667"/>
    <w:rsid w:val="00556D70"/>
    <w:rsid w:val="006E17C9"/>
    <w:rsid w:val="00A53AFA"/>
    <w:rsid w:val="00E41BF0"/>
    <w:rsid w:val="00EA3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D2EBAE950BF4F8EA8F9A6F62D1C0A94">
    <w:name w:val="4D2EBAE950BF4F8EA8F9A6F62D1C0A94"/>
  </w:style>
  <w:style w:type="paragraph" w:customStyle="1" w:styleId="25ADA54921C74AFE97A1C836329F4EC2">
    <w:name w:val="25ADA54921C74AFE97A1C836329F4EC2"/>
  </w:style>
  <w:style w:type="paragraph" w:customStyle="1" w:styleId="C3AE88E317F94F2A8DE44DBA55D1A651">
    <w:name w:val="C3AE88E317F94F2A8DE44DBA55D1A651"/>
  </w:style>
  <w:style w:type="paragraph" w:customStyle="1" w:styleId="E90F1184747140AB89876B8FF20E0A1D">
    <w:name w:val="E90F1184747140AB89876B8FF20E0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2024-03-08T00:00:00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D55442-ABEC-472D-8CCA-B57E4D7D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summary-guide-for-infringement-notices.dotx</Template>
  <TotalTime>89</TotalTime>
  <Pages>7</Pages>
  <Words>1726</Words>
  <Characters>9842</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Work Health and Safety investigations and prosecutions</vt:lpstr>
    </vt:vector>
  </TitlesOfParts>
  <Company>NT WorkSafe</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Health and Safety investigations and prosecutions</dc:title>
  <dc:creator>Peter Chan</dc:creator>
  <cp:lastModifiedBy>Peter Chan</cp:lastModifiedBy>
  <cp:revision>14</cp:revision>
  <cp:lastPrinted>2023-01-13T05:27:00Z</cp:lastPrinted>
  <dcterms:created xsi:type="dcterms:W3CDTF">2024-01-18T01:16:00Z</dcterms:created>
  <dcterms:modified xsi:type="dcterms:W3CDTF">2024-03-11T06:45:00Z</dcterms:modified>
  <cp:contentStatus/>
</cp:coreProperties>
</file>