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7E6" w:rsidRDefault="003E3F8A" w:rsidP="00E95D09">
      <w:pPr>
        <w:pStyle w:val="Title"/>
        <w:spacing w:before="2160" w:after="480"/>
      </w:pPr>
      <w:r>
        <w:t>Employer</w:t>
      </w:r>
      <w:r w:rsidR="009F1720">
        <w:t>s guide to workers </w:t>
      </w:r>
      <w:r w:rsidR="003535CF">
        <w:t>compensation</w:t>
      </w:r>
    </w:p>
    <w:p w:rsidR="0086187E" w:rsidRDefault="0086187E" w:rsidP="0086187E">
      <w:pPr>
        <w:pStyle w:val="Subtitle"/>
      </w:pPr>
      <w:r>
        <w:t>Guide</w:t>
      </w:r>
    </w:p>
    <w:p w:rsidR="0086187E" w:rsidRPr="0086187E" w:rsidRDefault="0086187E" w:rsidP="0086187E"/>
    <w:p w:rsidR="00AC47A8" w:rsidRDefault="00AC47A8" w:rsidP="00AC47A8">
      <w:pPr>
        <w:keepNext/>
        <w:keepLines/>
        <w:sectPr w:rsidR="00AC47A8" w:rsidSect="00E9177E">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134" w:header="397" w:footer="567" w:gutter="0"/>
          <w:cols w:space="708"/>
          <w:titlePg/>
          <w:docGrid w:linePitch="360"/>
        </w:sectPr>
      </w:pPr>
    </w:p>
    <w:p w:rsidR="004060AF" w:rsidRPr="009070F2" w:rsidRDefault="004060AF" w:rsidP="00DC4CA0">
      <w:pPr>
        <w:spacing w:before="7000" w:after="180"/>
        <w:rPr>
          <w:b/>
          <w:color w:val="808080" w:themeColor="background1" w:themeShade="80"/>
          <w:sz w:val="28"/>
          <w:szCs w:val="28"/>
        </w:rPr>
      </w:pPr>
      <w:bookmarkStart w:id="0" w:name="_Toc413999804"/>
      <w:r w:rsidRPr="009070F2">
        <w:rPr>
          <w:b/>
          <w:color w:val="808080" w:themeColor="background1" w:themeShade="80"/>
          <w:sz w:val="28"/>
          <w:szCs w:val="28"/>
        </w:rPr>
        <w:lastRenderedPageBreak/>
        <w:t>Disclaimer</w:t>
      </w:r>
      <w:bookmarkEnd w:id="0"/>
    </w:p>
    <w:p w:rsidR="004060AF" w:rsidRDefault="002418A7" w:rsidP="0047151D">
      <w:r>
        <w:t xml:space="preserve">This publication contains information regarding </w:t>
      </w:r>
      <w:r w:rsidR="003535CF">
        <w:t>workers rehabilitation and compensation</w:t>
      </w:r>
      <w:r>
        <w:t xml:space="preserve">. It includes some of your obligations under the </w:t>
      </w:r>
      <w:r w:rsidR="003535CF">
        <w:rPr>
          <w:i/>
        </w:rPr>
        <w:t>Return to Work</w:t>
      </w:r>
      <w:r w:rsidRPr="00163AC6">
        <w:rPr>
          <w:i/>
        </w:rPr>
        <w:t xml:space="preserve"> Act</w:t>
      </w:r>
      <w:r w:rsidR="00081C65">
        <w:t xml:space="preserve"> (</w:t>
      </w:r>
      <w:r w:rsidR="003535CF">
        <w:t>RTW</w:t>
      </w:r>
      <w:r w:rsidR="00081C65">
        <w:t> </w:t>
      </w:r>
      <w:r>
        <w:t>Act) that NT WorkSafe administers. The information provided is a guide only and must be read in conjunction with the appropriate legislation to ensure you understand and comply with your legal obligations.</w:t>
      </w:r>
      <w:r w:rsidR="001E4A34">
        <w:br/>
        <w:t>(Version 1.</w:t>
      </w:r>
      <w:r w:rsidR="004D1350">
        <w:t>5</w:t>
      </w:r>
      <w:r w:rsidR="001E4A34">
        <w:t xml:space="preserve"> – </w:t>
      </w:r>
      <w:r w:rsidR="004D1350">
        <w:t>March</w:t>
      </w:r>
      <w:r w:rsidR="006A3854">
        <w:t xml:space="preserve"> </w:t>
      </w:r>
      <w:r w:rsidR="001E4A34">
        <w:t>20</w:t>
      </w:r>
      <w:r w:rsidR="004D1350">
        <w:t>21</w:t>
      </w:r>
      <w:r w:rsidR="001E4A34">
        <w:t>)</w:t>
      </w:r>
    </w:p>
    <w:p w:rsidR="004060AF" w:rsidRDefault="004060AF" w:rsidP="0047151D">
      <w:pPr>
        <w:spacing w:before="960"/>
      </w:pPr>
      <w:r>
        <w:rPr>
          <w:noProof/>
          <w:lang w:eastAsia="en-AU"/>
        </w:rPr>
        <w:drawing>
          <wp:inline distT="0" distB="0" distL="0" distR="0" wp14:anchorId="67D8EBC3" wp14:editId="07D97FD8">
            <wp:extent cx="1776413" cy="647700"/>
            <wp:effectExtent l="0" t="0" r="0" b="0"/>
            <wp:docPr id="8" name="Picture 8"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a:extLst>
                        <a:ext uri="{28A0092B-C50C-407E-A947-70E740481C1C}">
                          <a14:useLocalDpi xmlns:a14="http://schemas.microsoft.com/office/drawing/2010/main" val="0"/>
                        </a:ext>
                      </a:extLst>
                    </a:blip>
                    <a:srcRect r="2356"/>
                    <a:stretch/>
                  </pic:blipFill>
                  <pic:spPr bwMode="auto">
                    <a:xfrm>
                      <a:off x="0" y="0"/>
                      <a:ext cx="1776413" cy="647700"/>
                    </a:xfrm>
                    <a:prstGeom prst="rect">
                      <a:avLst/>
                    </a:prstGeom>
                    <a:noFill/>
                    <a:ln>
                      <a:noFill/>
                    </a:ln>
                    <a:extLst>
                      <a:ext uri="{53640926-AAD7-44D8-BBD7-CCE9431645EC}">
                        <a14:shadowObscured xmlns:a14="http://schemas.microsoft.com/office/drawing/2010/main"/>
                      </a:ext>
                    </a:extLst>
                  </pic:spPr>
                </pic:pic>
              </a:graphicData>
            </a:graphic>
          </wp:inline>
        </w:drawing>
      </w:r>
    </w:p>
    <w:p w:rsidR="004060AF" w:rsidRPr="009070F2" w:rsidRDefault="004060AF" w:rsidP="009070F2">
      <w:pPr>
        <w:spacing w:before="360" w:after="180"/>
        <w:rPr>
          <w:b/>
          <w:color w:val="808080" w:themeColor="background1" w:themeShade="80"/>
          <w:sz w:val="28"/>
          <w:szCs w:val="28"/>
        </w:rPr>
      </w:pPr>
      <w:bookmarkStart w:id="1" w:name="_Toc413999805"/>
      <w:r w:rsidRPr="009070F2">
        <w:rPr>
          <w:b/>
          <w:color w:val="808080" w:themeColor="background1" w:themeShade="80"/>
          <w:sz w:val="28"/>
          <w:szCs w:val="28"/>
        </w:rPr>
        <w:t>Creative Commons</w:t>
      </w:r>
      <w:bookmarkEnd w:id="1"/>
    </w:p>
    <w:p w:rsidR="004060AF" w:rsidRPr="00F63654" w:rsidRDefault="004060AF" w:rsidP="004060AF">
      <w:r w:rsidRPr="00F63654">
        <w:t xml:space="preserve">All material presented in this publication is provided under a Creative Commons Attribution 3.0 Australia </w:t>
      </w:r>
      <w:r>
        <w:t>licence.</w:t>
      </w:r>
    </w:p>
    <w:p w:rsidR="004060AF" w:rsidRPr="00F63654" w:rsidRDefault="004060AF" w:rsidP="004060AF">
      <w:r w:rsidRPr="00F63654">
        <w:t xml:space="preserve">For the avoidance of doubt, this means this licence only applies to material as set </w:t>
      </w:r>
      <w:r>
        <w:t>out in this document.</w:t>
      </w:r>
    </w:p>
    <w:p w:rsidR="004060AF" w:rsidRDefault="004060AF" w:rsidP="004060AF">
      <w:r w:rsidRPr="00F63654">
        <w:t>The details of the relevant licence conditions are available on the Creative Commons website as is the full legal co</w:t>
      </w:r>
      <w:r>
        <w:t>de for the CC BY 3.0 AU licence.</w:t>
      </w:r>
    </w:p>
    <w:p w:rsidR="007607DD" w:rsidRPr="007607DD" w:rsidRDefault="00150BC5" w:rsidP="004060AF">
      <w:pPr>
        <w:rPr>
          <w:sz w:val="18"/>
          <w:szCs w:val="18"/>
        </w:rPr>
      </w:pPr>
      <w:r>
        <w:rPr>
          <w:sz w:val="18"/>
          <w:szCs w:val="18"/>
        </w:rPr>
        <w:t>Reviewed March 2021</w:t>
      </w:r>
    </w:p>
    <w:p w:rsidR="00530547" w:rsidRDefault="00530547" w:rsidP="00A20C0D">
      <w:pPr>
        <w:pageBreakBefore/>
        <w:spacing w:before="360" w:after="240"/>
        <w:rPr>
          <w:b/>
          <w:sz w:val="32"/>
          <w:szCs w:val="32"/>
        </w:rPr>
      </w:pPr>
      <w:r w:rsidRPr="00E51AAD">
        <w:rPr>
          <w:b/>
          <w:sz w:val="32"/>
          <w:szCs w:val="32"/>
        </w:rPr>
        <w:lastRenderedPageBreak/>
        <w:t>Contents</w:t>
      </w:r>
    </w:p>
    <w:p w:rsidR="00E64CCD" w:rsidRDefault="00616771">
      <w:pPr>
        <w:pStyle w:val="TOC1"/>
        <w:rPr>
          <w:rFonts w:asciiTheme="minorHAnsi" w:eastAsiaTheme="minorEastAsia" w:hAnsiTheme="minorHAnsi" w:cstheme="minorBidi"/>
          <w:b w:val="0"/>
          <w:lang w:eastAsia="en-AU"/>
        </w:rPr>
      </w:pPr>
      <w:r>
        <w:fldChar w:fldCharType="begin"/>
      </w:r>
      <w:r>
        <w:instrText xml:space="preserve"> TOC \o "1-3" \h \z \u </w:instrText>
      </w:r>
      <w:r>
        <w:fldChar w:fldCharType="separate"/>
      </w:r>
      <w:hyperlink w:anchor="_Toc11822299" w:history="1">
        <w:r w:rsidR="00E64CCD" w:rsidRPr="009C39A8">
          <w:rPr>
            <w:rStyle w:val="Hyperlink"/>
          </w:rPr>
          <w:t>Workers compensation insurance</w:t>
        </w:r>
        <w:r w:rsidR="00E64CCD">
          <w:rPr>
            <w:webHidden/>
          </w:rPr>
          <w:tab/>
        </w:r>
        <w:r w:rsidR="00E64CCD">
          <w:rPr>
            <w:webHidden/>
          </w:rPr>
          <w:fldChar w:fldCharType="begin"/>
        </w:r>
        <w:r w:rsidR="00E64CCD">
          <w:rPr>
            <w:webHidden/>
          </w:rPr>
          <w:instrText xml:space="preserve"> PAGEREF _Toc11822299 \h </w:instrText>
        </w:r>
        <w:r w:rsidR="00E64CCD">
          <w:rPr>
            <w:webHidden/>
          </w:rPr>
        </w:r>
        <w:r w:rsidR="00E64CCD">
          <w:rPr>
            <w:webHidden/>
          </w:rPr>
          <w:fldChar w:fldCharType="separate"/>
        </w:r>
        <w:r w:rsidR="00E64CCD">
          <w:rPr>
            <w:webHidden/>
          </w:rPr>
          <w:t>1</w:t>
        </w:r>
        <w:r w:rsidR="00E64CCD">
          <w:rPr>
            <w:webHidden/>
          </w:rPr>
          <w:fldChar w:fldCharType="end"/>
        </w:r>
      </w:hyperlink>
    </w:p>
    <w:p w:rsidR="00E64CCD" w:rsidRDefault="00826AE2">
      <w:pPr>
        <w:pStyle w:val="TOC2"/>
        <w:rPr>
          <w:rFonts w:asciiTheme="minorHAnsi" w:eastAsiaTheme="minorEastAsia" w:hAnsiTheme="minorHAnsi" w:cstheme="minorBidi"/>
          <w:noProof/>
          <w:lang w:eastAsia="en-AU"/>
        </w:rPr>
      </w:pPr>
      <w:hyperlink w:anchor="_Toc11822300" w:history="1">
        <w:r w:rsidR="00E64CCD" w:rsidRPr="009C39A8">
          <w:rPr>
            <w:rStyle w:val="Hyperlink"/>
            <w:noProof/>
          </w:rPr>
          <w:t>Workers compensation insurance – guide for employers</w:t>
        </w:r>
        <w:r w:rsidR="00E64CCD">
          <w:rPr>
            <w:noProof/>
            <w:webHidden/>
          </w:rPr>
          <w:tab/>
        </w:r>
        <w:r w:rsidR="00E64CCD">
          <w:rPr>
            <w:noProof/>
            <w:webHidden/>
          </w:rPr>
          <w:fldChar w:fldCharType="begin"/>
        </w:r>
        <w:r w:rsidR="00E64CCD">
          <w:rPr>
            <w:noProof/>
            <w:webHidden/>
          </w:rPr>
          <w:instrText xml:space="preserve"> PAGEREF _Toc11822300 \h </w:instrText>
        </w:r>
        <w:r w:rsidR="00E64CCD">
          <w:rPr>
            <w:noProof/>
            <w:webHidden/>
          </w:rPr>
        </w:r>
        <w:r w:rsidR="00E64CCD">
          <w:rPr>
            <w:noProof/>
            <w:webHidden/>
          </w:rPr>
          <w:fldChar w:fldCharType="separate"/>
        </w:r>
        <w:r w:rsidR="00E64CCD">
          <w:rPr>
            <w:noProof/>
            <w:webHidden/>
          </w:rPr>
          <w:t>1</w:t>
        </w:r>
        <w:r w:rsidR="00E64CCD">
          <w:rPr>
            <w:noProof/>
            <w:webHidden/>
          </w:rPr>
          <w:fldChar w:fldCharType="end"/>
        </w:r>
      </w:hyperlink>
    </w:p>
    <w:p w:rsidR="00E64CCD" w:rsidRDefault="00826AE2">
      <w:pPr>
        <w:pStyle w:val="TOC1"/>
        <w:rPr>
          <w:rFonts w:asciiTheme="minorHAnsi" w:eastAsiaTheme="minorEastAsia" w:hAnsiTheme="minorHAnsi" w:cstheme="minorBidi"/>
          <w:b w:val="0"/>
          <w:lang w:eastAsia="en-AU"/>
        </w:rPr>
      </w:pPr>
      <w:hyperlink w:anchor="_Toc11822301" w:history="1">
        <w:r w:rsidR="00E64CCD" w:rsidRPr="009C39A8">
          <w:rPr>
            <w:rStyle w:val="Hyperlink"/>
          </w:rPr>
          <w:t>If you don’t have workers’ compensation insurance</w:t>
        </w:r>
        <w:r w:rsidR="00E64CCD">
          <w:rPr>
            <w:webHidden/>
          </w:rPr>
          <w:tab/>
        </w:r>
        <w:r w:rsidR="00E64CCD">
          <w:rPr>
            <w:webHidden/>
          </w:rPr>
          <w:fldChar w:fldCharType="begin"/>
        </w:r>
        <w:r w:rsidR="00E64CCD">
          <w:rPr>
            <w:webHidden/>
          </w:rPr>
          <w:instrText xml:space="preserve"> PAGEREF _Toc11822301 \h </w:instrText>
        </w:r>
        <w:r w:rsidR="00E64CCD">
          <w:rPr>
            <w:webHidden/>
          </w:rPr>
        </w:r>
        <w:r w:rsidR="00E64CCD">
          <w:rPr>
            <w:webHidden/>
          </w:rPr>
          <w:fldChar w:fldCharType="separate"/>
        </w:r>
        <w:r w:rsidR="00E64CCD">
          <w:rPr>
            <w:webHidden/>
          </w:rPr>
          <w:t>1</w:t>
        </w:r>
        <w:r w:rsidR="00E64CCD">
          <w:rPr>
            <w:webHidden/>
          </w:rPr>
          <w:fldChar w:fldCharType="end"/>
        </w:r>
      </w:hyperlink>
    </w:p>
    <w:p w:rsidR="00E64CCD" w:rsidRDefault="00826AE2">
      <w:pPr>
        <w:pStyle w:val="TOC1"/>
        <w:rPr>
          <w:rFonts w:asciiTheme="minorHAnsi" w:eastAsiaTheme="minorEastAsia" w:hAnsiTheme="minorHAnsi" w:cstheme="minorBidi"/>
          <w:b w:val="0"/>
          <w:lang w:eastAsia="en-AU"/>
        </w:rPr>
      </w:pPr>
      <w:hyperlink w:anchor="_Toc11822302" w:history="1">
        <w:r w:rsidR="00E64CCD" w:rsidRPr="009C39A8">
          <w:rPr>
            <w:rStyle w:val="Hyperlink"/>
          </w:rPr>
          <w:t>How do I arrange insurance?</w:t>
        </w:r>
        <w:r w:rsidR="00E64CCD">
          <w:rPr>
            <w:webHidden/>
          </w:rPr>
          <w:tab/>
        </w:r>
        <w:r w:rsidR="00E64CCD">
          <w:rPr>
            <w:webHidden/>
          </w:rPr>
          <w:fldChar w:fldCharType="begin"/>
        </w:r>
        <w:r w:rsidR="00E64CCD">
          <w:rPr>
            <w:webHidden/>
          </w:rPr>
          <w:instrText xml:space="preserve"> PAGEREF _Toc11822302 \h </w:instrText>
        </w:r>
        <w:r w:rsidR="00E64CCD">
          <w:rPr>
            <w:webHidden/>
          </w:rPr>
        </w:r>
        <w:r w:rsidR="00E64CCD">
          <w:rPr>
            <w:webHidden/>
          </w:rPr>
          <w:fldChar w:fldCharType="separate"/>
        </w:r>
        <w:r w:rsidR="00E64CCD">
          <w:rPr>
            <w:webHidden/>
          </w:rPr>
          <w:t>2</w:t>
        </w:r>
        <w:r w:rsidR="00E64CCD">
          <w:rPr>
            <w:webHidden/>
          </w:rPr>
          <w:fldChar w:fldCharType="end"/>
        </w:r>
      </w:hyperlink>
    </w:p>
    <w:p w:rsidR="00E64CCD" w:rsidRDefault="00826AE2">
      <w:pPr>
        <w:pStyle w:val="TOC1"/>
        <w:rPr>
          <w:rFonts w:asciiTheme="minorHAnsi" w:eastAsiaTheme="minorEastAsia" w:hAnsiTheme="minorHAnsi" w:cstheme="minorBidi"/>
          <w:b w:val="0"/>
          <w:lang w:eastAsia="en-AU"/>
        </w:rPr>
      </w:pPr>
      <w:hyperlink w:anchor="_Toc11822303" w:history="1">
        <w:r w:rsidR="00E64CCD" w:rsidRPr="009C39A8">
          <w:rPr>
            <w:rStyle w:val="Hyperlink"/>
          </w:rPr>
          <w:t>When is a worker covered for workers compensation?</w:t>
        </w:r>
        <w:r w:rsidR="00E64CCD">
          <w:rPr>
            <w:webHidden/>
          </w:rPr>
          <w:tab/>
        </w:r>
        <w:r w:rsidR="00E64CCD">
          <w:rPr>
            <w:webHidden/>
          </w:rPr>
          <w:fldChar w:fldCharType="begin"/>
        </w:r>
        <w:r w:rsidR="00E64CCD">
          <w:rPr>
            <w:webHidden/>
          </w:rPr>
          <w:instrText xml:space="preserve"> PAGEREF _Toc11822303 \h </w:instrText>
        </w:r>
        <w:r w:rsidR="00E64CCD">
          <w:rPr>
            <w:webHidden/>
          </w:rPr>
        </w:r>
        <w:r w:rsidR="00E64CCD">
          <w:rPr>
            <w:webHidden/>
          </w:rPr>
          <w:fldChar w:fldCharType="separate"/>
        </w:r>
        <w:r w:rsidR="00E64CCD">
          <w:rPr>
            <w:webHidden/>
          </w:rPr>
          <w:t>2</w:t>
        </w:r>
        <w:r w:rsidR="00E64CCD">
          <w:rPr>
            <w:webHidden/>
          </w:rPr>
          <w:fldChar w:fldCharType="end"/>
        </w:r>
      </w:hyperlink>
    </w:p>
    <w:p w:rsidR="00E64CCD" w:rsidRDefault="00826AE2">
      <w:pPr>
        <w:pStyle w:val="TOC1"/>
        <w:rPr>
          <w:rFonts w:asciiTheme="minorHAnsi" w:eastAsiaTheme="minorEastAsia" w:hAnsiTheme="minorHAnsi" w:cstheme="minorBidi"/>
          <w:b w:val="0"/>
          <w:lang w:eastAsia="en-AU"/>
        </w:rPr>
      </w:pPr>
      <w:hyperlink w:anchor="_Toc11822304" w:history="1">
        <w:r w:rsidR="00E64CCD" w:rsidRPr="009C39A8">
          <w:rPr>
            <w:rStyle w:val="Hyperlink"/>
          </w:rPr>
          <w:t>Claim forms</w:t>
        </w:r>
        <w:r w:rsidR="00E64CCD">
          <w:rPr>
            <w:webHidden/>
          </w:rPr>
          <w:tab/>
        </w:r>
        <w:r w:rsidR="00E64CCD">
          <w:rPr>
            <w:webHidden/>
          </w:rPr>
          <w:fldChar w:fldCharType="begin"/>
        </w:r>
        <w:r w:rsidR="00E64CCD">
          <w:rPr>
            <w:webHidden/>
          </w:rPr>
          <w:instrText xml:space="preserve"> PAGEREF _Toc11822304 \h </w:instrText>
        </w:r>
        <w:r w:rsidR="00E64CCD">
          <w:rPr>
            <w:webHidden/>
          </w:rPr>
        </w:r>
        <w:r w:rsidR="00E64CCD">
          <w:rPr>
            <w:webHidden/>
          </w:rPr>
          <w:fldChar w:fldCharType="separate"/>
        </w:r>
        <w:r w:rsidR="00E64CCD">
          <w:rPr>
            <w:webHidden/>
          </w:rPr>
          <w:t>2</w:t>
        </w:r>
        <w:r w:rsidR="00E64CCD">
          <w:rPr>
            <w:webHidden/>
          </w:rPr>
          <w:fldChar w:fldCharType="end"/>
        </w:r>
      </w:hyperlink>
    </w:p>
    <w:p w:rsidR="00E64CCD" w:rsidRDefault="00826AE2">
      <w:pPr>
        <w:pStyle w:val="TOC1"/>
        <w:rPr>
          <w:rFonts w:asciiTheme="minorHAnsi" w:eastAsiaTheme="minorEastAsia" w:hAnsiTheme="minorHAnsi" w:cstheme="minorBidi"/>
          <w:b w:val="0"/>
          <w:lang w:eastAsia="en-AU"/>
        </w:rPr>
      </w:pPr>
      <w:hyperlink w:anchor="_Toc11822305" w:history="1">
        <w:r w:rsidR="00E64CCD" w:rsidRPr="009C39A8">
          <w:rPr>
            <w:rStyle w:val="Hyperlink"/>
          </w:rPr>
          <w:t>Receiving a claim</w:t>
        </w:r>
        <w:r w:rsidR="00E64CCD">
          <w:rPr>
            <w:webHidden/>
          </w:rPr>
          <w:tab/>
        </w:r>
        <w:r w:rsidR="00E64CCD">
          <w:rPr>
            <w:webHidden/>
          </w:rPr>
          <w:fldChar w:fldCharType="begin"/>
        </w:r>
        <w:r w:rsidR="00E64CCD">
          <w:rPr>
            <w:webHidden/>
          </w:rPr>
          <w:instrText xml:space="preserve"> PAGEREF _Toc11822305 \h </w:instrText>
        </w:r>
        <w:r w:rsidR="00E64CCD">
          <w:rPr>
            <w:webHidden/>
          </w:rPr>
        </w:r>
        <w:r w:rsidR="00E64CCD">
          <w:rPr>
            <w:webHidden/>
          </w:rPr>
          <w:fldChar w:fldCharType="separate"/>
        </w:r>
        <w:r w:rsidR="00E64CCD">
          <w:rPr>
            <w:webHidden/>
          </w:rPr>
          <w:t>3</w:t>
        </w:r>
        <w:r w:rsidR="00E64CCD">
          <w:rPr>
            <w:webHidden/>
          </w:rPr>
          <w:fldChar w:fldCharType="end"/>
        </w:r>
      </w:hyperlink>
    </w:p>
    <w:p w:rsidR="00E64CCD" w:rsidRDefault="00826AE2">
      <w:pPr>
        <w:pStyle w:val="TOC1"/>
        <w:rPr>
          <w:rFonts w:asciiTheme="minorHAnsi" w:eastAsiaTheme="minorEastAsia" w:hAnsiTheme="minorHAnsi" w:cstheme="minorBidi"/>
          <w:b w:val="0"/>
          <w:lang w:eastAsia="en-AU"/>
        </w:rPr>
      </w:pPr>
      <w:hyperlink w:anchor="_Toc11822306" w:history="1">
        <w:r w:rsidR="00E64CCD" w:rsidRPr="009C39A8">
          <w:rPr>
            <w:rStyle w:val="Hyperlink"/>
          </w:rPr>
          <w:t>The insurer’s decision must be to either:</w:t>
        </w:r>
        <w:r w:rsidR="00E64CCD">
          <w:rPr>
            <w:webHidden/>
          </w:rPr>
          <w:tab/>
        </w:r>
        <w:r w:rsidR="00E64CCD">
          <w:rPr>
            <w:webHidden/>
          </w:rPr>
          <w:fldChar w:fldCharType="begin"/>
        </w:r>
        <w:r w:rsidR="00E64CCD">
          <w:rPr>
            <w:webHidden/>
          </w:rPr>
          <w:instrText xml:space="preserve"> PAGEREF _Toc11822306 \h </w:instrText>
        </w:r>
        <w:r w:rsidR="00E64CCD">
          <w:rPr>
            <w:webHidden/>
          </w:rPr>
        </w:r>
        <w:r w:rsidR="00E64CCD">
          <w:rPr>
            <w:webHidden/>
          </w:rPr>
          <w:fldChar w:fldCharType="separate"/>
        </w:r>
        <w:r w:rsidR="00E64CCD">
          <w:rPr>
            <w:webHidden/>
          </w:rPr>
          <w:t>3</w:t>
        </w:r>
        <w:r w:rsidR="00E64CCD">
          <w:rPr>
            <w:webHidden/>
          </w:rPr>
          <w:fldChar w:fldCharType="end"/>
        </w:r>
      </w:hyperlink>
    </w:p>
    <w:p w:rsidR="00E64CCD" w:rsidRDefault="00826AE2">
      <w:pPr>
        <w:pStyle w:val="TOC2"/>
        <w:rPr>
          <w:rFonts w:asciiTheme="minorHAnsi" w:eastAsiaTheme="minorEastAsia" w:hAnsiTheme="minorHAnsi" w:cstheme="minorBidi"/>
          <w:noProof/>
          <w:lang w:eastAsia="en-AU"/>
        </w:rPr>
      </w:pPr>
      <w:hyperlink w:anchor="_Toc11822307" w:history="1">
        <w:r w:rsidR="00E64CCD" w:rsidRPr="009C39A8">
          <w:rPr>
            <w:rStyle w:val="Hyperlink"/>
            <w:noProof/>
          </w:rPr>
          <w:t>Accept liability</w:t>
        </w:r>
        <w:r w:rsidR="00E64CCD">
          <w:rPr>
            <w:noProof/>
            <w:webHidden/>
          </w:rPr>
          <w:tab/>
        </w:r>
        <w:r w:rsidR="00E64CCD">
          <w:rPr>
            <w:noProof/>
            <w:webHidden/>
          </w:rPr>
          <w:fldChar w:fldCharType="begin"/>
        </w:r>
        <w:r w:rsidR="00E64CCD">
          <w:rPr>
            <w:noProof/>
            <w:webHidden/>
          </w:rPr>
          <w:instrText xml:space="preserve"> PAGEREF _Toc11822307 \h </w:instrText>
        </w:r>
        <w:r w:rsidR="00E64CCD">
          <w:rPr>
            <w:noProof/>
            <w:webHidden/>
          </w:rPr>
        </w:r>
        <w:r w:rsidR="00E64CCD">
          <w:rPr>
            <w:noProof/>
            <w:webHidden/>
          </w:rPr>
          <w:fldChar w:fldCharType="separate"/>
        </w:r>
        <w:r w:rsidR="00E64CCD">
          <w:rPr>
            <w:noProof/>
            <w:webHidden/>
          </w:rPr>
          <w:t>3</w:t>
        </w:r>
        <w:r w:rsidR="00E64CCD">
          <w:rPr>
            <w:noProof/>
            <w:webHidden/>
          </w:rPr>
          <w:fldChar w:fldCharType="end"/>
        </w:r>
      </w:hyperlink>
    </w:p>
    <w:p w:rsidR="00E64CCD" w:rsidRDefault="00826AE2">
      <w:pPr>
        <w:pStyle w:val="TOC2"/>
        <w:rPr>
          <w:rFonts w:asciiTheme="minorHAnsi" w:eastAsiaTheme="minorEastAsia" w:hAnsiTheme="minorHAnsi" w:cstheme="minorBidi"/>
          <w:noProof/>
          <w:lang w:eastAsia="en-AU"/>
        </w:rPr>
      </w:pPr>
      <w:hyperlink w:anchor="_Toc11822308" w:history="1">
        <w:r w:rsidR="00E64CCD" w:rsidRPr="009C39A8">
          <w:rPr>
            <w:rStyle w:val="Hyperlink"/>
            <w:noProof/>
          </w:rPr>
          <w:t>Dispute liability</w:t>
        </w:r>
        <w:r w:rsidR="00E64CCD">
          <w:rPr>
            <w:noProof/>
            <w:webHidden/>
          </w:rPr>
          <w:tab/>
        </w:r>
        <w:r w:rsidR="00E64CCD">
          <w:rPr>
            <w:noProof/>
            <w:webHidden/>
          </w:rPr>
          <w:fldChar w:fldCharType="begin"/>
        </w:r>
        <w:r w:rsidR="00E64CCD">
          <w:rPr>
            <w:noProof/>
            <w:webHidden/>
          </w:rPr>
          <w:instrText xml:space="preserve"> PAGEREF _Toc11822308 \h </w:instrText>
        </w:r>
        <w:r w:rsidR="00E64CCD">
          <w:rPr>
            <w:noProof/>
            <w:webHidden/>
          </w:rPr>
        </w:r>
        <w:r w:rsidR="00E64CCD">
          <w:rPr>
            <w:noProof/>
            <w:webHidden/>
          </w:rPr>
          <w:fldChar w:fldCharType="separate"/>
        </w:r>
        <w:r w:rsidR="00E64CCD">
          <w:rPr>
            <w:noProof/>
            <w:webHidden/>
          </w:rPr>
          <w:t>3</w:t>
        </w:r>
        <w:r w:rsidR="00E64CCD">
          <w:rPr>
            <w:noProof/>
            <w:webHidden/>
          </w:rPr>
          <w:fldChar w:fldCharType="end"/>
        </w:r>
      </w:hyperlink>
    </w:p>
    <w:p w:rsidR="00E64CCD" w:rsidRDefault="00826AE2">
      <w:pPr>
        <w:pStyle w:val="TOC2"/>
        <w:rPr>
          <w:rFonts w:asciiTheme="minorHAnsi" w:eastAsiaTheme="minorEastAsia" w:hAnsiTheme="minorHAnsi" w:cstheme="minorBidi"/>
          <w:noProof/>
          <w:lang w:eastAsia="en-AU"/>
        </w:rPr>
      </w:pPr>
      <w:hyperlink w:anchor="_Toc11822309" w:history="1">
        <w:r w:rsidR="00E64CCD" w:rsidRPr="009C39A8">
          <w:rPr>
            <w:rStyle w:val="Hyperlink"/>
            <w:noProof/>
          </w:rPr>
          <w:t>Defer liability</w:t>
        </w:r>
        <w:r w:rsidR="00E64CCD">
          <w:rPr>
            <w:noProof/>
            <w:webHidden/>
          </w:rPr>
          <w:tab/>
        </w:r>
        <w:r w:rsidR="00E64CCD">
          <w:rPr>
            <w:noProof/>
            <w:webHidden/>
          </w:rPr>
          <w:fldChar w:fldCharType="begin"/>
        </w:r>
        <w:r w:rsidR="00E64CCD">
          <w:rPr>
            <w:noProof/>
            <w:webHidden/>
          </w:rPr>
          <w:instrText xml:space="preserve"> PAGEREF _Toc11822309 \h </w:instrText>
        </w:r>
        <w:r w:rsidR="00E64CCD">
          <w:rPr>
            <w:noProof/>
            <w:webHidden/>
          </w:rPr>
        </w:r>
        <w:r w:rsidR="00E64CCD">
          <w:rPr>
            <w:noProof/>
            <w:webHidden/>
          </w:rPr>
          <w:fldChar w:fldCharType="separate"/>
        </w:r>
        <w:r w:rsidR="00E64CCD">
          <w:rPr>
            <w:noProof/>
            <w:webHidden/>
          </w:rPr>
          <w:t>3</w:t>
        </w:r>
        <w:r w:rsidR="00E64CCD">
          <w:rPr>
            <w:noProof/>
            <w:webHidden/>
          </w:rPr>
          <w:fldChar w:fldCharType="end"/>
        </w:r>
      </w:hyperlink>
    </w:p>
    <w:p w:rsidR="00E64CCD" w:rsidRDefault="00826AE2">
      <w:pPr>
        <w:pStyle w:val="TOC1"/>
        <w:rPr>
          <w:rFonts w:asciiTheme="minorHAnsi" w:eastAsiaTheme="minorEastAsia" w:hAnsiTheme="minorHAnsi" w:cstheme="minorBidi"/>
          <w:b w:val="0"/>
          <w:lang w:eastAsia="en-AU"/>
        </w:rPr>
      </w:pPr>
      <w:hyperlink w:anchor="_Toc11822310" w:history="1">
        <w:r w:rsidR="00E64CCD" w:rsidRPr="009C39A8">
          <w:rPr>
            <w:rStyle w:val="Hyperlink"/>
          </w:rPr>
          <w:t>Payment of compensation</w:t>
        </w:r>
        <w:r w:rsidR="00E64CCD">
          <w:rPr>
            <w:webHidden/>
          </w:rPr>
          <w:tab/>
        </w:r>
        <w:r w:rsidR="00E64CCD">
          <w:rPr>
            <w:webHidden/>
          </w:rPr>
          <w:fldChar w:fldCharType="begin"/>
        </w:r>
        <w:r w:rsidR="00E64CCD">
          <w:rPr>
            <w:webHidden/>
          </w:rPr>
          <w:instrText xml:space="preserve"> PAGEREF _Toc11822310 \h </w:instrText>
        </w:r>
        <w:r w:rsidR="00E64CCD">
          <w:rPr>
            <w:webHidden/>
          </w:rPr>
        </w:r>
        <w:r w:rsidR="00E64CCD">
          <w:rPr>
            <w:webHidden/>
          </w:rPr>
          <w:fldChar w:fldCharType="separate"/>
        </w:r>
        <w:r w:rsidR="00E64CCD">
          <w:rPr>
            <w:webHidden/>
          </w:rPr>
          <w:t>3</w:t>
        </w:r>
        <w:r w:rsidR="00E64CCD">
          <w:rPr>
            <w:webHidden/>
          </w:rPr>
          <w:fldChar w:fldCharType="end"/>
        </w:r>
      </w:hyperlink>
    </w:p>
    <w:p w:rsidR="00E64CCD" w:rsidRDefault="00826AE2">
      <w:pPr>
        <w:pStyle w:val="TOC2"/>
        <w:rPr>
          <w:rFonts w:asciiTheme="minorHAnsi" w:eastAsiaTheme="minorEastAsia" w:hAnsiTheme="minorHAnsi" w:cstheme="minorBidi"/>
          <w:noProof/>
          <w:lang w:eastAsia="en-AU"/>
        </w:rPr>
      </w:pPr>
      <w:hyperlink w:anchor="_Toc11822311" w:history="1">
        <w:r w:rsidR="00E64CCD" w:rsidRPr="009C39A8">
          <w:rPr>
            <w:rStyle w:val="Hyperlink"/>
            <w:noProof/>
          </w:rPr>
          <w:t>Accept Liability</w:t>
        </w:r>
        <w:r w:rsidR="00E64CCD">
          <w:rPr>
            <w:noProof/>
            <w:webHidden/>
          </w:rPr>
          <w:tab/>
        </w:r>
        <w:r w:rsidR="00E64CCD">
          <w:rPr>
            <w:noProof/>
            <w:webHidden/>
          </w:rPr>
          <w:fldChar w:fldCharType="begin"/>
        </w:r>
        <w:r w:rsidR="00E64CCD">
          <w:rPr>
            <w:noProof/>
            <w:webHidden/>
          </w:rPr>
          <w:instrText xml:space="preserve"> PAGEREF _Toc11822311 \h </w:instrText>
        </w:r>
        <w:r w:rsidR="00E64CCD">
          <w:rPr>
            <w:noProof/>
            <w:webHidden/>
          </w:rPr>
        </w:r>
        <w:r w:rsidR="00E64CCD">
          <w:rPr>
            <w:noProof/>
            <w:webHidden/>
          </w:rPr>
          <w:fldChar w:fldCharType="separate"/>
        </w:r>
        <w:r w:rsidR="00E64CCD">
          <w:rPr>
            <w:noProof/>
            <w:webHidden/>
          </w:rPr>
          <w:t>3</w:t>
        </w:r>
        <w:r w:rsidR="00E64CCD">
          <w:rPr>
            <w:noProof/>
            <w:webHidden/>
          </w:rPr>
          <w:fldChar w:fldCharType="end"/>
        </w:r>
      </w:hyperlink>
    </w:p>
    <w:p w:rsidR="00E64CCD" w:rsidRDefault="00826AE2">
      <w:pPr>
        <w:pStyle w:val="TOC2"/>
        <w:rPr>
          <w:rFonts w:asciiTheme="minorHAnsi" w:eastAsiaTheme="minorEastAsia" w:hAnsiTheme="minorHAnsi" w:cstheme="minorBidi"/>
          <w:noProof/>
          <w:lang w:eastAsia="en-AU"/>
        </w:rPr>
      </w:pPr>
      <w:hyperlink w:anchor="_Toc11822312" w:history="1">
        <w:r w:rsidR="00E64CCD" w:rsidRPr="009C39A8">
          <w:rPr>
            <w:rStyle w:val="Hyperlink"/>
            <w:noProof/>
          </w:rPr>
          <w:t>Defer liability</w:t>
        </w:r>
        <w:r w:rsidR="00E64CCD">
          <w:rPr>
            <w:noProof/>
            <w:webHidden/>
          </w:rPr>
          <w:tab/>
        </w:r>
        <w:r w:rsidR="00E64CCD">
          <w:rPr>
            <w:noProof/>
            <w:webHidden/>
          </w:rPr>
          <w:fldChar w:fldCharType="begin"/>
        </w:r>
        <w:r w:rsidR="00E64CCD">
          <w:rPr>
            <w:noProof/>
            <w:webHidden/>
          </w:rPr>
          <w:instrText xml:space="preserve"> PAGEREF _Toc11822312 \h </w:instrText>
        </w:r>
        <w:r w:rsidR="00E64CCD">
          <w:rPr>
            <w:noProof/>
            <w:webHidden/>
          </w:rPr>
        </w:r>
        <w:r w:rsidR="00E64CCD">
          <w:rPr>
            <w:noProof/>
            <w:webHidden/>
          </w:rPr>
          <w:fldChar w:fldCharType="separate"/>
        </w:r>
        <w:r w:rsidR="00E64CCD">
          <w:rPr>
            <w:noProof/>
            <w:webHidden/>
          </w:rPr>
          <w:t>3</w:t>
        </w:r>
        <w:r w:rsidR="00E64CCD">
          <w:rPr>
            <w:noProof/>
            <w:webHidden/>
          </w:rPr>
          <w:fldChar w:fldCharType="end"/>
        </w:r>
      </w:hyperlink>
    </w:p>
    <w:p w:rsidR="00E64CCD" w:rsidRDefault="00826AE2">
      <w:pPr>
        <w:pStyle w:val="TOC2"/>
        <w:rPr>
          <w:rFonts w:asciiTheme="minorHAnsi" w:eastAsiaTheme="minorEastAsia" w:hAnsiTheme="minorHAnsi" w:cstheme="minorBidi"/>
          <w:noProof/>
          <w:lang w:eastAsia="en-AU"/>
        </w:rPr>
      </w:pPr>
      <w:hyperlink w:anchor="_Toc11822313" w:history="1">
        <w:r w:rsidR="00E64CCD" w:rsidRPr="009C39A8">
          <w:rPr>
            <w:rStyle w:val="Hyperlink"/>
            <w:noProof/>
          </w:rPr>
          <w:t>Dispute liability</w:t>
        </w:r>
        <w:r w:rsidR="00E64CCD">
          <w:rPr>
            <w:noProof/>
            <w:webHidden/>
          </w:rPr>
          <w:tab/>
        </w:r>
        <w:r w:rsidR="00E64CCD">
          <w:rPr>
            <w:noProof/>
            <w:webHidden/>
          </w:rPr>
          <w:fldChar w:fldCharType="begin"/>
        </w:r>
        <w:r w:rsidR="00E64CCD">
          <w:rPr>
            <w:noProof/>
            <w:webHidden/>
          </w:rPr>
          <w:instrText xml:space="preserve"> PAGEREF _Toc11822313 \h </w:instrText>
        </w:r>
        <w:r w:rsidR="00E64CCD">
          <w:rPr>
            <w:noProof/>
            <w:webHidden/>
          </w:rPr>
        </w:r>
        <w:r w:rsidR="00E64CCD">
          <w:rPr>
            <w:noProof/>
            <w:webHidden/>
          </w:rPr>
          <w:fldChar w:fldCharType="separate"/>
        </w:r>
        <w:r w:rsidR="00E64CCD">
          <w:rPr>
            <w:noProof/>
            <w:webHidden/>
          </w:rPr>
          <w:t>4</w:t>
        </w:r>
        <w:r w:rsidR="00E64CCD">
          <w:rPr>
            <w:noProof/>
            <w:webHidden/>
          </w:rPr>
          <w:fldChar w:fldCharType="end"/>
        </w:r>
      </w:hyperlink>
    </w:p>
    <w:p w:rsidR="00E64CCD" w:rsidRDefault="00826AE2">
      <w:pPr>
        <w:pStyle w:val="TOC2"/>
        <w:rPr>
          <w:rFonts w:asciiTheme="minorHAnsi" w:eastAsiaTheme="minorEastAsia" w:hAnsiTheme="minorHAnsi" w:cstheme="minorBidi"/>
          <w:noProof/>
          <w:lang w:eastAsia="en-AU"/>
        </w:rPr>
      </w:pPr>
      <w:hyperlink w:anchor="_Toc11822314" w:history="1">
        <w:r w:rsidR="00E64CCD" w:rsidRPr="009C39A8">
          <w:rPr>
            <w:rStyle w:val="Hyperlink"/>
            <w:noProof/>
            <w:lang w:val="en-US"/>
          </w:rPr>
          <w:t>Deeming of liability</w:t>
        </w:r>
        <w:r w:rsidR="00E64CCD">
          <w:rPr>
            <w:noProof/>
            <w:webHidden/>
          </w:rPr>
          <w:tab/>
        </w:r>
        <w:r w:rsidR="00E64CCD">
          <w:rPr>
            <w:noProof/>
            <w:webHidden/>
          </w:rPr>
          <w:fldChar w:fldCharType="begin"/>
        </w:r>
        <w:r w:rsidR="00E64CCD">
          <w:rPr>
            <w:noProof/>
            <w:webHidden/>
          </w:rPr>
          <w:instrText xml:space="preserve"> PAGEREF _Toc11822314 \h </w:instrText>
        </w:r>
        <w:r w:rsidR="00E64CCD">
          <w:rPr>
            <w:noProof/>
            <w:webHidden/>
          </w:rPr>
        </w:r>
        <w:r w:rsidR="00E64CCD">
          <w:rPr>
            <w:noProof/>
            <w:webHidden/>
          </w:rPr>
          <w:fldChar w:fldCharType="separate"/>
        </w:r>
        <w:r w:rsidR="00E64CCD">
          <w:rPr>
            <w:noProof/>
            <w:webHidden/>
          </w:rPr>
          <w:t>4</w:t>
        </w:r>
        <w:r w:rsidR="00E64CCD">
          <w:rPr>
            <w:noProof/>
            <w:webHidden/>
          </w:rPr>
          <w:fldChar w:fldCharType="end"/>
        </w:r>
      </w:hyperlink>
    </w:p>
    <w:p w:rsidR="00E64CCD" w:rsidRDefault="00826AE2">
      <w:pPr>
        <w:pStyle w:val="TOC1"/>
        <w:rPr>
          <w:rFonts w:asciiTheme="minorHAnsi" w:eastAsiaTheme="minorEastAsia" w:hAnsiTheme="minorHAnsi" w:cstheme="minorBidi"/>
          <w:b w:val="0"/>
          <w:lang w:eastAsia="en-AU"/>
        </w:rPr>
      </w:pPr>
      <w:hyperlink w:anchor="_Toc11822315" w:history="1">
        <w:r w:rsidR="00E64CCD" w:rsidRPr="009C39A8">
          <w:rPr>
            <w:rStyle w:val="Hyperlink"/>
          </w:rPr>
          <w:t>Interest for late compensation payments</w:t>
        </w:r>
        <w:r w:rsidR="00E64CCD">
          <w:rPr>
            <w:webHidden/>
          </w:rPr>
          <w:tab/>
        </w:r>
        <w:r w:rsidR="00E64CCD">
          <w:rPr>
            <w:webHidden/>
          </w:rPr>
          <w:fldChar w:fldCharType="begin"/>
        </w:r>
        <w:r w:rsidR="00E64CCD">
          <w:rPr>
            <w:webHidden/>
          </w:rPr>
          <w:instrText xml:space="preserve"> PAGEREF _Toc11822315 \h </w:instrText>
        </w:r>
        <w:r w:rsidR="00E64CCD">
          <w:rPr>
            <w:webHidden/>
          </w:rPr>
        </w:r>
        <w:r w:rsidR="00E64CCD">
          <w:rPr>
            <w:webHidden/>
          </w:rPr>
          <w:fldChar w:fldCharType="separate"/>
        </w:r>
        <w:r w:rsidR="00E64CCD">
          <w:rPr>
            <w:webHidden/>
          </w:rPr>
          <w:t>4</w:t>
        </w:r>
        <w:r w:rsidR="00E64CCD">
          <w:rPr>
            <w:webHidden/>
          </w:rPr>
          <w:fldChar w:fldCharType="end"/>
        </w:r>
      </w:hyperlink>
    </w:p>
    <w:p w:rsidR="00E64CCD" w:rsidRDefault="00826AE2">
      <w:pPr>
        <w:pStyle w:val="TOC1"/>
        <w:rPr>
          <w:rFonts w:asciiTheme="minorHAnsi" w:eastAsiaTheme="minorEastAsia" w:hAnsiTheme="minorHAnsi" w:cstheme="minorBidi"/>
          <w:b w:val="0"/>
          <w:lang w:eastAsia="en-AU"/>
        </w:rPr>
      </w:pPr>
      <w:hyperlink w:anchor="_Toc11822316" w:history="1">
        <w:r w:rsidR="00E64CCD" w:rsidRPr="009C39A8">
          <w:rPr>
            <w:rStyle w:val="Hyperlink"/>
          </w:rPr>
          <w:t>Employer contributions to superannuation</w:t>
        </w:r>
        <w:r w:rsidR="00E64CCD">
          <w:rPr>
            <w:webHidden/>
          </w:rPr>
          <w:tab/>
        </w:r>
        <w:r w:rsidR="00E64CCD">
          <w:rPr>
            <w:webHidden/>
          </w:rPr>
          <w:fldChar w:fldCharType="begin"/>
        </w:r>
        <w:r w:rsidR="00E64CCD">
          <w:rPr>
            <w:webHidden/>
          </w:rPr>
          <w:instrText xml:space="preserve"> PAGEREF _Toc11822316 \h </w:instrText>
        </w:r>
        <w:r w:rsidR="00E64CCD">
          <w:rPr>
            <w:webHidden/>
          </w:rPr>
        </w:r>
        <w:r w:rsidR="00E64CCD">
          <w:rPr>
            <w:webHidden/>
          </w:rPr>
          <w:fldChar w:fldCharType="separate"/>
        </w:r>
        <w:r w:rsidR="00E64CCD">
          <w:rPr>
            <w:webHidden/>
          </w:rPr>
          <w:t>5</w:t>
        </w:r>
        <w:r w:rsidR="00E64CCD">
          <w:rPr>
            <w:webHidden/>
          </w:rPr>
          <w:fldChar w:fldCharType="end"/>
        </w:r>
      </w:hyperlink>
    </w:p>
    <w:p w:rsidR="00E64CCD" w:rsidRDefault="00826AE2">
      <w:pPr>
        <w:pStyle w:val="TOC1"/>
        <w:rPr>
          <w:rFonts w:asciiTheme="minorHAnsi" w:eastAsiaTheme="minorEastAsia" w:hAnsiTheme="minorHAnsi" w:cstheme="minorBidi"/>
          <w:b w:val="0"/>
          <w:lang w:eastAsia="en-AU"/>
        </w:rPr>
      </w:pPr>
      <w:hyperlink w:anchor="_Toc11822317" w:history="1">
        <w:r w:rsidR="00E64CCD" w:rsidRPr="009C39A8">
          <w:rPr>
            <w:rStyle w:val="Hyperlink"/>
          </w:rPr>
          <w:t>Return to Work</w:t>
        </w:r>
        <w:r w:rsidR="00E64CCD">
          <w:rPr>
            <w:webHidden/>
          </w:rPr>
          <w:tab/>
        </w:r>
        <w:r w:rsidR="00E64CCD">
          <w:rPr>
            <w:webHidden/>
          </w:rPr>
          <w:fldChar w:fldCharType="begin"/>
        </w:r>
        <w:r w:rsidR="00E64CCD">
          <w:rPr>
            <w:webHidden/>
          </w:rPr>
          <w:instrText xml:space="preserve"> PAGEREF _Toc11822317 \h </w:instrText>
        </w:r>
        <w:r w:rsidR="00E64CCD">
          <w:rPr>
            <w:webHidden/>
          </w:rPr>
        </w:r>
        <w:r w:rsidR="00E64CCD">
          <w:rPr>
            <w:webHidden/>
          </w:rPr>
          <w:fldChar w:fldCharType="separate"/>
        </w:r>
        <w:r w:rsidR="00E64CCD">
          <w:rPr>
            <w:webHidden/>
          </w:rPr>
          <w:t>5</w:t>
        </w:r>
        <w:r w:rsidR="00E64CCD">
          <w:rPr>
            <w:webHidden/>
          </w:rPr>
          <w:fldChar w:fldCharType="end"/>
        </w:r>
      </w:hyperlink>
    </w:p>
    <w:p w:rsidR="00E64CCD" w:rsidRDefault="00826AE2">
      <w:pPr>
        <w:pStyle w:val="TOC2"/>
        <w:rPr>
          <w:rFonts w:asciiTheme="minorHAnsi" w:eastAsiaTheme="minorEastAsia" w:hAnsiTheme="minorHAnsi" w:cstheme="minorBidi"/>
          <w:noProof/>
          <w:lang w:eastAsia="en-AU"/>
        </w:rPr>
      </w:pPr>
      <w:hyperlink w:anchor="_Toc11822318" w:history="1">
        <w:r w:rsidR="00E64CCD" w:rsidRPr="009C39A8">
          <w:rPr>
            <w:rStyle w:val="Hyperlink"/>
            <w:noProof/>
          </w:rPr>
          <w:t>Returning to work – guide for employers video</w:t>
        </w:r>
        <w:r w:rsidR="00E64CCD">
          <w:rPr>
            <w:noProof/>
            <w:webHidden/>
          </w:rPr>
          <w:tab/>
        </w:r>
        <w:r w:rsidR="00E64CCD">
          <w:rPr>
            <w:noProof/>
            <w:webHidden/>
          </w:rPr>
          <w:fldChar w:fldCharType="begin"/>
        </w:r>
        <w:r w:rsidR="00E64CCD">
          <w:rPr>
            <w:noProof/>
            <w:webHidden/>
          </w:rPr>
          <w:instrText xml:space="preserve"> PAGEREF _Toc11822318 \h </w:instrText>
        </w:r>
        <w:r w:rsidR="00E64CCD">
          <w:rPr>
            <w:noProof/>
            <w:webHidden/>
          </w:rPr>
        </w:r>
        <w:r w:rsidR="00E64CCD">
          <w:rPr>
            <w:noProof/>
            <w:webHidden/>
          </w:rPr>
          <w:fldChar w:fldCharType="separate"/>
        </w:r>
        <w:r w:rsidR="00E64CCD">
          <w:rPr>
            <w:noProof/>
            <w:webHidden/>
          </w:rPr>
          <w:t>5</w:t>
        </w:r>
        <w:r w:rsidR="00E64CCD">
          <w:rPr>
            <w:noProof/>
            <w:webHidden/>
          </w:rPr>
          <w:fldChar w:fldCharType="end"/>
        </w:r>
      </w:hyperlink>
    </w:p>
    <w:p w:rsidR="00E64CCD" w:rsidRDefault="00826AE2">
      <w:pPr>
        <w:pStyle w:val="TOC1"/>
        <w:rPr>
          <w:rFonts w:asciiTheme="minorHAnsi" w:eastAsiaTheme="minorEastAsia" w:hAnsiTheme="minorHAnsi" w:cstheme="minorBidi"/>
          <w:b w:val="0"/>
          <w:lang w:eastAsia="en-AU"/>
        </w:rPr>
      </w:pPr>
      <w:hyperlink w:anchor="_Toc11822319" w:history="1">
        <w:r w:rsidR="00E64CCD" w:rsidRPr="009C39A8">
          <w:rPr>
            <w:rStyle w:val="Hyperlink"/>
          </w:rPr>
          <w:t>What can be expected from the employer’s insurer</w:t>
        </w:r>
        <w:r w:rsidR="00E64CCD">
          <w:rPr>
            <w:webHidden/>
          </w:rPr>
          <w:tab/>
        </w:r>
        <w:r w:rsidR="00E64CCD">
          <w:rPr>
            <w:webHidden/>
          </w:rPr>
          <w:fldChar w:fldCharType="begin"/>
        </w:r>
        <w:r w:rsidR="00E64CCD">
          <w:rPr>
            <w:webHidden/>
          </w:rPr>
          <w:instrText xml:space="preserve"> PAGEREF _Toc11822319 \h </w:instrText>
        </w:r>
        <w:r w:rsidR="00E64CCD">
          <w:rPr>
            <w:webHidden/>
          </w:rPr>
        </w:r>
        <w:r w:rsidR="00E64CCD">
          <w:rPr>
            <w:webHidden/>
          </w:rPr>
          <w:fldChar w:fldCharType="separate"/>
        </w:r>
        <w:r w:rsidR="00E64CCD">
          <w:rPr>
            <w:webHidden/>
          </w:rPr>
          <w:t>5</w:t>
        </w:r>
        <w:r w:rsidR="00E64CCD">
          <w:rPr>
            <w:webHidden/>
          </w:rPr>
          <w:fldChar w:fldCharType="end"/>
        </w:r>
      </w:hyperlink>
    </w:p>
    <w:p w:rsidR="00E64CCD" w:rsidRDefault="00826AE2">
      <w:pPr>
        <w:pStyle w:val="TOC2"/>
        <w:rPr>
          <w:rFonts w:asciiTheme="minorHAnsi" w:eastAsiaTheme="minorEastAsia" w:hAnsiTheme="minorHAnsi" w:cstheme="minorBidi"/>
          <w:noProof/>
          <w:lang w:eastAsia="en-AU"/>
        </w:rPr>
      </w:pPr>
      <w:hyperlink w:anchor="_Toc11822320" w:history="1">
        <w:r w:rsidR="00E64CCD" w:rsidRPr="009C39A8">
          <w:rPr>
            <w:rStyle w:val="Hyperlink"/>
            <w:noProof/>
          </w:rPr>
          <w:t>For Accepted Claims</w:t>
        </w:r>
        <w:r w:rsidR="00E64CCD">
          <w:rPr>
            <w:noProof/>
            <w:webHidden/>
          </w:rPr>
          <w:tab/>
        </w:r>
        <w:r w:rsidR="00E64CCD">
          <w:rPr>
            <w:noProof/>
            <w:webHidden/>
          </w:rPr>
          <w:fldChar w:fldCharType="begin"/>
        </w:r>
        <w:r w:rsidR="00E64CCD">
          <w:rPr>
            <w:noProof/>
            <w:webHidden/>
          </w:rPr>
          <w:instrText xml:space="preserve"> PAGEREF _Toc11822320 \h </w:instrText>
        </w:r>
        <w:r w:rsidR="00E64CCD">
          <w:rPr>
            <w:noProof/>
            <w:webHidden/>
          </w:rPr>
        </w:r>
        <w:r w:rsidR="00E64CCD">
          <w:rPr>
            <w:noProof/>
            <w:webHidden/>
          </w:rPr>
          <w:fldChar w:fldCharType="separate"/>
        </w:r>
        <w:r w:rsidR="00E64CCD">
          <w:rPr>
            <w:noProof/>
            <w:webHidden/>
          </w:rPr>
          <w:t>5</w:t>
        </w:r>
        <w:r w:rsidR="00E64CCD">
          <w:rPr>
            <w:noProof/>
            <w:webHidden/>
          </w:rPr>
          <w:fldChar w:fldCharType="end"/>
        </w:r>
      </w:hyperlink>
    </w:p>
    <w:p w:rsidR="00E64CCD" w:rsidRDefault="00826AE2">
      <w:pPr>
        <w:pStyle w:val="TOC2"/>
        <w:rPr>
          <w:rFonts w:asciiTheme="minorHAnsi" w:eastAsiaTheme="minorEastAsia" w:hAnsiTheme="minorHAnsi" w:cstheme="minorBidi"/>
          <w:noProof/>
          <w:lang w:eastAsia="en-AU"/>
        </w:rPr>
      </w:pPr>
      <w:hyperlink w:anchor="_Toc11822321" w:history="1">
        <w:r w:rsidR="00E64CCD" w:rsidRPr="009C39A8">
          <w:rPr>
            <w:rStyle w:val="Hyperlink"/>
            <w:noProof/>
          </w:rPr>
          <w:t>For Deferred Claims</w:t>
        </w:r>
        <w:r w:rsidR="00E64CCD">
          <w:rPr>
            <w:noProof/>
            <w:webHidden/>
          </w:rPr>
          <w:tab/>
        </w:r>
        <w:r w:rsidR="00E64CCD">
          <w:rPr>
            <w:noProof/>
            <w:webHidden/>
          </w:rPr>
          <w:fldChar w:fldCharType="begin"/>
        </w:r>
        <w:r w:rsidR="00E64CCD">
          <w:rPr>
            <w:noProof/>
            <w:webHidden/>
          </w:rPr>
          <w:instrText xml:space="preserve"> PAGEREF _Toc11822321 \h </w:instrText>
        </w:r>
        <w:r w:rsidR="00E64CCD">
          <w:rPr>
            <w:noProof/>
            <w:webHidden/>
          </w:rPr>
        </w:r>
        <w:r w:rsidR="00E64CCD">
          <w:rPr>
            <w:noProof/>
            <w:webHidden/>
          </w:rPr>
          <w:fldChar w:fldCharType="separate"/>
        </w:r>
        <w:r w:rsidR="00E64CCD">
          <w:rPr>
            <w:noProof/>
            <w:webHidden/>
          </w:rPr>
          <w:t>6</w:t>
        </w:r>
        <w:r w:rsidR="00E64CCD">
          <w:rPr>
            <w:noProof/>
            <w:webHidden/>
          </w:rPr>
          <w:fldChar w:fldCharType="end"/>
        </w:r>
      </w:hyperlink>
    </w:p>
    <w:p w:rsidR="00E64CCD" w:rsidRDefault="00826AE2">
      <w:pPr>
        <w:pStyle w:val="TOC2"/>
        <w:rPr>
          <w:rFonts w:asciiTheme="minorHAnsi" w:eastAsiaTheme="minorEastAsia" w:hAnsiTheme="minorHAnsi" w:cstheme="minorBidi"/>
          <w:noProof/>
          <w:lang w:eastAsia="en-AU"/>
        </w:rPr>
      </w:pPr>
      <w:hyperlink w:anchor="_Toc11822322" w:history="1">
        <w:r w:rsidR="00E64CCD" w:rsidRPr="009C39A8">
          <w:rPr>
            <w:rStyle w:val="Hyperlink"/>
            <w:noProof/>
          </w:rPr>
          <w:t>For Disputed Claims</w:t>
        </w:r>
        <w:r w:rsidR="00E64CCD">
          <w:rPr>
            <w:noProof/>
            <w:webHidden/>
          </w:rPr>
          <w:tab/>
        </w:r>
        <w:r w:rsidR="00E64CCD">
          <w:rPr>
            <w:noProof/>
            <w:webHidden/>
          </w:rPr>
          <w:fldChar w:fldCharType="begin"/>
        </w:r>
        <w:r w:rsidR="00E64CCD">
          <w:rPr>
            <w:noProof/>
            <w:webHidden/>
          </w:rPr>
          <w:instrText xml:space="preserve"> PAGEREF _Toc11822322 \h </w:instrText>
        </w:r>
        <w:r w:rsidR="00E64CCD">
          <w:rPr>
            <w:noProof/>
            <w:webHidden/>
          </w:rPr>
        </w:r>
        <w:r w:rsidR="00E64CCD">
          <w:rPr>
            <w:noProof/>
            <w:webHidden/>
          </w:rPr>
          <w:fldChar w:fldCharType="separate"/>
        </w:r>
        <w:r w:rsidR="00E64CCD">
          <w:rPr>
            <w:noProof/>
            <w:webHidden/>
          </w:rPr>
          <w:t>6</w:t>
        </w:r>
        <w:r w:rsidR="00E64CCD">
          <w:rPr>
            <w:noProof/>
            <w:webHidden/>
          </w:rPr>
          <w:fldChar w:fldCharType="end"/>
        </w:r>
      </w:hyperlink>
    </w:p>
    <w:p w:rsidR="00E64CCD" w:rsidRDefault="00826AE2">
      <w:pPr>
        <w:pStyle w:val="TOC1"/>
        <w:rPr>
          <w:rFonts w:asciiTheme="minorHAnsi" w:eastAsiaTheme="minorEastAsia" w:hAnsiTheme="minorHAnsi" w:cstheme="minorBidi"/>
          <w:b w:val="0"/>
          <w:lang w:eastAsia="en-AU"/>
        </w:rPr>
      </w:pPr>
      <w:hyperlink w:anchor="_Toc11822323" w:history="1">
        <w:r w:rsidR="00E64CCD" w:rsidRPr="009C39A8">
          <w:rPr>
            <w:rStyle w:val="Hyperlink"/>
          </w:rPr>
          <w:t>Internal Dispute Resolution</w:t>
        </w:r>
        <w:r w:rsidR="00E64CCD">
          <w:rPr>
            <w:webHidden/>
          </w:rPr>
          <w:tab/>
        </w:r>
        <w:r w:rsidR="00E64CCD">
          <w:rPr>
            <w:webHidden/>
          </w:rPr>
          <w:fldChar w:fldCharType="begin"/>
        </w:r>
        <w:r w:rsidR="00E64CCD">
          <w:rPr>
            <w:webHidden/>
          </w:rPr>
          <w:instrText xml:space="preserve"> PAGEREF _Toc11822323 \h </w:instrText>
        </w:r>
        <w:r w:rsidR="00E64CCD">
          <w:rPr>
            <w:webHidden/>
          </w:rPr>
        </w:r>
        <w:r w:rsidR="00E64CCD">
          <w:rPr>
            <w:webHidden/>
          </w:rPr>
          <w:fldChar w:fldCharType="separate"/>
        </w:r>
        <w:r w:rsidR="00E64CCD">
          <w:rPr>
            <w:webHidden/>
          </w:rPr>
          <w:t>6</w:t>
        </w:r>
        <w:r w:rsidR="00E64CCD">
          <w:rPr>
            <w:webHidden/>
          </w:rPr>
          <w:fldChar w:fldCharType="end"/>
        </w:r>
      </w:hyperlink>
    </w:p>
    <w:p w:rsidR="00E64CCD" w:rsidRDefault="00826AE2">
      <w:pPr>
        <w:pStyle w:val="TOC2"/>
        <w:rPr>
          <w:rFonts w:asciiTheme="minorHAnsi" w:eastAsiaTheme="minorEastAsia" w:hAnsiTheme="minorHAnsi" w:cstheme="minorBidi"/>
          <w:noProof/>
          <w:lang w:eastAsia="en-AU"/>
        </w:rPr>
      </w:pPr>
      <w:hyperlink w:anchor="_Toc11822324" w:history="1">
        <w:r w:rsidR="00E64CCD" w:rsidRPr="009C39A8">
          <w:rPr>
            <w:rStyle w:val="Hyperlink"/>
            <w:noProof/>
          </w:rPr>
          <w:t>Dispute Resolution Video</w:t>
        </w:r>
        <w:r w:rsidR="00E64CCD">
          <w:rPr>
            <w:noProof/>
            <w:webHidden/>
          </w:rPr>
          <w:tab/>
        </w:r>
        <w:r w:rsidR="00E64CCD">
          <w:rPr>
            <w:noProof/>
            <w:webHidden/>
          </w:rPr>
          <w:fldChar w:fldCharType="begin"/>
        </w:r>
        <w:r w:rsidR="00E64CCD">
          <w:rPr>
            <w:noProof/>
            <w:webHidden/>
          </w:rPr>
          <w:instrText xml:space="preserve"> PAGEREF _Toc11822324 \h </w:instrText>
        </w:r>
        <w:r w:rsidR="00E64CCD">
          <w:rPr>
            <w:noProof/>
            <w:webHidden/>
          </w:rPr>
        </w:r>
        <w:r w:rsidR="00E64CCD">
          <w:rPr>
            <w:noProof/>
            <w:webHidden/>
          </w:rPr>
          <w:fldChar w:fldCharType="separate"/>
        </w:r>
        <w:r w:rsidR="00E64CCD">
          <w:rPr>
            <w:noProof/>
            <w:webHidden/>
          </w:rPr>
          <w:t>6</w:t>
        </w:r>
        <w:r w:rsidR="00E64CCD">
          <w:rPr>
            <w:noProof/>
            <w:webHidden/>
          </w:rPr>
          <w:fldChar w:fldCharType="end"/>
        </w:r>
      </w:hyperlink>
    </w:p>
    <w:p w:rsidR="00E64CCD" w:rsidRDefault="00826AE2">
      <w:pPr>
        <w:pStyle w:val="TOC1"/>
        <w:rPr>
          <w:rFonts w:asciiTheme="minorHAnsi" w:eastAsiaTheme="minorEastAsia" w:hAnsiTheme="minorHAnsi" w:cstheme="minorBidi"/>
          <w:b w:val="0"/>
          <w:lang w:eastAsia="en-AU"/>
        </w:rPr>
      </w:pPr>
      <w:hyperlink w:anchor="_Toc11822325" w:history="1">
        <w:r w:rsidR="00E64CCD" w:rsidRPr="009C39A8">
          <w:rPr>
            <w:rStyle w:val="Hyperlink"/>
          </w:rPr>
          <w:t>What is expected of the employer</w:t>
        </w:r>
        <w:r w:rsidR="00E64CCD">
          <w:rPr>
            <w:webHidden/>
          </w:rPr>
          <w:tab/>
        </w:r>
        <w:r w:rsidR="00E64CCD">
          <w:rPr>
            <w:webHidden/>
          </w:rPr>
          <w:fldChar w:fldCharType="begin"/>
        </w:r>
        <w:r w:rsidR="00E64CCD">
          <w:rPr>
            <w:webHidden/>
          </w:rPr>
          <w:instrText xml:space="preserve"> PAGEREF _Toc11822325 \h </w:instrText>
        </w:r>
        <w:r w:rsidR="00E64CCD">
          <w:rPr>
            <w:webHidden/>
          </w:rPr>
        </w:r>
        <w:r w:rsidR="00E64CCD">
          <w:rPr>
            <w:webHidden/>
          </w:rPr>
          <w:fldChar w:fldCharType="separate"/>
        </w:r>
        <w:r w:rsidR="00E64CCD">
          <w:rPr>
            <w:webHidden/>
          </w:rPr>
          <w:t>6</w:t>
        </w:r>
        <w:r w:rsidR="00E64CCD">
          <w:rPr>
            <w:webHidden/>
          </w:rPr>
          <w:fldChar w:fldCharType="end"/>
        </w:r>
      </w:hyperlink>
    </w:p>
    <w:p w:rsidR="00E64CCD" w:rsidRDefault="00826AE2">
      <w:pPr>
        <w:pStyle w:val="TOC2"/>
        <w:rPr>
          <w:rFonts w:asciiTheme="minorHAnsi" w:eastAsiaTheme="minorEastAsia" w:hAnsiTheme="minorHAnsi" w:cstheme="minorBidi"/>
          <w:noProof/>
          <w:lang w:eastAsia="en-AU"/>
        </w:rPr>
      </w:pPr>
      <w:hyperlink w:anchor="_Toc11822326" w:history="1">
        <w:r w:rsidR="00E64CCD" w:rsidRPr="009C39A8">
          <w:rPr>
            <w:rStyle w:val="Hyperlink"/>
            <w:noProof/>
          </w:rPr>
          <w:t>Role of rehabilitation provider video</w:t>
        </w:r>
        <w:r w:rsidR="00E64CCD">
          <w:rPr>
            <w:noProof/>
            <w:webHidden/>
          </w:rPr>
          <w:tab/>
        </w:r>
        <w:r w:rsidR="00E64CCD">
          <w:rPr>
            <w:noProof/>
            <w:webHidden/>
          </w:rPr>
          <w:fldChar w:fldCharType="begin"/>
        </w:r>
        <w:r w:rsidR="00E64CCD">
          <w:rPr>
            <w:noProof/>
            <w:webHidden/>
          </w:rPr>
          <w:instrText xml:space="preserve"> PAGEREF _Toc11822326 \h </w:instrText>
        </w:r>
        <w:r w:rsidR="00E64CCD">
          <w:rPr>
            <w:noProof/>
            <w:webHidden/>
          </w:rPr>
        </w:r>
        <w:r w:rsidR="00E64CCD">
          <w:rPr>
            <w:noProof/>
            <w:webHidden/>
          </w:rPr>
          <w:fldChar w:fldCharType="separate"/>
        </w:r>
        <w:r w:rsidR="00E64CCD">
          <w:rPr>
            <w:noProof/>
            <w:webHidden/>
          </w:rPr>
          <w:t>7</w:t>
        </w:r>
        <w:r w:rsidR="00E64CCD">
          <w:rPr>
            <w:noProof/>
            <w:webHidden/>
          </w:rPr>
          <w:fldChar w:fldCharType="end"/>
        </w:r>
      </w:hyperlink>
    </w:p>
    <w:p w:rsidR="00E64CCD" w:rsidRDefault="00826AE2">
      <w:pPr>
        <w:pStyle w:val="TOC1"/>
        <w:rPr>
          <w:rFonts w:asciiTheme="minorHAnsi" w:eastAsiaTheme="minorEastAsia" w:hAnsiTheme="minorHAnsi" w:cstheme="minorBidi"/>
          <w:b w:val="0"/>
          <w:lang w:eastAsia="en-AU"/>
        </w:rPr>
      </w:pPr>
      <w:hyperlink w:anchor="_Toc11822327" w:history="1">
        <w:r w:rsidR="00E64CCD" w:rsidRPr="009C39A8">
          <w:rPr>
            <w:rStyle w:val="Hyperlink"/>
          </w:rPr>
          <w:t>What is expected of the injured worker</w:t>
        </w:r>
        <w:r w:rsidR="00E64CCD">
          <w:rPr>
            <w:webHidden/>
          </w:rPr>
          <w:tab/>
        </w:r>
        <w:r w:rsidR="00E64CCD">
          <w:rPr>
            <w:webHidden/>
          </w:rPr>
          <w:fldChar w:fldCharType="begin"/>
        </w:r>
        <w:r w:rsidR="00E64CCD">
          <w:rPr>
            <w:webHidden/>
          </w:rPr>
          <w:instrText xml:space="preserve"> PAGEREF _Toc11822327 \h </w:instrText>
        </w:r>
        <w:r w:rsidR="00E64CCD">
          <w:rPr>
            <w:webHidden/>
          </w:rPr>
        </w:r>
        <w:r w:rsidR="00E64CCD">
          <w:rPr>
            <w:webHidden/>
          </w:rPr>
          <w:fldChar w:fldCharType="separate"/>
        </w:r>
        <w:r w:rsidR="00E64CCD">
          <w:rPr>
            <w:webHidden/>
          </w:rPr>
          <w:t>7</w:t>
        </w:r>
        <w:r w:rsidR="00E64CCD">
          <w:rPr>
            <w:webHidden/>
          </w:rPr>
          <w:fldChar w:fldCharType="end"/>
        </w:r>
      </w:hyperlink>
    </w:p>
    <w:p w:rsidR="00E64CCD" w:rsidRDefault="00826AE2">
      <w:pPr>
        <w:pStyle w:val="TOC1"/>
        <w:rPr>
          <w:rFonts w:asciiTheme="minorHAnsi" w:eastAsiaTheme="minorEastAsia" w:hAnsiTheme="minorHAnsi" w:cstheme="minorBidi"/>
          <w:b w:val="0"/>
          <w:lang w:eastAsia="en-AU"/>
        </w:rPr>
      </w:pPr>
      <w:hyperlink w:anchor="_Toc11822328" w:history="1">
        <w:r w:rsidR="00E64CCD" w:rsidRPr="009C39A8">
          <w:rPr>
            <w:rStyle w:val="Hyperlink"/>
          </w:rPr>
          <w:t>Contact us</w:t>
        </w:r>
        <w:r w:rsidR="00E64CCD">
          <w:rPr>
            <w:webHidden/>
          </w:rPr>
          <w:tab/>
        </w:r>
        <w:r w:rsidR="00E64CCD">
          <w:rPr>
            <w:webHidden/>
          </w:rPr>
          <w:fldChar w:fldCharType="begin"/>
        </w:r>
        <w:r w:rsidR="00E64CCD">
          <w:rPr>
            <w:webHidden/>
          </w:rPr>
          <w:instrText xml:space="preserve"> PAGEREF _Toc11822328 \h </w:instrText>
        </w:r>
        <w:r w:rsidR="00E64CCD">
          <w:rPr>
            <w:webHidden/>
          </w:rPr>
        </w:r>
        <w:r w:rsidR="00E64CCD">
          <w:rPr>
            <w:webHidden/>
          </w:rPr>
          <w:fldChar w:fldCharType="separate"/>
        </w:r>
        <w:r w:rsidR="00E64CCD">
          <w:rPr>
            <w:webHidden/>
          </w:rPr>
          <w:t>8</w:t>
        </w:r>
        <w:r w:rsidR="00E64CCD">
          <w:rPr>
            <w:webHidden/>
          </w:rPr>
          <w:fldChar w:fldCharType="end"/>
        </w:r>
      </w:hyperlink>
    </w:p>
    <w:p w:rsidR="00616771" w:rsidRDefault="00616771" w:rsidP="00CC2514">
      <w:r>
        <w:fldChar w:fldCharType="end"/>
      </w:r>
    </w:p>
    <w:p w:rsidR="00E14C9A" w:rsidRDefault="00E14C9A">
      <w:pPr>
        <w:spacing w:after="0"/>
      </w:pPr>
      <w:r>
        <w:br w:type="page"/>
      </w:r>
    </w:p>
    <w:p w:rsidR="00E14C9A" w:rsidRDefault="00E14C9A" w:rsidP="00CC2514"/>
    <w:p w:rsidR="00E14C9A" w:rsidRPr="00E51AAD" w:rsidRDefault="00E14C9A" w:rsidP="00CC2514"/>
    <w:p w:rsidR="00EF5E66" w:rsidRDefault="00EF5E66" w:rsidP="00616771">
      <w:pPr>
        <w:sectPr w:rsidR="00EF5E66" w:rsidSect="00E14C9A">
          <w:headerReference w:type="even" r:id="rId18"/>
          <w:headerReference w:type="default" r:id="rId19"/>
          <w:footerReference w:type="default" r:id="rId20"/>
          <w:headerReference w:type="first" r:id="rId21"/>
          <w:footerReference w:type="first" r:id="rId22"/>
          <w:pgSz w:w="11906" w:h="16838" w:code="9"/>
          <w:pgMar w:top="1418" w:right="1134" w:bottom="1134" w:left="1134" w:header="284" w:footer="283" w:gutter="0"/>
          <w:pgNumType w:fmt="lowerRoman"/>
          <w:cols w:space="708"/>
          <w:titlePg/>
          <w:docGrid w:linePitch="360"/>
        </w:sectPr>
      </w:pPr>
    </w:p>
    <w:p w:rsidR="00880C93" w:rsidRPr="00C144FD" w:rsidRDefault="00880C93" w:rsidP="00C144FD">
      <w:pPr>
        <w:pStyle w:val="Heading1"/>
        <w:spacing w:before="0"/>
      </w:pPr>
      <w:bookmarkStart w:id="2" w:name="_Toc11822299"/>
      <w:r w:rsidRPr="00C144FD">
        <w:lastRenderedPageBreak/>
        <w:t>Workers compensation insurance</w:t>
      </w:r>
      <w:bookmarkEnd w:id="2"/>
      <w:r w:rsidRPr="00C144FD">
        <w:t xml:space="preserve"> </w:t>
      </w:r>
    </w:p>
    <w:p w:rsidR="00C431B8" w:rsidRPr="00C431B8" w:rsidRDefault="00C431B8" w:rsidP="00E64CCD">
      <w:pPr>
        <w:rPr>
          <w:lang w:val="en-US"/>
        </w:rPr>
      </w:pPr>
      <w:r w:rsidRPr="007F5B25">
        <w:rPr>
          <w:lang w:val="en-US"/>
        </w:rPr>
        <w:t>Employers must arrange a workers' compensation policy if they employ a worker.</w:t>
      </w:r>
    </w:p>
    <w:p w:rsidR="00BD4C7D" w:rsidRDefault="002039E7" w:rsidP="00CF502D">
      <w:pPr>
        <w:rPr>
          <w:lang w:val="en-US" w:eastAsia="en-AU"/>
        </w:rPr>
      </w:pPr>
      <w:r>
        <w:rPr>
          <w:lang w:val="en-US" w:eastAsia="en-AU"/>
        </w:rPr>
        <w:t>In the Northern Territory</w:t>
      </w:r>
      <w:r w:rsidR="00A37248">
        <w:rPr>
          <w:lang w:val="en-US" w:eastAsia="en-AU"/>
        </w:rPr>
        <w:t xml:space="preserve"> the test used under Australian Taxation Law to determine tax and superannuation obligations is also used to determine if an individual is required to be cov</w:t>
      </w:r>
      <w:r w:rsidR="00BD4C7D">
        <w:rPr>
          <w:lang w:val="en-US" w:eastAsia="en-AU"/>
        </w:rPr>
        <w:t xml:space="preserve">ered for workers compensation. </w:t>
      </w:r>
    </w:p>
    <w:p w:rsidR="00CE5B94" w:rsidRDefault="00880C93" w:rsidP="00CF502D">
      <w:pPr>
        <w:rPr>
          <w:rStyle w:val="Emphasis"/>
          <w:rFonts w:cs="Arial"/>
          <w:i w:val="0"/>
          <w:lang w:val="en-US"/>
        </w:rPr>
      </w:pPr>
      <w:r w:rsidRPr="00A544B8">
        <w:t xml:space="preserve">Under the </w:t>
      </w:r>
      <w:r w:rsidRPr="00A544B8">
        <w:rPr>
          <w:i/>
        </w:rPr>
        <w:t>Return to Work Act</w:t>
      </w:r>
      <w:r w:rsidRPr="00A544B8">
        <w:t xml:space="preserve">, employers </w:t>
      </w:r>
      <w:r w:rsidR="00C144FD" w:rsidRPr="00A544B8">
        <w:rPr>
          <w:b/>
          <w:bCs/>
        </w:rPr>
        <w:t>must</w:t>
      </w:r>
      <w:r w:rsidRPr="00A544B8">
        <w:t xml:space="preserve"> hold a workers compensation insurance policy with an approved insurer if they employ </w:t>
      </w:r>
      <w:r w:rsidR="00CE5B94" w:rsidRPr="00A544B8">
        <w:rPr>
          <w:lang w:val="en-US"/>
        </w:rPr>
        <w:t>an individual who performs work or a service under contract and is in relation to the contract, an employee for the purpose of assessment for PAYG withholding under the</w:t>
      </w:r>
      <w:r w:rsidR="00CE5B94" w:rsidRPr="00A544B8">
        <w:rPr>
          <w:rStyle w:val="Emphasis"/>
          <w:rFonts w:cs="Arial"/>
          <w:lang w:val="en-US"/>
        </w:rPr>
        <w:t xml:space="preserve"> Tax Administration Act 1953 (</w:t>
      </w:r>
      <w:proofErr w:type="spellStart"/>
      <w:r w:rsidR="00CE5B94" w:rsidRPr="00A544B8">
        <w:rPr>
          <w:rStyle w:val="Emphasis"/>
          <w:rFonts w:cs="Arial"/>
          <w:lang w:val="en-US"/>
        </w:rPr>
        <w:t>Cth</w:t>
      </w:r>
      <w:proofErr w:type="spellEnd"/>
      <w:r w:rsidR="00CE5B94" w:rsidRPr="00A544B8">
        <w:rPr>
          <w:rStyle w:val="Emphasis"/>
          <w:rFonts w:cs="Arial"/>
          <w:lang w:val="en-US"/>
        </w:rPr>
        <w:t>), Schedu</w:t>
      </w:r>
      <w:r w:rsidR="00BC7D34" w:rsidRPr="00A544B8">
        <w:rPr>
          <w:rStyle w:val="Emphasis"/>
          <w:rFonts w:cs="Arial"/>
          <w:lang w:val="en-US"/>
        </w:rPr>
        <w:t>le 1, Parts 2-5</w:t>
      </w:r>
      <w:r w:rsidR="00BC7D34" w:rsidRPr="00A544B8">
        <w:rPr>
          <w:rStyle w:val="Emphasis"/>
          <w:rFonts w:cs="Arial"/>
          <w:i w:val="0"/>
          <w:lang w:val="en-US"/>
        </w:rPr>
        <w:t xml:space="preserve">, </w:t>
      </w:r>
      <w:r w:rsidR="00BC7D34" w:rsidRPr="00BD4C7D">
        <w:rPr>
          <w:rStyle w:val="Emphasis"/>
          <w:rFonts w:cs="Arial"/>
          <w:b/>
          <w:i w:val="0"/>
          <w:lang w:val="en-US"/>
        </w:rPr>
        <w:t xml:space="preserve">even if they are not </w:t>
      </w:r>
      <w:r w:rsidR="00BD4C7D">
        <w:rPr>
          <w:rStyle w:val="Emphasis"/>
          <w:rFonts w:cs="Arial"/>
          <w:b/>
          <w:i w:val="0"/>
          <w:lang w:val="en-US"/>
        </w:rPr>
        <w:t>withholding tax but should be</w:t>
      </w:r>
      <w:r w:rsidR="00BD4C7D">
        <w:rPr>
          <w:rStyle w:val="Emphasis"/>
          <w:rFonts w:cs="Arial"/>
          <w:i w:val="0"/>
          <w:lang w:val="en-US"/>
        </w:rPr>
        <w:t>.</w:t>
      </w:r>
    </w:p>
    <w:p w:rsidR="00C431B8" w:rsidRPr="00C431B8" w:rsidRDefault="00C431B8" w:rsidP="00C431B8">
      <w:pPr>
        <w:pStyle w:val="ms-rteelement-p"/>
        <w:spacing w:after="200"/>
        <w:rPr>
          <w:rStyle w:val="Emphasis"/>
          <w:rFonts w:ascii="Arial" w:hAnsi="Arial" w:cs="Arial"/>
          <w:i w:val="0"/>
          <w:iCs w:val="0"/>
          <w:color w:val="auto"/>
          <w:sz w:val="22"/>
          <w:szCs w:val="22"/>
          <w:lang w:val="en-US"/>
        </w:rPr>
      </w:pPr>
      <w:r w:rsidRPr="007F5B25">
        <w:rPr>
          <w:rFonts w:ascii="Arial" w:hAnsi="Arial" w:cs="Arial"/>
          <w:color w:val="auto"/>
          <w:sz w:val="22"/>
          <w:szCs w:val="22"/>
          <w:lang w:val="en-US"/>
        </w:rPr>
        <w:t xml:space="preserve">An on line tool is available on the </w:t>
      </w:r>
      <w:hyperlink r:id="rId23" w:tgtFrame="_blank" w:tooltip="Opens in a new window" w:history="1">
        <w:r w:rsidRPr="007F5B25">
          <w:rPr>
            <w:rFonts w:ascii="Arial" w:hAnsi="Arial" w:cs="Arial"/>
            <w:b/>
            <w:bCs/>
            <w:color w:val="auto"/>
            <w:sz w:val="22"/>
            <w:szCs w:val="22"/>
            <w:lang w:val="en-US"/>
          </w:rPr>
          <w:t>ATO website</w:t>
        </w:r>
      </w:hyperlink>
      <w:r w:rsidRPr="007F5B25">
        <w:rPr>
          <w:rFonts w:ascii="Arial" w:hAnsi="Arial" w:cs="Arial"/>
          <w:color w:val="auto"/>
          <w:sz w:val="22"/>
          <w:szCs w:val="22"/>
          <w:lang w:val="en-US"/>
        </w:rPr>
        <w:t xml:space="preserve"> to assist em</w:t>
      </w:r>
      <w:r w:rsidR="009508EE">
        <w:rPr>
          <w:rFonts w:ascii="Arial" w:hAnsi="Arial" w:cs="Arial"/>
          <w:color w:val="auto"/>
          <w:sz w:val="22"/>
          <w:szCs w:val="22"/>
          <w:lang w:val="en-US"/>
        </w:rPr>
        <w:t>ployers to find out whether a</w:t>
      </w:r>
      <w:r w:rsidRPr="007F5B25">
        <w:rPr>
          <w:rFonts w:ascii="Arial" w:hAnsi="Arial" w:cs="Arial"/>
          <w:color w:val="auto"/>
          <w:sz w:val="22"/>
          <w:szCs w:val="22"/>
          <w:lang w:val="en-US"/>
        </w:rPr>
        <w:t xml:space="preserve"> worker is an employee or contractor for tax and super purposes. If your business engages and pays workers, you should use this decision tool.</w:t>
      </w:r>
    </w:p>
    <w:p w:rsidR="00BD4C7D" w:rsidRDefault="00BD4C7D" w:rsidP="00BD4C7D">
      <w:pPr>
        <w:pStyle w:val="ms-rteelement-p"/>
        <w:spacing w:after="200"/>
        <w:rPr>
          <w:rFonts w:ascii="Arial" w:hAnsi="Arial" w:cs="Arial"/>
          <w:color w:val="auto"/>
          <w:sz w:val="22"/>
          <w:szCs w:val="22"/>
          <w:lang w:val="en-US"/>
        </w:rPr>
      </w:pPr>
      <w:r w:rsidRPr="007F5B25">
        <w:rPr>
          <w:rFonts w:ascii="Arial" w:hAnsi="Arial" w:cs="Arial"/>
          <w:color w:val="auto"/>
          <w:sz w:val="22"/>
          <w:szCs w:val="22"/>
          <w:lang w:val="en-US"/>
        </w:rPr>
        <w:t>If it is determined a person is an employee u</w:t>
      </w:r>
      <w:r w:rsidR="009508EE">
        <w:rPr>
          <w:rFonts w:ascii="Arial" w:hAnsi="Arial" w:cs="Arial"/>
          <w:color w:val="auto"/>
          <w:sz w:val="22"/>
          <w:szCs w:val="22"/>
          <w:lang w:val="en-US"/>
        </w:rPr>
        <w:t>sing ATO</w:t>
      </w:r>
      <w:r w:rsidRPr="007F5B25">
        <w:rPr>
          <w:rFonts w:ascii="Arial" w:hAnsi="Arial" w:cs="Arial"/>
          <w:color w:val="auto"/>
          <w:sz w:val="22"/>
          <w:szCs w:val="22"/>
          <w:lang w:val="en-US"/>
        </w:rPr>
        <w:t xml:space="preserve"> guidance (even if the employer thinks they are a contractor) then the individual should be covered for workers' compensation.</w:t>
      </w:r>
    </w:p>
    <w:p w:rsidR="00BD4C7D" w:rsidRPr="00BD4C7D" w:rsidRDefault="00BD4C7D" w:rsidP="00BD4C7D">
      <w:pPr>
        <w:pStyle w:val="ms-rteelement-p"/>
        <w:spacing w:after="200"/>
        <w:rPr>
          <w:rFonts w:ascii="Arial" w:hAnsi="Arial" w:cs="Arial"/>
          <w:color w:val="auto"/>
          <w:sz w:val="22"/>
          <w:szCs w:val="22"/>
          <w:lang w:val="en-US"/>
        </w:rPr>
      </w:pPr>
      <w:r w:rsidRPr="007F5B25">
        <w:rPr>
          <w:rFonts w:ascii="Arial" w:hAnsi="Arial" w:cs="Arial"/>
          <w:color w:val="auto"/>
          <w:sz w:val="22"/>
          <w:szCs w:val="22"/>
          <w:lang w:val="en-US"/>
        </w:rPr>
        <w:t>If you, as an employer, are unsure if you require a workers' compensation policy, then you should seek independent professional advice on tax and other employer obligations.</w:t>
      </w:r>
    </w:p>
    <w:p w:rsidR="00E40C8C" w:rsidRDefault="00E40C8C" w:rsidP="00CF502D">
      <w:pPr>
        <w:rPr>
          <w:lang w:val="en-US" w:eastAsia="en-AU"/>
        </w:rPr>
      </w:pPr>
      <w:r>
        <w:rPr>
          <w:lang w:val="en-US" w:eastAsia="en-AU"/>
        </w:rPr>
        <w:t>If you are a director of a company, you are only covered if your company has taken out a workers’ compensation policy with an approved insurer and your personal details and your remuneration have been disclosed to the insurer.</w:t>
      </w:r>
    </w:p>
    <w:p w:rsidR="00B42BA2" w:rsidRDefault="00E40C8C" w:rsidP="00CF502D">
      <w:pPr>
        <w:rPr>
          <w:lang w:val="en-US" w:eastAsia="en-AU"/>
        </w:rPr>
      </w:pPr>
      <w:r>
        <w:rPr>
          <w:lang w:val="en-US" w:eastAsia="en-AU"/>
        </w:rPr>
        <w:t xml:space="preserve">If the business is owned by an individual or partnership (not a company) </w:t>
      </w:r>
      <w:r w:rsidR="00FF2CCF">
        <w:rPr>
          <w:lang w:val="en-US" w:eastAsia="en-AU"/>
        </w:rPr>
        <w:t xml:space="preserve">immediate </w:t>
      </w:r>
      <w:r>
        <w:rPr>
          <w:lang w:val="en-US" w:eastAsia="en-AU"/>
        </w:rPr>
        <w:t xml:space="preserve">family members </w:t>
      </w:r>
      <w:r w:rsidR="00FF2CCF">
        <w:rPr>
          <w:lang w:val="en-US" w:eastAsia="en-AU"/>
        </w:rPr>
        <w:t xml:space="preserve">who live with </w:t>
      </w:r>
      <w:r>
        <w:rPr>
          <w:lang w:val="en-US" w:eastAsia="en-AU"/>
        </w:rPr>
        <w:t xml:space="preserve">those individuals </w:t>
      </w:r>
      <w:r w:rsidR="00987C23">
        <w:rPr>
          <w:lang w:val="en-US" w:eastAsia="en-AU"/>
        </w:rPr>
        <w:t xml:space="preserve">or partners, </w:t>
      </w:r>
      <w:r>
        <w:rPr>
          <w:lang w:val="en-US" w:eastAsia="en-AU"/>
        </w:rPr>
        <w:t>are only covered if their personal details and their remuneration are disclosed to the insurer.</w:t>
      </w:r>
    </w:p>
    <w:p w:rsidR="00E40C8C" w:rsidRPr="009362ED" w:rsidRDefault="003843AC" w:rsidP="009362ED">
      <w:pPr>
        <w:spacing w:line="220" w:lineRule="exact"/>
        <w:ind w:left="-6" w:hanging="11"/>
      </w:pPr>
      <w:r>
        <w:t xml:space="preserve">If you are a labour hire business, all individuals engaged by you, </w:t>
      </w:r>
      <w:proofErr w:type="gramStart"/>
      <w:r>
        <w:t>must be covered</w:t>
      </w:r>
      <w:proofErr w:type="gramEnd"/>
      <w:r>
        <w:t xml:space="preserve"> regardless of whether they are an employee or contractor.</w:t>
      </w:r>
      <w:r w:rsidR="00FF2CCF">
        <w:rPr>
          <w:lang w:val="en-US" w:eastAsia="en-AU"/>
        </w:rPr>
        <w:t xml:space="preserve"> </w:t>
      </w:r>
    </w:p>
    <w:p w:rsidR="00186345" w:rsidRDefault="00186345" w:rsidP="00186345">
      <w:pPr>
        <w:pStyle w:val="Heading2"/>
      </w:pPr>
      <w:bookmarkStart w:id="3" w:name="_Toc11822300"/>
      <w:r>
        <w:t>Workers compensation insurance – guide for employers</w:t>
      </w:r>
      <w:bookmarkEnd w:id="3"/>
    </w:p>
    <w:p w:rsidR="00186345" w:rsidRPr="00186345" w:rsidRDefault="00186345" w:rsidP="00CF502D">
      <w:r>
        <w:t xml:space="preserve">This short video will explain your workers compensation insurance obligations as an employer, including why you need workers compensation insurance, when you need to obtain a policy, and who you need to cover - </w:t>
      </w:r>
      <w:hyperlink r:id="rId24" w:history="1">
        <w:r w:rsidRPr="00412BE8">
          <w:rPr>
            <w:rStyle w:val="Hyperlink"/>
          </w:rPr>
          <w:t>https://www.youtube.com/watch?v=Cp2dfC29buo</w:t>
        </w:r>
      </w:hyperlink>
    </w:p>
    <w:p w:rsidR="00BD4C7D" w:rsidRDefault="00BD4C7D" w:rsidP="00BD4C7D">
      <w:pPr>
        <w:pStyle w:val="Heading1"/>
      </w:pPr>
      <w:bookmarkStart w:id="4" w:name="_Toc11822301"/>
      <w:r w:rsidRPr="00A47033">
        <w:t>If you don’t have workers’ compensation insurance</w:t>
      </w:r>
      <w:bookmarkEnd w:id="4"/>
    </w:p>
    <w:p w:rsidR="006C1507" w:rsidRPr="006C1507" w:rsidRDefault="006C1507" w:rsidP="006C1507">
      <w:pPr>
        <w:rPr>
          <w:lang w:val="en-US" w:eastAsia="en-AU"/>
        </w:rPr>
      </w:pPr>
      <w:r w:rsidRPr="006C1507">
        <w:rPr>
          <w:lang w:val="en-US" w:eastAsia="en-AU"/>
        </w:rPr>
        <w:t xml:space="preserve">Under the </w:t>
      </w:r>
      <w:r w:rsidRPr="006C1507">
        <w:rPr>
          <w:i/>
          <w:lang w:val="en-US" w:eastAsia="en-AU"/>
        </w:rPr>
        <w:t>Return to Work Act</w:t>
      </w:r>
      <w:r w:rsidRPr="006C1507">
        <w:rPr>
          <w:lang w:val="en-US" w:eastAsia="en-AU"/>
        </w:rPr>
        <w:t xml:space="preserve"> if an employer does not hold the necessary workers compensation insurance policy there is power for NT WorkSafe to order the employer to stop all aspects of their business until such time as the situation is rectified.</w:t>
      </w:r>
    </w:p>
    <w:p w:rsidR="00BD4C7D" w:rsidRPr="00A47033" w:rsidRDefault="00BD4C7D" w:rsidP="00E64CCD">
      <w:pPr>
        <w:pStyle w:val="orangebulletlist"/>
      </w:pPr>
      <w:r w:rsidRPr="00A47033">
        <w:t>You will be up for the cost of any claim which could amount to millions of dollars</w:t>
      </w:r>
    </w:p>
    <w:p w:rsidR="00BD4C7D" w:rsidRPr="00A47033" w:rsidRDefault="00BD4C7D" w:rsidP="00E64CCD">
      <w:pPr>
        <w:pStyle w:val="orangebulletlist"/>
      </w:pPr>
      <w:r w:rsidRPr="00A47033">
        <w:t>You risk the financial viability of your business and if you are a sole trader, your personal assets</w:t>
      </w:r>
    </w:p>
    <w:p w:rsidR="00BD4C7D" w:rsidRDefault="00BD4C7D" w:rsidP="00E64CCD">
      <w:pPr>
        <w:pStyle w:val="orangebulletlist"/>
      </w:pPr>
      <w:r w:rsidRPr="00A47033">
        <w:t>Penalties of up to $179,000 (for a company) for a breach of the legislation.</w:t>
      </w:r>
    </w:p>
    <w:p w:rsidR="00BD4C7D" w:rsidRPr="00A47033" w:rsidRDefault="00BD4C7D" w:rsidP="00BD4C7D">
      <w:pPr>
        <w:pStyle w:val="Heading1"/>
      </w:pPr>
      <w:bookmarkStart w:id="5" w:name="_Toc11822302"/>
      <w:r w:rsidRPr="00A47033">
        <w:lastRenderedPageBreak/>
        <w:t>How do I arrange insurance?</w:t>
      </w:r>
      <w:bookmarkEnd w:id="5"/>
    </w:p>
    <w:p w:rsidR="00BD4C7D" w:rsidRDefault="00BD4C7D" w:rsidP="00BD4C7D">
      <w:r w:rsidRPr="00A47033">
        <w:t xml:space="preserve">You can obtain workers compensation insurance by contacting an insurance broker.  </w:t>
      </w:r>
    </w:p>
    <w:p w:rsidR="00BD4C7D" w:rsidRDefault="00BD4C7D" w:rsidP="00BD4C7D">
      <w:r>
        <w:t>Refer to the following</w:t>
      </w:r>
      <w:r w:rsidRPr="00A47033">
        <w:t xml:space="preserve"> list of Nort</w:t>
      </w:r>
      <w:r>
        <w:t>hern Territory approved insurers</w:t>
      </w:r>
      <w:r w:rsidRPr="00A47033">
        <w:t>.</w:t>
      </w:r>
    </w:p>
    <w:tbl>
      <w:tblPr>
        <w:tblStyle w:val="TableGrid"/>
        <w:tblW w:w="0" w:type="auto"/>
        <w:tblLook w:val="04A0" w:firstRow="1" w:lastRow="0" w:firstColumn="1" w:lastColumn="0" w:noHBand="0" w:noVBand="1"/>
      </w:tblPr>
      <w:tblGrid>
        <w:gridCol w:w="4814"/>
        <w:gridCol w:w="4814"/>
      </w:tblGrid>
      <w:tr w:rsidR="00BD4C7D" w:rsidTr="00BD4C7D">
        <w:tc>
          <w:tcPr>
            <w:tcW w:w="9628" w:type="dxa"/>
            <w:gridSpan w:val="2"/>
            <w:shd w:val="clear" w:color="auto" w:fill="D9D9D9" w:themeFill="background1" w:themeFillShade="D9"/>
          </w:tcPr>
          <w:p w:rsidR="00BD4C7D" w:rsidRDefault="00BD4C7D" w:rsidP="00E64CCD">
            <w:pPr>
              <w:spacing w:before="40" w:after="40"/>
              <w:jc w:val="center"/>
            </w:pPr>
            <w:r w:rsidRPr="0088366A">
              <w:rPr>
                <w:b/>
                <w:sz w:val="24"/>
                <w:szCs w:val="24"/>
              </w:rPr>
              <w:t>Contact details for approved insurance companies</w:t>
            </w:r>
          </w:p>
        </w:tc>
      </w:tr>
      <w:tr w:rsidR="00BD4C7D" w:rsidTr="00E64CCD">
        <w:tc>
          <w:tcPr>
            <w:tcW w:w="4814" w:type="dxa"/>
            <w:shd w:val="clear" w:color="auto" w:fill="F2F2F2" w:themeFill="background1" w:themeFillShade="F2"/>
          </w:tcPr>
          <w:p w:rsidR="00BD4C7D" w:rsidRPr="00BD4C7D" w:rsidRDefault="00BD4C7D" w:rsidP="00E64CCD">
            <w:pPr>
              <w:spacing w:before="40" w:after="40"/>
              <w:rPr>
                <w:b/>
              </w:rPr>
            </w:pPr>
            <w:r>
              <w:rPr>
                <w:b/>
              </w:rPr>
              <w:t>Allianz Australia Insurance</w:t>
            </w:r>
          </w:p>
        </w:tc>
        <w:tc>
          <w:tcPr>
            <w:tcW w:w="4814" w:type="dxa"/>
          </w:tcPr>
          <w:p w:rsidR="00BD4C7D" w:rsidRDefault="00BD4C7D" w:rsidP="00E64CCD">
            <w:pPr>
              <w:spacing w:before="40" w:after="40"/>
            </w:pPr>
            <w:r>
              <w:t>Phone: (08) 8982 8333</w:t>
            </w:r>
          </w:p>
        </w:tc>
      </w:tr>
      <w:tr w:rsidR="00BD4C7D" w:rsidTr="00E64CCD">
        <w:tc>
          <w:tcPr>
            <w:tcW w:w="4814" w:type="dxa"/>
            <w:shd w:val="clear" w:color="auto" w:fill="F2F2F2" w:themeFill="background1" w:themeFillShade="F2"/>
          </w:tcPr>
          <w:p w:rsidR="00BD4C7D" w:rsidRPr="00BD4C7D" w:rsidRDefault="00BD4C7D" w:rsidP="00E64CCD">
            <w:pPr>
              <w:spacing w:before="40" w:after="40"/>
              <w:rPr>
                <w:b/>
              </w:rPr>
            </w:pPr>
            <w:r>
              <w:rPr>
                <w:b/>
              </w:rPr>
              <w:t>CGU Workers Compensation</w:t>
            </w:r>
          </w:p>
        </w:tc>
        <w:tc>
          <w:tcPr>
            <w:tcW w:w="4814" w:type="dxa"/>
          </w:tcPr>
          <w:p w:rsidR="00BD4C7D" w:rsidRDefault="00BD4C7D" w:rsidP="00E64CCD">
            <w:pPr>
              <w:spacing w:before="40" w:after="40"/>
            </w:pPr>
            <w:r>
              <w:t>Phone: (08) 8924 0300</w:t>
            </w:r>
          </w:p>
        </w:tc>
      </w:tr>
      <w:tr w:rsidR="00BD4C7D" w:rsidTr="00E64CCD">
        <w:tc>
          <w:tcPr>
            <w:tcW w:w="4814" w:type="dxa"/>
            <w:shd w:val="clear" w:color="auto" w:fill="F2F2F2" w:themeFill="background1" w:themeFillShade="F2"/>
          </w:tcPr>
          <w:p w:rsidR="00BD4C7D" w:rsidRPr="00BD4C7D" w:rsidRDefault="00BD4C7D" w:rsidP="00E64CCD">
            <w:pPr>
              <w:spacing w:before="40" w:after="40"/>
              <w:rPr>
                <w:b/>
              </w:rPr>
            </w:pPr>
            <w:r>
              <w:rPr>
                <w:b/>
              </w:rPr>
              <w:t>GIO General Ltd</w:t>
            </w:r>
          </w:p>
        </w:tc>
        <w:tc>
          <w:tcPr>
            <w:tcW w:w="4814" w:type="dxa"/>
          </w:tcPr>
          <w:p w:rsidR="00BD4C7D" w:rsidRDefault="00BD4C7D" w:rsidP="00E64CCD">
            <w:pPr>
              <w:spacing w:before="40" w:after="40"/>
            </w:pPr>
            <w:r>
              <w:t>Phone: (08) 6</w:t>
            </w:r>
            <w:r w:rsidR="003843AC">
              <w:t>1</w:t>
            </w:r>
            <w:r>
              <w:t>88 0990</w:t>
            </w:r>
          </w:p>
        </w:tc>
      </w:tr>
      <w:tr w:rsidR="00BD4C7D" w:rsidTr="00E64CCD">
        <w:tc>
          <w:tcPr>
            <w:tcW w:w="4814" w:type="dxa"/>
            <w:shd w:val="clear" w:color="auto" w:fill="F2F2F2" w:themeFill="background1" w:themeFillShade="F2"/>
          </w:tcPr>
          <w:p w:rsidR="00BD4C7D" w:rsidRPr="00BD4C7D" w:rsidRDefault="00BD4C7D" w:rsidP="00E64CCD">
            <w:pPr>
              <w:spacing w:before="40" w:after="40"/>
              <w:rPr>
                <w:b/>
              </w:rPr>
            </w:pPr>
            <w:r>
              <w:rPr>
                <w:b/>
              </w:rPr>
              <w:t>QBE Insurance (Australia) Ltd</w:t>
            </w:r>
          </w:p>
        </w:tc>
        <w:tc>
          <w:tcPr>
            <w:tcW w:w="4814" w:type="dxa"/>
          </w:tcPr>
          <w:p w:rsidR="00BD4C7D" w:rsidRDefault="00BD4C7D" w:rsidP="00E64CCD">
            <w:pPr>
              <w:spacing w:before="40" w:after="40"/>
            </w:pPr>
            <w:r>
              <w:t>Phone: (08) 8982 3877</w:t>
            </w:r>
          </w:p>
        </w:tc>
      </w:tr>
      <w:tr w:rsidR="00BD4C7D" w:rsidTr="00E64CCD">
        <w:tc>
          <w:tcPr>
            <w:tcW w:w="4814" w:type="dxa"/>
            <w:shd w:val="clear" w:color="auto" w:fill="F2F2F2" w:themeFill="background1" w:themeFillShade="F2"/>
          </w:tcPr>
          <w:p w:rsidR="00E64CCD" w:rsidRDefault="00BD4C7D" w:rsidP="00E64CCD">
            <w:pPr>
              <w:spacing w:before="40" w:after="40"/>
              <w:rPr>
                <w:rFonts w:cs="Arial"/>
                <w:sz w:val="20"/>
                <w:szCs w:val="20"/>
              </w:rPr>
            </w:pPr>
            <w:r w:rsidRPr="00E64CCD">
              <w:rPr>
                <w:rFonts w:cs="Arial"/>
                <w:b/>
                <w:sz w:val="20"/>
                <w:szCs w:val="20"/>
              </w:rPr>
              <w:t>Allianz Australia Insurance Limited</w:t>
            </w:r>
            <w:r>
              <w:rPr>
                <w:rFonts w:cs="Arial"/>
                <w:sz w:val="20"/>
                <w:szCs w:val="20"/>
              </w:rPr>
              <w:t xml:space="preserve"> </w:t>
            </w:r>
            <w:r w:rsidRPr="006F44F3">
              <w:rPr>
                <w:rFonts w:cs="Arial"/>
                <w:i/>
                <w:sz w:val="20"/>
                <w:szCs w:val="20"/>
              </w:rPr>
              <w:t>trading as</w:t>
            </w:r>
          </w:p>
          <w:p w:rsidR="00BD4C7D" w:rsidRPr="00E64CCD" w:rsidRDefault="00BD4C7D" w:rsidP="00E64CCD">
            <w:pPr>
              <w:spacing w:before="40" w:after="40"/>
              <w:rPr>
                <w:rFonts w:cs="Arial"/>
                <w:sz w:val="20"/>
                <w:szCs w:val="20"/>
              </w:rPr>
            </w:pPr>
            <w:r w:rsidRPr="00E64CCD">
              <w:rPr>
                <w:sz w:val="20"/>
                <w:szCs w:val="20"/>
              </w:rPr>
              <w:t>Territory Insurance Office</w:t>
            </w:r>
          </w:p>
        </w:tc>
        <w:tc>
          <w:tcPr>
            <w:tcW w:w="4814" w:type="dxa"/>
            <w:vAlign w:val="center"/>
          </w:tcPr>
          <w:p w:rsidR="00BD4C7D" w:rsidRDefault="00BD4C7D" w:rsidP="00E64CCD">
            <w:pPr>
              <w:spacing w:before="40" w:after="40"/>
            </w:pPr>
            <w:r>
              <w:t>Phone: (08) 8982 83</w:t>
            </w:r>
            <w:r w:rsidR="003843AC">
              <w:t>15</w:t>
            </w:r>
          </w:p>
        </w:tc>
      </w:tr>
    </w:tbl>
    <w:p w:rsidR="008F57D6" w:rsidRDefault="008F57D6" w:rsidP="008F57D6">
      <w:pPr>
        <w:pStyle w:val="Heading1"/>
      </w:pPr>
      <w:bookmarkStart w:id="6" w:name="_Toc11822303"/>
      <w:r>
        <w:t xml:space="preserve">When </w:t>
      </w:r>
      <w:r w:rsidR="00081C65">
        <w:t>is a worker covered for workers</w:t>
      </w:r>
      <w:r>
        <w:t xml:space="preserve"> compensation?</w:t>
      </w:r>
      <w:bookmarkEnd w:id="6"/>
      <w:r>
        <w:t xml:space="preserve"> </w:t>
      </w:r>
    </w:p>
    <w:p w:rsidR="008F57D6" w:rsidRDefault="00A37248" w:rsidP="00C144FD">
      <w:r>
        <w:t>A</w:t>
      </w:r>
      <w:r w:rsidR="00CC2514" w:rsidRPr="00837AB3">
        <w:t xml:space="preserve"> worker is entitled to compensation for any personal injury or disease or an aggravation of an injury or disease that occurs:</w:t>
      </w:r>
    </w:p>
    <w:p w:rsidR="008F57D6" w:rsidRDefault="008F57D6" w:rsidP="00821050">
      <w:pPr>
        <w:pStyle w:val="orangebulletlist"/>
      </w:pPr>
      <w:r>
        <w:t xml:space="preserve">during the course of employment </w:t>
      </w:r>
    </w:p>
    <w:p w:rsidR="008F57D6" w:rsidRDefault="008F57D6" w:rsidP="00172CBB">
      <w:pPr>
        <w:pStyle w:val="orangebulletlist"/>
        <w:spacing w:after="240"/>
      </w:pPr>
      <w:r>
        <w:t xml:space="preserve">by any </w:t>
      </w:r>
      <w:r w:rsidRPr="00172CBB">
        <w:t>incident</w:t>
      </w:r>
      <w:r>
        <w:t xml:space="preserve"> arising out of employment </w:t>
      </w:r>
    </w:p>
    <w:p w:rsidR="00723495" w:rsidRPr="00723495" w:rsidRDefault="007352EB" w:rsidP="00CF502D">
      <w:r>
        <w:rPr>
          <w:lang w:val="en-US"/>
        </w:rPr>
        <w:t>C</w:t>
      </w:r>
      <w:r w:rsidR="00723495" w:rsidRPr="00723495">
        <w:rPr>
          <w:lang w:val="en-US"/>
        </w:rPr>
        <w:t xml:space="preserve">laims for </w:t>
      </w:r>
      <w:r w:rsidR="00A37248">
        <w:rPr>
          <w:lang w:val="en-US"/>
        </w:rPr>
        <w:t>most</w:t>
      </w:r>
      <w:r w:rsidR="00723495" w:rsidRPr="00723495">
        <w:rPr>
          <w:lang w:val="en-US"/>
        </w:rPr>
        <w:t xml:space="preserve"> journeys to and from work</w:t>
      </w:r>
      <w:r w:rsidR="003843AC">
        <w:rPr>
          <w:lang w:val="en-US"/>
        </w:rPr>
        <w:t xml:space="preserve"> involving the use of a motor vehicle</w:t>
      </w:r>
      <w:r w:rsidR="00723495" w:rsidRPr="00723495">
        <w:rPr>
          <w:lang w:val="en-US"/>
        </w:rPr>
        <w:t xml:space="preserve"> </w:t>
      </w:r>
      <w:proofErr w:type="gramStart"/>
      <w:r>
        <w:rPr>
          <w:lang w:val="en-US"/>
        </w:rPr>
        <w:t>are</w:t>
      </w:r>
      <w:r w:rsidR="00723495" w:rsidRPr="00723495">
        <w:rPr>
          <w:lang w:val="en-US"/>
        </w:rPr>
        <w:t xml:space="preserve"> excluded</w:t>
      </w:r>
      <w:proofErr w:type="gramEnd"/>
      <w:r w:rsidR="003B67CB">
        <w:rPr>
          <w:lang w:val="en-US"/>
        </w:rPr>
        <w:t xml:space="preserve">. </w:t>
      </w:r>
      <w:r w:rsidR="00723495" w:rsidRPr="00723495">
        <w:rPr>
          <w:lang w:val="en-US"/>
        </w:rPr>
        <w:t>Journeys that are considered to be in the course of employment are not excluded.</w:t>
      </w:r>
      <w:r w:rsidR="003B67CB">
        <w:rPr>
          <w:lang w:val="en-US"/>
        </w:rPr>
        <w:t xml:space="preserve"> Examples are </w:t>
      </w:r>
      <w:r w:rsidR="00723495" w:rsidRPr="00723495">
        <w:rPr>
          <w:lang w:val="en-US"/>
        </w:rPr>
        <w:t xml:space="preserve">where the journey is to or from a workplace other than the worker’s normal workplace at the request of the employer or </w:t>
      </w:r>
      <w:r w:rsidR="00326A33">
        <w:rPr>
          <w:lang w:val="en-US"/>
        </w:rPr>
        <w:t xml:space="preserve"> travelling outside normal work hours as a result of  a call out by an employer, whether paid for the call out travel or not.</w:t>
      </w:r>
    </w:p>
    <w:p w:rsidR="003843AC" w:rsidRDefault="00723495" w:rsidP="00CF502D">
      <w:r w:rsidRPr="006E45A5">
        <w:t xml:space="preserve">Injuries from motor vehicle accidents while on a normal journey travelling to or from work </w:t>
      </w:r>
      <w:proofErr w:type="gramStart"/>
      <w:r w:rsidRPr="006E45A5">
        <w:t>are not covered</w:t>
      </w:r>
      <w:proofErr w:type="gramEnd"/>
      <w:r w:rsidRPr="006E45A5">
        <w:t xml:space="preserve"> by workers compensation but may be claimed under the Motor Accidents Compensation scheme (MAC), which is administered by the Territory Insurance Office (TIO). </w:t>
      </w:r>
    </w:p>
    <w:p w:rsidR="00E40C8C" w:rsidRPr="0055465E" w:rsidRDefault="003843AC" w:rsidP="00CF502D">
      <w:r>
        <w:t xml:space="preserve">Injuries to and from work that do not involve the use of a motor vehicle are covered. </w:t>
      </w:r>
      <w:proofErr w:type="spellStart"/>
      <w:r>
        <w:t>Eg</w:t>
      </w:r>
      <w:proofErr w:type="spellEnd"/>
      <w:r>
        <w:t xml:space="preserve">. </w:t>
      </w:r>
      <w:proofErr w:type="gramStart"/>
      <w:r>
        <w:t>walking</w:t>
      </w:r>
      <w:proofErr w:type="gramEnd"/>
      <w:r>
        <w:t xml:space="preserve"> or riding a push bike.</w:t>
      </w:r>
    </w:p>
    <w:p w:rsidR="00CC2514" w:rsidRPr="00CF502D" w:rsidRDefault="00CC2514" w:rsidP="00CF502D">
      <w:pPr>
        <w:pStyle w:val="Heading1"/>
      </w:pPr>
      <w:bookmarkStart w:id="7" w:name="_Toc11822304"/>
      <w:r w:rsidRPr="00CF502D">
        <w:t>Claim forms</w:t>
      </w:r>
      <w:bookmarkEnd w:id="7"/>
    </w:p>
    <w:p w:rsidR="00CC2514" w:rsidRPr="00CF502D" w:rsidRDefault="00CC2514" w:rsidP="00CF502D">
      <w:r w:rsidRPr="00CF502D">
        <w:t xml:space="preserve">To claim for workers compensation entitlements the worker must submit a Northern Territory workers compensation claim form. </w:t>
      </w:r>
      <w:r w:rsidRPr="00CF502D">
        <w:rPr>
          <w:rFonts w:cs="Arial"/>
        </w:rPr>
        <w:t>Claim forms</w:t>
      </w:r>
      <w:r w:rsidRPr="00CF502D">
        <w:t xml:space="preserve"> can be obtained from the employer, the insurer or NT WorkSafe, and are available on the NT WorkSafe website.</w:t>
      </w:r>
    </w:p>
    <w:p w:rsidR="00427E32" w:rsidRPr="00CF502D" w:rsidRDefault="00427E32" w:rsidP="00CF502D">
      <w:r w:rsidRPr="00CF502D">
        <w:t xml:space="preserve">The worker must complete Part I of the claim form, pages 3 </w:t>
      </w:r>
      <w:r w:rsidR="00A37248">
        <w:t>- 5</w:t>
      </w:r>
      <w:r w:rsidRPr="00CF502D">
        <w:t xml:space="preserve"> and submit the claim form to the employer, along with a </w:t>
      </w:r>
      <w:r w:rsidR="00326A33">
        <w:t>medical certificate of capacity</w:t>
      </w:r>
      <w:r w:rsidR="007352EB">
        <w:t xml:space="preserve"> </w:t>
      </w:r>
      <w:r w:rsidRPr="00CF502D">
        <w:t xml:space="preserve"> from a doctor if the claim is for loss of income. </w:t>
      </w:r>
    </w:p>
    <w:p w:rsidR="00427E32" w:rsidRPr="00CF502D" w:rsidRDefault="00427E32" w:rsidP="00CF502D">
      <w:r w:rsidRPr="00CF502D">
        <w:t xml:space="preserve">Where the claim form is for medical expenses only, the worker needs only to provide the account or receipt with the claim form. </w:t>
      </w:r>
    </w:p>
    <w:p w:rsidR="00CC2514" w:rsidRDefault="00427E32" w:rsidP="00CF502D">
      <w:pPr>
        <w:rPr>
          <w:iCs/>
        </w:rPr>
      </w:pPr>
      <w:r w:rsidRPr="00CF502D">
        <w:rPr>
          <w:b/>
        </w:rPr>
        <w:t>Note:</w:t>
      </w:r>
      <w:r w:rsidRPr="00CF502D">
        <w:t xml:space="preserve"> The worker cannot claim by submitting a </w:t>
      </w:r>
      <w:r w:rsidR="00326A33">
        <w:t>medical certificate of capacity</w:t>
      </w:r>
      <w:r w:rsidRPr="00CF502D">
        <w:t xml:space="preserve"> only.</w:t>
      </w:r>
      <w:r w:rsidR="00CC2514" w:rsidRPr="00CF502D">
        <w:rPr>
          <w:iCs/>
        </w:rPr>
        <w:t xml:space="preserve"> </w:t>
      </w:r>
      <w:r w:rsidR="00C144FD" w:rsidRPr="00CF502D">
        <w:rPr>
          <w:iCs/>
        </w:rPr>
        <w:t>A claim form is </w:t>
      </w:r>
      <w:r w:rsidR="00CC2514" w:rsidRPr="00CF502D">
        <w:rPr>
          <w:iCs/>
        </w:rPr>
        <w:t>required.</w:t>
      </w:r>
    </w:p>
    <w:p w:rsidR="00DB2D3C" w:rsidRPr="00CF502D" w:rsidRDefault="00DB2D3C" w:rsidP="00CF502D"/>
    <w:p w:rsidR="00427E32" w:rsidRPr="00B0784E" w:rsidRDefault="00CC2514" w:rsidP="00B0784E">
      <w:pPr>
        <w:rPr>
          <w:strike/>
        </w:rPr>
      </w:pPr>
      <w:r w:rsidRPr="00B0784E">
        <w:lastRenderedPageBreak/>
        <w:t>A worker has six (6) mont</w:t>
      </w:r>
      <w:r w:rsidR="00880C93" w:rsidRPr="00B0784E">
        <w:t>hs to lodge a claim for workers</w:t>
      </w:r>
      <w:r w:rsidRPr="00B0784E">
        <w:t xml:space="preserve"> compensation from the date of the injury </w:t>
      </w:r>
      <w:r w:rsidR="00A37248" w:rsidRPr="00DC4CA0">
        <w:t>or becoming incapacitated from a disease</w:t>
      </w:r>
      <w:r w:rsidR="00427E32" w:rsidRPr="00DC4CA0">
        <w:t>. In some circumstances a claim can be made after 6</w:t>
      </w:r>
      <w:r w:rsidR="007352EB" w:rsidRPr="00DC4CA0">
        <w:t xml:space="preserve"> months </w:t>
      </w:r>
      <w:r w:rsidR="00F47F17" w:rsidRPr="00DC4CA0">
        <w:t xml:space="preserve">if </w:t>
      </w:r>
      <w:r w:rsidR="007352EB" w:rsidRPr="00DC4CA0">
        <w:t xml:space="preserve">the failure </w:t>
      </w:r>
      <w:r w:rsidR="00F47F17" w:rsidRPr="00DC4CA0">
        <w:t xml:space="preserve">to claim </w:t>
      </w:r>
      <w:r w:rsidR="007352EB" w:rsidRPr="00DC4CA0">
        <w:t>was occasioned by mistake, ignorance of a disease, absence from the Territory or other reasonable cause</w:t>
      </w:r>
      <w:r w:rsidR="00B0784E">
        <w:t>.</w:t>
      </w:r>
    </w:p>
    <w:p w:rsidR="00CC2514" w:rsidRPr="00CF502D" w:rsidRDefault="00CC2514" w:rsidP="00CF502D">
      <w:pPr>
        <w:pStyle w:val="Heading1"/>
      </w:pPr>
      <w:bookmarkStart w:id="8" w:name="_Toc412718478"/>
      <w:bookmarkStart w:id="9" w:name="_Toc11822305"/>
      <w:r w:rsidRPr="00CF502D">
        <w:t>Receiving a claim</w:t>
      </w:r>
      <w:bookmarkEnd w:id="8"/>
      <w:bookmarkEnd w:id="9"/>
    </w:p>
    <w:p w:rsidR="00CC2514" w:rsidRPr="00CF502D" w:rsidRDefault="00CC2514" w:rsidP="00CF502D">
      <w:r w:rsidRPr="00CF502D">
        <w:t xml:space="preserve">Once a claim has been received from a worker, the employer must complete </w:t>
      </w:r>
      <w:r w:rsidR="001A3B4E" w:rsidRPr="00CF502D">
        <w:t xml:space="preserve">Part 2, </w:t>
      </w:r>
      <w:r w:rsidRPr="00CF502D">
        <w:t xml:space="preserve">page </w:t>
      </w:r>
      <w:r w:rsidR="00D23D8F">
        <w:t>6 and 7</w:t>
      </w:r>
      <w:r w:rsidRPr="00CF502D">
        <w:t xml:space="preserve"> of the claim form and </w:t>
      </w:r>
      <w:r w:rsidRPr="00CF502D">
        <w:rPr>
          <w:b/>
          <w:bCs/>
        </w:rPr>
        <w:t>must submit it to their workers compensation insurance company within 3</w:t>
      </w:r>
      <w:r w:rsidR="00A544B8">
        <w:rPr>
          <w:b/>
          <w:bCs/>
        </w:rPr>
        <w:t> </w:t>
      </w:r>
      <w:r w:rsidRPr="00CF502D">
        <w:rPr>
          <w:b/>
          <w:bCs/>
        </w:rPr>
        <w:t>working days of receiving the claim from the worker</w:t>
      </w:r>
      <w:r w:rsidRPr="00CF502D">
        <w:t>. The employer should retain a copy for their records.</w:t>
      </w:r>
    </w:p>
    <w:p w:rsidR="00CC2514" w:rsidRPr="00CF502D" w:rsidRDefault="00CC2514" w:rsidP="00CF502D">
      <w:r w:rsidRPr="00CF502D">
        <w:t xml:space="preserve">It is not the employer’s role to determine liability for the claim; this is the role of the employer’s insurer. The insurer must make an initial decision on the claim within 10 working days of the employer receiving it. The insurer will manage and make all the decisions regarding the claim on behalf of the employer. </w:t>
      </w:r>
    </w:p>
    <w:p w:rsidR="00CC2514" w:rsidRPr="00BD1C8C" w:rsidRDefault="00CC2514" w:rsidP="00592C6E">
      <w:pPr>
        <w:pStyle w:val="Heading1"/>
        <w:spacing w:after="120"/>
      </w:pPr>
      <w:bookmarkStart w:id="10" w:name="_Toc11822306"/>
      <w:r w:rsidRPr="00BD1C8C">
        <w:t>The insurer’s decision must be to either:</w:t>
      </w:r>
      <w:bookmarkEnd w:id="10"/>
    </w:p>
    <w:p w:rsidR="00CC2514" w:rsidRPr="00837AB3" w:rsidRDefault="00CC2514" w:rsidP="00592C6E">
      <w:pPr>
        <w:pStyle w:val="Heading2"/>
        <w:spacing w:before="120" w:after="120"/>
      </w:pPr>
      <w:bookmarkStart w:id="11" w:name="_Toc412718479"/>
      <w:bookmarkStart w:id="12" w:name="_Toc11822307"/>
      <w:r w:rsidRPr="00837AB3">
        <w:t>Accept liability</w:t>
      </w:r>
      <w:bookmarkEnd w:id="11"/>
      <w:bookmarkEnd w:id="12"/>
      <w:r w:rsidRPr="00837AB3">
        <w:t xml:space="preserve"> </w:t>
      </w:r>
    </w:p>
    <w:p w:rsidR="00CC2514" w:rsidRPr="00837AB3" w:rsidRDefault="00CC2514" w:rsidP="00C144FD">
      <w:r w:rsidRPr="00837AB3">
        <w:t xml:space="preserve">Payment of benefits will commence. These benefits will include lost earnings, reasonable medical and rehabilitation expenses. </w:t>
      </w:r>
    </w:p>
    <w:p w:rsidR="00CC2514" w:rsidRPr="00837AB3" w:rsidRDefault="00D23D8F" w:rsidP="00592C6E">
      <w:pPr>
        <w:pStyle w:val="Heading2"/>
        <w:spacing w:before="240" w:after="120"/>
      </w:pPr>
      <w:bookmarkStart w:id="13" w:name="_Toc412718480"/>
      <w:bookmarkStart w:id="14" w:name="_Toc11822308"/>
      <w:r>
        <w:t>Dispute</w:t>
      </w:r>
      <w:r w:rsidR="00CC2514" w:rsidRPr="00837AB3">
        <w:t xml:space="preserve"> liability</w:t>
      </w:r>
      <w:bookmarkEnd w:id="13"/>
      <w:bookmarkEnd w:id="14"/>
      <w:r w:rsidR="00CC2514" w:rsidRPr="00837AB3">
        <w:t xml:space="preserve"> </w:t>
      </w:r>
    </w:p>
    <w:p w:rsidR="00CC2514" w:rsidRPr="00837AB3" w:rsidRDefault="00CC2514" w:rsidP="00C144FD">
      <w:r w:rsidRPr="00837AB3">
        <w:t xml:space="preserve">The worker will be formally advised in writing of the reasons for </w:t>
      </w:r>
      <w:r w:rsidR="00D23D8F">
        <w:t>disputing the claim</w:t>
      </w:r>
      <w:r w:rsidRPr="00837AB3">
        <w:t xml:space="preserve"> and the worker’s rights of appeal. </w:t>
      </w:r>
    </w:p>
    <w:p w:rsidR="00CC2514" w:rsidRPr="00837AB3" w:rsidRDefault="00CC2514" w:rsidP="00592C6E">
      <w:pPr>
        <w:pStyle w:val="Heading2"/>
        <w:spacing w:before="240" w:after="120"/>
      </w:pPr>
      <w:bookmarkStart w:id="15" w:name="_Toc412718481"/>
      <w:bookmarkStart w:id="16" w:name="_Toc11822309"/>
      <w:r w:rsidRPr="00837AB3">
        <w:t>Defer liability</w:t>
      </w:r>
      <w:bookmarkEnd w:id="15"/>
      <w:bookmarkEnd w:id="16"/>
      <w:r w:rsidRPr="00837AB3">
        <w:t xml:space="preserve"> </w:t>
      </w:r>
    </w:p>
    <w:p w:rsidR="00203EDC" w:rsidRPr="00CF502D" w:rsidRDefault="00CC2514" w:rsidP="00C144FD">
      <w:r w:rsidRPr="00837AB3">
        <w:t>The insurer must make a final decision to accept or reject the claim before 56 days have expired f</w:t>
      </w:r>
      <w:r>
        <w:t>rom the date of the decision to </w:t>
      </w:r>
      <w:r w:rsidRPr="00837AB3">
        <w:t>defer</w:t>
      </w:r>
      <w:r w:rsidR="00CF502D">
        <w:t>.</w:t>
      </w:r>
    </w:p>
    <w:p w:rsidR="00CC2514" w:rsidRPr="00CF502D" w:rsidRDefault="00CC2514" w:rsidP="00CF502D">
      <w:pPr>
        <w:pStyle w:val="Heading1"/>
      </w:pPr>
      <w:bookmarkStart w:id="17" w:name="_Toc412718482"/>
      <w:bookmarkStart w:id="18" w:name="_Toc11822310"/>
      <w:r w:rsidRPr="00CF502D">
        <w:t>Payment of compensation</w:t>
      </w:r>
      <w:bookmarkEnd w:id="17"/>
      <w:bookmarkEnd w:id="18"/>
    </w:p>
    <w:p w:rsidR="00023FD1" w:rsidRPr="00CF502D" w:rsidRDefault="00023FD1" w:rsidP="00592C6E">
      <w:pPr>
        <w:pStyle w:val="Heading2"/>
        <w:spacing w:before="240"/>
      </w:pPr>
      <w:bookmarkStart w:id="19" w:name="_Toc11822311"/>
      <w:r w:rsidRPr="00CF502D">
        <w:t xml:space="preserve">Accept </w:t>
      </w:r>
      <w:r w:rsidRPr="008A2B48">
        <w:t>Liability</w:t>
      </w:r>
      <w:bookmarkEnd w:id="19"/>
    </w:p>
    <w:p w:rsidR="000E4A98" w:rsidRPr="00CF502D" w:rsidRDefault="00CC2514" w:rsidP="000E4A98">
      <w:r w:rsidRPr="00CF502D">
        <w:t>If the insurer accepts liability for the worker’s claim, then weekly (periodical) payments of compensation must be made by the employer commencing within 3 working days of the decision to accept the claim.  Payments should continue to be made on usual paydays, in accordance with medical certificates.</w:t>
      </w:r>
      <w:r w:rsidR="000E4A98" w:rsidRPr="00CF502D">
        <w:t xml:space="preserve"> </w:t>
      </w:r>
    </w:p>
    <w:p w:rsidR="000E4A98" w:rsidRPr="00CF502D" w:rsidRDefault="000E4A98" w:rsidP="000E4A98">
      <w:r w:rsidRPr="00CF502D">
        <w:t>Weekly or periodic compensation payments for incapacity for work are based on the injured worker’s normal weekly earnings (NWE) immediately before the date of entitlement to compensation.</w:t>
      </w:r>
    </w:p>
    <w:p w:rsidR="000E4A98" w:rsidRPr="00CF502D" w:rsidRDefault="00E56308" w:rsidP="000E4A98">
      <w:pPr>
        <w:spacing w:before="100" w:beforeAutospacing="1" w:after="0"/>
      </w:pPr>
      <w:r>
        <w:t>A</w:t>
      </w:r>
      <w:r w:rsidR="000E4A98" w:rsidRPr="00CF502D">
        <w:t xml:space="preserve"> worker is entitled to receive their </w:t>
      </w:r>
      <w:r w:rsidR="000E4A98" w:rsidRPr="00CF502D">
        <w:rPr>
          <w:b/>
        </w:rPr>
        <w:t>normal weekly earnings</w:t>
      </w:r>
      <w:r w:rsidR="000E4A98" w:rsidRPr="00CF502D">
        <w:t xml:space="preserve"> (NWE) for an aggregate of twenty-six (26) weeks of total or partial incapacity</w:t>
      </w:r>
      <w:r w:rsidR="00D23D8F">
        <w:t>.  The 26 weeks is calculated for those weeks the worker suffered actual economic loss, not from the date of injury.</w:t>
      </w:r>
    </w:p>
    <w:p w:rsidR="00023FD1" w:rsidRPr="00023FD1" w:rsidRDefault="00023FD1" w:rsidP="00592C6E">
      <w:pPr>
        <w:pStyle w:val="Heading2"/>
        <w:spacing w:after="120"/>
      </w:pPr>
      <w:bookmarkStart w:id="20" w:name="_Toc421622209"/>
      <w:bookmarkStart w:id="21" w:name="_Toc11822312"/>
      <w:r w:rsidRPr="00023FD1">
        <w:lastRenderedPageBreak/>
        <w:t>Defer liability</w:t>
      </w:r>
      <w:bookmarkEnd w:id="20"/>
      <w:bookmarkEnd w:id="21"/>
    </w:p>
    <w:p w:rsidR="00C7787E" w:rsidRPr="00CF502D" w:rsidRDefault="003647AE" w:rsidP="00592C6E">
      <w:pPr>
        <w:rPr>
          <w:strike/>
        </w:rPr>
      </w:pPr>
      <w:r w:rsidRPr="00CF502D">
        <w:t xml:space="preserve">If the insurer defers liability, </w:t>
      </w:r>
      <w:r w:rsidR="002D5C51">
        <w:t xml:space="preserve">any </w:t>
      </w:r>
      <w:r w:rsidRPr="00CF502D">
        <w:t xml:space="preserve">compensation </w:t>
      </w:r>
      <w:r w:rsidR="002D5C51">
        <w:t xml:space="preserve">payments </w:t>
      </w:r>
      <w:r w:rsidRPr="00CF502D">
        <w:t>must be made by the employer</w:t>
      </w:r>
      <w:r w:rsidR="002D5C51">
        <w:t xml:space="preserve"> for up to 56 days</w:t>
      </w:r>
      <w:r w:rsidRPr="00CF502D">
        <w:t xml:space="preserve"> commencing within 3 working days of th</w:t>
      </w:r>
      <w:r w:rsidR="002D5C51">
        <w:t>e</w:t>
      </w:r>
      <w:r w:rsidRPr="00CF502D">
        <w:t xml:space="preserve"> decision</w:t>
      </w:r>
      <w:r w:rsidR="002D5C51">
        <w:t xml:space="preserve"> to defer</w:t>
      </w:r>
      <w:r w:rsidRPr="00CF502D">
        <w:t xml:space="preserve">. </w:t>
      </w:r>
    </w:p>
    <w:p w:rsidR="00E56308" w:rsidRDefault="002D5C51" w:rsidP="00592C6E">
      <w:r>
        <w:t>During this time the insurer can</w:t>
      </w:r>
      <w:r w:rsidR="00E56308">
        <w:t xml:space="preserve"> obtain further information</w:t>
      </w:r>
      <w:r>
        <w:t xml:space="preserve"> to assist in making a final decision</w:t>
      </w:r>
      <w:r w:rsidR="00E56308">
        <w:t xml:space="preserve">, however the final decision to accept or dispute the claim </w:t>
      </w:r>
      <w:r>
        <w:t xml:space="preserve">must be made </w:t>
      </w:r>
      <w:r w:rsidR="00E56308">
        <w:t xml:space="preserve">before </w:t>
      </w:r>
      <w:r>
        <w:t xml:space="preserve">the </w:t>
      </w:r>
      <w:r w:rsidR="00E56308">
        <w:t xml:space="preserve">56 days have expired from the date </w:t>
      </w:r>
      <w:r>
        <w:t>the claim was deferred.</w:t>
      </w:r>
      <w:r w:rsidR="00E56308">
        <w:t xml:space="preserve"> </w:t>
      </w:r>
    </w:p>
    <w:p w:rsidR="00592C6E" w:rsidRDefault="00E56308" w:rsidP="00592C6E">
      <w:r>
        <w:t xml:space="preserve">During the period of the deferral the worker is entitled to </w:t>
      </w:r>
      <w:r w:rsidRPr="00CF502D">
        <w:t xml:space="preserve">weekly payments </w:t>
      </w:r>
      <w:r>
        <w:t xml:space="preserve">of compensation as well as reasonable medical and rehabilitation expenses. </w:t>
      </w:r>
      <w:r w:rsidR="00D3032F">
        <w:t xml:space="preserve">There is no obligation to cover the cost of </w:t>
      </w:r>
      <w:r w:rsidR="00592C6E">
        <w:t>hospitalisation (including surgery) and interstate travel.</w:t>
      </w:r>
    </w:p>
    <w:p w:rsidR="00954EE2" w:rsidRPr="00CF502D" w:rsidRDefault="00D23D8F" w:rsidP="00592C6E">
      <w:pPr>
        <w:pStyle w:val="Heading2"/>
        <w:spacing w:after="120"/>
      </w:pPr>
      <w:bookmarkStart w:id="22" w:name="_Toc11822313"/>
      <w:r>
        <w:t>Dispute</w:t>
      </w:r>
      <w:r w:rsidR="00954EE2" w:rsidRPr="00CF502D">
        <w:t xml:space="preserve"> liability</w:t>
      </w:r>
      <w:bookmarkEnd w:id="22"/>
    </w:p>
    <w:p w:rsidR="00CC2514" w:rsidRPr="00CF502D" w:rsidRDefault="00CC2514" w:rsidP="00C144FD">
      <w:r w:rsidRPr="00CF502D">
        <w:t xml:space="preserve">If the claim is </w:t>
      </w:r>
      <w:r w:rsidR="00D23D8F">
        <w:t>disputed</w:t>
      </w:r>
      <w:r w:rsidRPr="00CF502D">
        <w:t xml:space="preserve"> </w:t>
      </w:r>
      <w:r w:rsidR="00954EE2" w:rsidRPr="00CF502D">
        <w:t xml:space="preserve">after having been originally deferred, </w:t>
      </w:r>
      <w:r w:rsidR="00A03AAD">
        <w:t xml:space="preserve">all weekly </w:t>
      </w:r>
      <w:r w:rsidRPr="00CF502D">
        <w:t>payment</w:t>
      </w:r>
      <w:r w:rsidR="00A03AAD">
        <w:t>s and expenses</w:t>
      </w:r>
      <w:r w:rsidRPr="00CF502D">
        <w:t xml:space="preserve"> </w:t>
      </w:r>
      <w:r w:rsidR="00A03AAD">
        <w:t xml:space="preserve">made on the claim </w:t>
      </w:r>
      <w:r w:rsidRPr="00CF502D">
        <w:t>will cease</w:t>
      </w:r>
      <w:r w:rsidR="00A03AAD">
        <w:t xml:space="preserve"> from the date the formal notice is posted to the worker. </w:t>
      </w:r>
      <w:r w:rsidR="00D23D8F">
        <w:t>Payments made on a deferred claim are</w:t>
      </w:r>
      <w:r w:rsidRPr="00CF502D">
        <w:t xml:space="preserve"> not recoverable from the injured worker</w:t>
      </w:r>
      <w:r w:rsidR="00A93A1E" w:rsidRPr="00CF502D">
        <w:t>.</w:t>
      </w:r>
    </w:p>
    <w:p w:rsidR="00300327" w:rsidRPr="00CF502D" w:rsidRDefault="00300327" w:rsidP="00592C6E">
      <w:pPr>
        <w:pStyle w:val="Heading2"/>
        <w:spacing w:after="120"/>
        <w:rPr>
          <w:lang w:val="en-US"/>
        </w:rPr>
      </w:pPr>
      <w:bookmarkStart w:id="23" w:name="_Toc11822314"/>
      <w:r w:rsidRPr="00CF502D">
        <w:rPr>
          <w:lang w:val="en-US"/>
        </w:rPr>
        <w:t>Deeming of liability</w:t>
      </w:r>
      <w:bookmarkEnd w:id="23"/>
    </w:p>
    <w:p w:rsidR="00C302F5" w:rsidRDefault="00D3032F" w:rsidP="00E64CCD">
      <w:pPr>
        <w:rPr>
          <w:lang w:val="en-US"/>
        </w:rPr>
      </w:pPr>
      <w:r>
        <w:rPr>
          <w:lang w:val="en-US"/>
        </w:rPr>
        <w:t xml:space="preserve">If a decision on the claim is not made within 10 working days from when the claim was made, liability is deemed accepted. </w:t>
      </w:r>
    </w:p>
    <w:p w:rsidR="00C302F5" w:rsidRDefault="00C302F5" w:rsidP="00E64CCD">
      <w:pPr>
        <w:rPr>
          <w:rFonts w:cs="Arial"/>
          <w:lang w:val="en-US"/>
        </w:rPr>
      </w:pPr>
      <w:r>
        <w:rPr>
          <w:rFonts w:cs="Arial"/>
          <w:lang w:val="en-US"/>
        </w:rPr>
        <w:t>Similarly i</w:t>
      </w:r>
      <w:r w:rsidR="00B0784E">
        <w:rPr>
          <w:rFonts w:cs="Arial"/>
          <w:lang w:val="en-US"/>
        </w:rPr>
        <w:t>f</w:t>
      </w:r>
      <w:r>
        <w:rPr>
          <w:rFonts w:cs="Arial"/>
          <w:lang w:val="en-US"/>
        </w:rPr>
        <w:t xml:space="preserve"> a claim was deferred</w:t>
      </w:r>
      <w:r w:rsidR="0021701E">
        <w:rPr>
          <w:rFonts w:cs="Arial"/>
          <w:lang w:val="en-US"/>
        </w:rPr>
        <w:t>,</w:t>
      </w:r>
      <w:r>
        <w:rPr>
          <w:rFonts w:cs="Arial"/>
          <w:lang w:val="en-US"/>
        </w:rPr>
        <w:t xml:space="preserve"> liability is deemed accepted if a final decision is not made within the 56 day from the decision to defer.</w:t>
      </w:r>
    </w:p>
    <w:p w:rsidR="00300327" w:rsidRDefault="00D3032F" w:rsidP="00E64CCD">
      <w:pPr>
        <w:rPr>
          <w:rFonts w:cs="Arial"/>
          <w:lang w:val="en-US"/>
        </w:rPr>
      </w:pPr>
      <w:r>
        <w:rPr>
          <w:rFonts w:cs="Arial"/>
          <w:lang w:val="en-US"/>
        </w:rPr>
        <w:t xml:space="preserve">Once </w:t>
      </w:r>
      <w:r w:rsidR="00300327" w:rsidRPr="00CF502D">
        <w:rPr>
          <w:rFonts w:cs="Arial"/>
          <w:lang w:val="en-US"/>
        </w:rPr>
        <w:t>payments for a deemed claim commence, the insurer</w:t>
      </w:r>
      <w:r>
        <w:rPr>
          <w:rFonts w:cs="Arial"/>
          <w:lang w:val="en-US"/>
        </w:rPr>
        <w:t xml:space="preserve"> still has the opportunity to decide </w:t>
      </w:r>
      <w:r w:rsidR="00826AE2">
        <w:rPr>
          <w:rFonts w:cs="Arial"/>
          <w:lang w:val="en-US"/>
        </w:rPr>
        <w:t>to make a decision on the claim</w:t>
      </w:r>
      <w:r>
        <w:rPr>
          <w:rFonts w:cs="Arial"/>
          <w:lang w:val="en-US"/>
        </w:rPr>
        <w:t xml:space="preserve">.  However this decision must be made </w:t>
      </w:r>
      <w:r w:rsidR="00300327" w:rsidRPr="00CF502D">
        <w:rPr>
          <w:rFonts w:cs="Arial"/>
          <w:lang w:val="en-US"/>
        </w:rPr>
        <w:t>within 1</w:t>
      </w:r>
      <w:r>
        <w:rPr>
          <w:rFonts w:cs="Arial"/>
          <w:lang w:val="en-US"/>
        </w:rPr>
        <w:t>4</w:t>
      </w:r>
      <w:r w:rsidR="00300327" w:rsidRPr="00CF502D">
        <w:rPr>
          <w:rFonts w:cs="Arial"/>
          <w:lang w:val="en-US"/>
        </w:rPr>
        <w:t xml:space="preserve"> days</w:t>
      </w:r>
      <w:r>
        <w:rPr>
          <w:rFonts w:cs="Arial"/>
          <w:lang w:val="en-US"/>
        </w:rPr>
        <w:t xml:space="preserve"> of payments commencing otherwise </w:t>
      </w:r>
      <w:r w:rsidR="00300327" w:rsidRPr="00CF502D">
        <w:rPr>
          <w:rFonts w:cs="Arial"/>
          <w:lang w:val="en-US"/>
        </w:rPr>
        <w:t xml:space="preserve">the claim </w:t>
      </w:r>
      <w:r>
        <w:rPr>
          <w:rFonts w:cs="Arial"/>
          <w:lang w:val="en-US"/>
        </w:rPr>
        <w:t xml:space="preserve">will be </w:t>
      </w:r>
      <w:r w:rsidR="00300327" w:rsidRPr="00CF502D">
        <w:rPr>
          <w:rFonts w:cs="Arial"/>
          <w:lang w:val="en-US"/>
        </w:rPr>
        <w:t>considered accepted.</w:t>
      </w:r>
      <w:bookmarkStart w:id="24" w:name="_GoBack"/>
      <w:bookmarkEnd w:id="24"/>
    </w:p>
    <w:p w:rsidR="00CC2514" w:rsidRDefault="00CC2514" w:rsidP="00592C6E">
      <w:pPr>
        <w:pStyle w:val="Heading1"/>
        <w:spacing w:after="120"/>
      </w:pPr>
      <w:bookmarkStart w:id="25" w:name="_Toc11822315"/>
      <w:r>
        <w:t>Interest for late compensation payments</w:t>
      </w:r>
      <w:bookmarkEnd w:id="25"/>
    </w:p>
    <w:p w:rsidR="00CC2514" w:rsidRPr="00C9005E" w:rsidRDefault="00CC2514" w:rsidP="00685C79">
      <w:r>
        <w:t>It is important workers compensation payments are made to workers by the due date (normal pay days). Workers compensation payments made more than 7 days after the end of the week in which the pay was due will result in payment of interest to the worker. In addition the legislation provides for a substantial penalty for an employer who does not pay on time.</w:t>
      </w:r>
    </w:p>
    <w:p w:rsidR="00CC2514" w:rsidRPr="00FA12E3" w:rsidRDefault="00CC2514" w:rsidP="00685C79">
      <w:pPr>
        <w:rPr>
          <w:b/>
        </w:rPr>
      </w:pPr>
      <w:r w:rsidRPr="00FA12E3">
        <w:rPr>
          <w:b/>
        </w:rPr>
        <w:t xml:space="preserve">The following is a brief explanation of what is included in the </w:t>
      </w:r>
      <w:r w:rsidRPr="00DC4CA0">
        <w:rPr>
          <w:b/>
        </w:rPr>
        <w:t xml:space="preserve">calculation of </w:t>
      </w:r>
      <w:r w:rsidR="00B0784E" w:rsidRPr="00DC4CA0">
        <w:rPr>
          <w:b/>
        </w:rPr>
        <w:t>N</w:t>
      </w:r>
      <w:r w:rsidR="00C302F5" w:rsidRPr="00DC4CA0">
        <w:rPr>
          <w:b/>
        </w:rPr>
        <w:t xml:space="preserve">ormal </w:t>
      </w:r>
      <w:r w:rsidR="00B0784E" w:rsidRPr="00DC4CA0">
        <w:rPr>
          <w:b/>
        </w:rPr>
        <w:t>W</w:t>
      </w:r>
      <w:r w:rsidR="00C302F5" w:rsidRPr="00DC4CA0">
        <w:rPr>
          <w:b/>
        </w:rPr>
        <w:t xml:space="preserve">eekly </w:t>
      </w:r>
      <w:r w:rsidR="00B0784E" w:rsidRPr="00DC4CA0">
        <w:rPr>
          <w:b/>
        </w:rPr>
        <w:t>E</w:t>
      </w:r>
      <w:r w:rsidR="00C302F5" w:rsidRPr="00DC4CA0">
        <w:rPr>
          <w:b/>
        </w:rPr>
        <w:t>arnings (NWE)</w:t>
      </w:r>
      <w:r w:rsidRPr="00DC4CA0">
        <w:rPr>
          <w:b/>
        </w:rPr>
        <w:t xml:space="preserve">. </w:t>
      </w:r>
      <w:r w:rsidRPr="00FA12E3">
        <w:rPr>
          <w:b/>
        </w:rPr>
        <w:t>However the insurer will assist in calculating the worker’s entitlement.</w:t>
      </w:r>
    </w:p>
    <w:p w:rsidR="00CC2514" w:rsidRDefault="00CC2514" w:rsidP="00685C79">
      <w:r w:rsidRPr="00837AB3">
        <w:t xml:space="preserve">NWE are </w:t>
      </w:r>
      <w:r w:rsidR="00C302F5">
        <w:t xml:space="preserve">based on </w:t>
      </w:r>
      <w:r w:rsidRPr="00837AB3">
        <w:t>a worker’s normal number of hours per week, at their normal hourly rate. NWE also includes:</w:t>
      </w:r>
    </w:p>
    <w:p w:rsidR="00CC2514" w:rsidRPr="00837AB3" w:rsidRDefault="00CC2514" w:rsidP="00685C79">
      <w:pPr>
        <w:pStyle w:val="orangebulletlist"/>
      </w:pPr>
      <w:r w:rsidRPr="00837AB3">
        <w:t xml:space="preserve">overtime where the overtime was worked in a </w:t>
      </w:r>
      <w:r>
        <w:t>regular and established pattern</w:t>
      </w:r>
      <w:r w:rsidRPr="00837AB3">
        <w:t xml:space="preserve"> </w:t>
      </w:r>
    </w:p>
    <w:p w:rsidR="00CC2514" w:rsidRPr="00837AB3" w:rsidRDefault="00CC2514" w:rsidP="00685C79">
      <w:pPr>
        <w:pStyle w:val="orangebulletlist"/>
      </w:pPr>
      <w:r w:rsidRPr="00837AB3">
        <w:t xml:space="preserve">shift </w:t>
      </w:r>
      <w:r>
        <w:t>allowance</w:t>
      </w:r>
      <w:r w:rsidRPr="00837AB3">
        <w:t xml:space="preserve"> where worked in a </w:t>
      </w:r>
      <w:r>
        <w:t>regular and established pattern</w:t>
      </w:r>
      <w:r w:rsidRPr="00837AB3">
        <w:t xml:space="preserve"> </w:t>
      </w:r>
    </w:p>
    <w:p w:rsidR="00CC2514" w:rsidRPr="00837AB3" w:rsidRDefault="00CC2514" w:rsidP="00685C79">
      <w:pPr>
        <w:pStyle w:val="orangebulletlist"/>
      </w:pPr>
      <w:r>
        <w:t>over award payments</w:t>
      </w:r>
    </w:p>
    <w:p w:rsidR="00CC2514" w:rsidRPr="00837AB3" w:rsidRDefault="00CC2514" w:rsidP="00685C79">
      <w:pPr>
        <w:pStyle w:val="orangebulletlist"/>
      </w:pPr>
      <w:r>
        <w:t>climate allowance</w:t>
      </w:r>
      <w:r w:rsidRPr="00837AB3">
        <w:t xml:space="preserve"> </w:t>
      </w:r>
    </w:p>
    <w:p w:rsidR="00CC2514" w:rsidRPr="00837AB3" w:rsidRDefault="00CC2514" w:rsidP="00685C79">
      <w:pPr>
        <w:pStyle w:val="orangebulletlist"/>
      </w:pPr>
      <w:r>
        <w:t>district allowance</w:t>
      </w:r>
      <w:r w:rsidRPr="00837AB3">
        <w:t xml:space="preserve"> </w:t>
      </w:r>
    </w:p>
    <w:p w:rsidR="00CC2514" w:rsidRPr="00837AB3" w:rsidRDefault="00CC2514" w:rsidP="00685C79">
      <w:pPr>
        <w:pStyle w:val="orangebulletlist"/>
      </w:pPr>
      <w:r>
        <w:t>leading hand allowance</w:t>
      </w:r>
      <w:r w:rsidRPr="00837AB3">
        <w:t xml:space="preserve"> </w:t>
      </w:r>
    </w:p>
    <w:p w:rsidR="00CC2514" w:rsidRPr="00837AB3" w:rsidRDefault="00D23D8F" w:rsidP="00685C79">
      <w:pPr>
        <w:pStyle w:val="orangebulletlist"/>
      </w:pPr>
      <w:r>
        <w:t>qualification allowance</w:t>
      </w:r>
    </w:p>
    <w:p w:rsidR="00CC2514" w:rsidRPr="00837AB3" w:rsidRDefault="00CC2514" w:rsidP="00172CBB">
      <w:pPr>
        <w:pStyle w:val="orangebulletlist"/>
        <w:spacing w:after="360"/>
      </w:pPr>
      <w:r w:rsidRPr="00172CBB">
        <w:t>service</w:t>
      </w:r>
      <w:r w:rsidR="00D23D8F">
        <w:t xml:space="preserve"> grant</w:t>
      </w:r>
    </w:p>
    <w:p w:rsidR="00CC2514" w:rsidRDefault="00CC2514" w:rsidP="00685C79">
      <w:r w:rsidRPr="00837AB3">
        <w:lastRenderedPageBreak/>
        <w:t>But does not include any other allowance</w:t>
      </w:r>
      <w:r>
        <w:t>.</w:t>
      </w:r>
    </w:p>
    <w:p w:rsidR="00C03E71" w:rsidRDefault="00CC2514" w:rsidP="00685C79">
      <w:r w:rsidRPr="00837AB3">
        <w:t xml:space="preserve">Benefits </w:t>
      </w:r>
      <w:r>
        <w:t>allowed in a form other than an amount of money paid or credited</w:t>
      </w:r>
      <w:r w:rsidRPr="00837AB3">
        <w:t xml:space="preserve"> for </w:t>
      </w:r>
      <w:r>
        <w:t>meals, accommodation or </w:t>
      </w:r>
      <w:r w:rsidRPr="00837AB3">
        <w:t>electricity, may also form part of NWE and s</w:t>
      </w:r>
      <w:r w:rsidR="00685C79">
        <w:t>hould be advised to the </w:t>
      </w:r>
      <w:r>
        <w:t>insurer</w:t>
      </w:r>
      <w:r w:rsidR="008F57D6">
        <w:t>.</w:t>
      </w:r>
    </w:p>
    <w:p w:rsidR="00CC2514" w:rsidRPr="00CF502D" w:rsidRDefault="00CC2514" w:rsidP="00CF502D">
      <w:pPr>
        <w:pStyle w:val="Heading1"/>
      </w:pPr>
      <w:bookmarkStart w:id="26" w:name="_Toc412718483"/>
      <w:bookmarkStart w:id="27" w:name="_Toc11822316"/>
      <w:r w:rsidRPr="00CF502D">
        <w:t>Employer contributions to superannuation</w:t>
      </w:r>
      <w:bookmarkEnd w:id="26"/>
      <w:bookmarkEnd w:id="27"/>
      <w:r w:rsidRPr="00CF502D">
        <w:t xml:space="preserve"> </w:t>
      </w:r>
    </w:p>
    <w:p w:rsidR="00CC2514" w:rsidRPr="00CF502D" w:rsidRDefault="00CC2514" w:rsidP="00E64CCD">
      <w:r w:rsidRPr="00CF502D">
        <w:t xml:space="preserve">Employer contributions to superannuation are </w:t>
      </w:r>
      <w:r w:rsidR="00685C79" w:rsidRPr="00CF502D">
        <w:rPr>
          <w:b/>
        </w:rPr>
        <w:t>not</w:t>
      </w:r>
      <w:r w:rsidRPr="00CF502D">
        <w:t xml:space="preserve"> included in the calculation of normal weekly earnings </w:t>
      </w:r>
      <w:r w:rsidR="00C302F5">
        <w:t>for compensation purposes (</w:t>
      </w:r>
      <w:r w:rsidR="003C26A0" w:rsidRPr="00CF502D">
        <w:t xml:space="preserve">Section 49A of </w:t>
      </w:r>
      <w:r w:rsidRPr="00CF502D">
        <w:t xml:space="preserve">the Northern Territory </w:t>
      </w:r>
      <w:r w:rsidRPr="00CF502D">
        <w:rPr>
          <w:rFonts w:cs="Arial"/>
          <w:i/>
        </w:rPr>
        <w:t>Return to Work Act</w:t>
      </w:r>
      <w:r w:rsidR="00C302F5">
        <w:rPr>
          <w:rFonts w:cs="Arial"/>
          <w:i/>
        </w:rPr>
        <w:t>)</w:t>
      </w:r>
      <w:r w:rsidRPr="00CF502D">
        <w:rPr>
          <w:rFonts w:cs="Arial"/>
          <w:i/>
        </w:rPr>
        <w:t>.</w:t>
      </w:r>
    </w:p>
    <w:p w:rsidR="00CC2514" w:rsidRDefault="00CC2514" w:rsidP="00E64CCD">
      <w:pPr>
        <w:pStyle w:val="Heading1"/>
        <w:spacing w:before="360"/>
      </w:pPr>
      <w:bookmarkStart w:id="28" w:name="_Toc412718484"/>
      <w:bookmarkStart w:id="29" w:name="_Toc11822317"/>
      <w:r w:rsidRPr="00685C79">
        <w:t>Return to Work</w:t>
      </w:r>
      <w:bookmarkEnd w:id="28"/>
      <w:bookmarkEnd w:id="29"/>
    </w:p>
    <w:p w:rsidR="00D23D8F" w:rsidRPr="00D23D8F" w:rsidRDefault="00D23D8F" w:rsidP="00D23D8F">
      <w:r>
        <w:t>The employer must:</w:t>
      </w:r>
    </w:p>
    <w:p w:rsidR="00CC2514" w:rsidRDefault="00CC2514" w:rsidP="00685C79">
      <w:pPr>
        <w:pStyle w:val="orangebulletlist"/>
      </w:pPr>
      <w:r w:rsidRPr="00837AB3">
        <w:t>take all reasonable steps to provide the injured w</w:t>
      </w:r>
      <w:r>
        <w:t>orker with suitable employment</w:t>
      </w:r>
    </w:p>
    <w:p w:rsidR="005A5B68" w:rsidRPr="00CF502D" w:rsidRDefault="00592C6E" w:rsidP="005A5B68">
      <w:pPr>
        <w:pStyle w:val="orangebulletlist"/>
      </w:pPr>
      <w:r>
        <w:t>give a proposal in writing for</w:t>
      </w:r>
      <w:r w:rsidR="005A5B68" w:rsidRPr="00CF502D">
        <w:t xml:space="preserve"> a return to work plan, developed and agreed between the employer and worker for any injury that involves </w:t>
      </w:r>
      <w:r w:rsidR="00D23D8F">
        <w:t>incapacity of more than 28 days</w:t>
      </w:r>
    </w:p>
    <w:p w:rsidR="00CC2514" w:rsidRPr="00837AB3" w:rsidRDefault="00CC2514" w:rsidP="00685C79">
      <w:pPr>
        <w:pStyle w:val="orangebulletlist"/>
      </w:pPr>
      <w:r w:rsidRPr="00837AB3">
        <w:t>as far as practicable, participate in effort</w:t>
      </w:r>
      <w:r>
        <w:t>s to retrain the injured worker</w:t>
      </w:r>
      <w:r w:rsidRPr="00837AB3">
        <w:t xml:space="preserve"> </w:t>
      </w:r>
    </w:p>
    <w:p w:rsidR="00CC2514" w:rsidRDefault="00CC2514" w:rsidP="00592C6E">
      <w:pPr>
        <w:pStyle w:val="orangebulletlist"/>
        <w:spacing w:after="240"/>
      </w:pPr>
      <w:r w:rsidRPr="00837AB3">
        <w:t>assist the injured worker wit</w:t>
      </w:r>
      <w:r w:rsidR="00D23D8F">
        <w:t>h their rehabilitation program</w:t>
      </w:r>
    </w:p>
    <w:p w:rsidR="00E40C8C" w:rsidRPr="00CF502D" w:rsidRDefault="00662E30" w:rsidP="008A2B48">
      <w:r w:rsidRPr="00CF502D">
        <w:t xml:space="preserve">If the worker is unable to return to their normal job, the employer should determine if there is another job or a combination of jobs that the worker might be able to do.  This might involve getting an </w:t>
      </w:r>
      <w:r w:rsidR="00D23D8F">
        <w:t>NT WorkSafe approved</w:t>
      </w:r>
      <w:r w:rsidRPr="00CF502D">
        <w:t xml:space="preserve"> vocational rehabilitation provider to assess the suitability of the duties, and make recommendations regarding ergonomics and workstations etc.</w:t>
      </w:r>
    </w:p>
    <w:p w:rsidR="00C13E88" w:rsidRDefault="00C13E88" w:rsidP="008A2B48">
      <w:pPr>
        <w:spacing w:after="480"/>
        <w:rPr>
          <w:rFonts w:eastAsia="Times New Roman" w:cs="Arial"/>
          <w:lang w:val="en-US" w:eastAsia="en-AU"/>
        </w:rPr>
      </w:pPr>
      <w:r w:rsidRPr="00CF502D">
        <w:rPr>
          <w:rFonts w:eastAsia="Times New Roman" w:cs="Arial"/>
          <w:lang w:val="en-US" w:eastAsia="en-AU"/>
        </w:rPr>
        <w:t xml:space="preserve">An employer </w:t>
      </w:r>
      <w:r w:rsidR="00C302F5">
        <w:rPr>
          <w:rFonts w:eastAsia="Times New Roman" w:cs="Arial"/>
          <w:lang w:val="en-US" w:eastAsia="en-AU"/>
        </w:rPr>
        <w:t>cannot</w:t>
      </w:r>
      <w:r w:rsidR="00DC4CA0">
        <w:rPr>
          <w:rFonts w:eastAsia="Times New Roman" w:cs="Arial"/>
          <w:lang w:val="en-US" w:eastAsia="en-AU"/>
        </w:rPr>
        <w:t xml:space="preserve"> </w:t>
      </w:r>
      <w:r w:rsidRPr="00CF502D">
        <w:rPr>
          <w:rFonts w:eastAsia="Times New Roman" w:cs="Arial"/>
          <w:lang w:val="en-US" w:eastAsia="en-AU"/>
        </w:rPr>
        <w:t>dismiss a worker for a period of 6 months following the date of injury unless during that period the worker ceases to be totally or partially incapacitated because of the injury.</w:t>
      </w:r>
      <w:r w:rsidR="000A3451" w:rsidRPr="00CF502D">
        <w:rPr>
          <w:rFonts w:eastAsia="Times New Roman" w:cs="Arial"/>
          <w:lang w:val="en-US" w:eastAsia="en-AU"/>
        </w:rPr>
        <w:t xml:space="preserve"> </w:t>
      </w:r>
      <w:r w:rsidRPr="00CF502D">
        <w:rPr>
          <w:rFonts w:eastAsia="Times New Roman" w:cs="Arial"/>
          <w:lang w:val="en-US" w:eastAsia="en-AU"/>
        </w:rPr>
        <w:t xml:space="preserve">This </w:t>
      </w:r>
      <w:r w:rsidR="00D23D8F">
        <w:rPr>
          <w:rFonts w:eastAsia="Times New Roman" w:cs="Arial"/>
          <w:lang w:val="en-US" w:eastAsia="en-AU"/>
        </w:rPr>
        <w:t>does not</w:t>
      </w:r>
      <w:r w:rsidRPr="00CF502D">
        <w:rPr>
          <w:rFonts w:eastAsia="Times New Roman" w:cs="Arial"/>
          <w:lang w:val="en-US" w:eastAsia="en-AU"/>
        </w:rPr>
        <w:t xml:space="preserve"> apply if the employer proves the worker was dismissed on the grounds of serious and </w:t>
      </w:r>
      <w:r w:rsidR="004B4C77" w:rsidRPr="00CF502D">
        <w:rPr>
          <w:rFonts w:eastAsia="Times New Roman" w:cs="Arial"/>
          <w:lang w:val="en-US" w:eastAsia="en-AU"/>
        </w:rPr>
        <w:t>willful</w:t>
      </w:r>
      <w:r w:rsidRPr="00CF502D">
        <w:rPr>
          <w:rFonts w:eastAsia="Times New Roman" w:cs="Arial"/>
          <w:lang w:val="en-US" w:eastAsia="en-AU"/>
        </w:rPr>
        <w:t xml:space="preserve"> misconduct.</w:t>
      </w:r>
    </w:p>
    <w:p w:rsidR="00684F06" w:rsidRDefault="00684F06" w:rsidP="00684F06">
      <w:pPr>
        <w:pStyle w:val="Heading2"/>
      </w:pPr>
      <w:bookmarkStart w:id="30" w:name="_Toc11822318"/>
      <w:r>
        <w:t>Returning to work – guide for employers video</w:t>
      </w:r>
      <w:bookmarkEnd w:id="30"/>
    </w:p>
    <w:p w:rsidR="00684F06" w:rsidRDefault="00684F06" w:rsidP="00684F06">
      <w:pPr>
        <w:rPr>
          <w:rStyle w:val="Hyperlink"/>
        </w:rPr>
      </w:pPr>
      <w:r>
        <w:t xml:space="preserve">This short video will assist you getting your injured worker back to work, and explain what to do and what help is available - </w:t>
      </w:r>
      <w:hyperlink r:id="rId25" w:history="1">
        <w:r w:rsidRPr="00412BE8">
          <w:rPr>
            <w:rStyle w:val="Hyperlink"/>
          </w:rPr>
          <w:t>https://www.youtube.com/watch?v=o1A3hM0K9eA</w:t>
        </w:r>
      </w:hyperlink>
    </w:p>
    <w:p w:rsidR="00CC2514" w:rsidRPr="008A2B48" w:rsidRDefault="00CC2514" w:rsidP="00DC4CA0">
      <w:pPr>
        <w:shd w:val="clear" w:color="auto" w:fill="FABF8F" w:themeFill="accent6" w:themeFillTint="99"/>
        <w:spacing w:before="360" w:after="360"/>
        <w:ind w:left="567" w:right="1276"/>
        <w:rPr>
          <w:b/>
          <w:sz w:val="32"/>
          <w:szCs w:val="32"/>
        </w:rPr>
      </w:pPr>
      <w:bookmarkStart w:id="31" w:name="_Toc412718485"/>
      <w:r w:rsidRPr="008A2B48">
        <w:rPr>
          <w:b/>
          <w:sz w:val="32"/>
          <w:szCs w:val="32"/>
        </w:rPr>
        <w:t xml:space="preserve">The insurer, employer and injured worker all have obligations in the </w:t>
      </w:r>
      <w:r w:rsidR="00C302F5">
        <w:rPr>
          <w:b/>
          <w:sz w:val="32"/>
          <w:szCs w:val="32"/>
        </w:rPr>
        <w:t>return to work</w:t>
      </w:r>
      <w:r w:rsidRPr="008A2B48">
        <w:rPr>
          <w:b/>
          <w:sz w:val="32"/>
          <w:szCs w:val="32"/>
        </w:rPr>
        <w:t xml:space="preserve"> process</w:t>
      </w:r>
      <w:bookmarkEnd w:id="31"/>
    </w:p>
    <w:p w:rsidR="00CC2514" w:rsidRPr="00685C79" w:rsidRDefault="00CC2514" w:rsidP="008A2B48">
      <w:pPr>
        <w:pStyle w:val="Heading1"/>
        <w:spacing w:before="600"/>
      </w:pPr>
      <w:bookmarkStart w:id="32" w:name="_Toc412718486"/>
      <w:bookmarkStart w:id="33" w:name="_Toc11822319"/>
      <w:r w:rsidRPr="00685C79">
        <w:t>What can be expected from the employer’s insurer</w:t>
      </w:r>
      <w:bookmarkEnd w:id="32"/>
      <w:bookmarkEnd w:id="33"/>
    </w:p>
    <w:p w:rsidR="00CC2514" w:rsidRPr="00837AB3" w:rsidRDefault="00CC2514" w:rsidP="00685C79">
      <w:r w:rsidRPr="00837AB3">
        <w:t>Injured workers are to be treated with care and understanding and insurers should supply all workers who make a claim with general information about their claim.</w:t>
      </w:r>
    </w:p>
    <w:p w:rsidR="004809FA" w:rsidRDefault="00CC2514" w:rsidP="00685C79">
      <w:r w:rsidRPr="00837AB3">
        <w:t>The insurer must make an initial decision on the claim within 10 working day</w:t>
      </w:r>
      <w:r>
        <w:t>s of the employer receiving it. The </w:t>
      </w:r>
      <w:r w:rsidRPr="00837AB3">
        <w:t xml:space="preserve">insurer will manage and make all the decisions regarding the claim on behalf of the employer. </w:t>
      </w:r>
    </w:p>
    <w:p w:rsidR="00E40C8C" w:rsidRPr="00685C79" w:rsidRDefault="00E40C8C" w:rsidP="00E64CCD">
      <w:pPr>
        <w:pStyle w:val="Heading2"/>
        <w:spacing w:before="240"/>
      </w:pPr>
      <w:bookmarkStart w:id="34" w:name="_Toc412718487"/>
      <w:bookmarkStart w:id="35" w:name="_Toc11822320"/>
      <w:r w:rsidRPr="00685C79">
        <w:lastRenderedPageBreak/>
        <w:t>For Accepted Claims</w:t>
      </w:r>
      <w:bookmarkEnd w:id="34"/>
      <w:bookmarkEnd w:id="35"/>
    </w:p>
    <w:p w:rsidR="00E40C8C" w:rsidRPr="00BD1C8C" w:rsidRDefault="00E40C8C" w:rsidP="00E40C8C">
      <w:r w:rsidRPr="00BD1C8C">
        <w:t>Including but not limited to:</w:t>
      </w:r>
    </w:p>
    <w:p w:rsidR="00E40C8C" w:rsidRPr="00837AB3" w:rsidRDefault="00E40C8C" w:rsidP="00E40C8C">
      <w:pPr>
        <w:pStyle w:val="orangebulletlist"/>
      </w:pPr>
      <w:r w:rsidRPr="00837AB3">
        <w:t>an explanation of the entitlement based on normal weekly earnings, including an invitation to receive further detail on h</w:t>
      </w:r>
      <w:r>
        <w:t>ow compensation was calculated</w:t>
      </w:r>
      <w:r>
        <w:br/>
      </w:r>
      <w:r w:rsidRPr="00837AB3">
        <w:t>Workers should be informed that they may have an entitlement to be paid for the value of benefits received in l</w:t>
      </w:r>
      <w:r>
        <w:t>ieu of cash (non</w:t>
      </w:r>
      <w:r w:rsidR="00E64CCD">
        <w:t>-</w:t>
      </w:r>
      <w:r>
        <w:t>cash benefits)</w:t>
      </w:r>
    </w:p>
    <w:p w:rsidR="00E40C8C" w:rsidRPr="00837AB3" w:rsidRDefault="00E40C8C" w:rsidP="00E40C8C">
      <w:pPr>
        <w:pStyle w:val="orangebulletlist"/>
      </w:pPr>
      <w:r w:rsidRPr="00837AB3">
        <w:t>an outline of entitlements (e.</w:t>
      </w:r>
      <w:r>
        <w:t>g. reasonable medical expenses)</w:t>
      </w:r>
    </w:p>
    <w:p w:rsidR="00E40C8C" w:rsidRPr="00837AB3" w:rsidRDefault="00E40C8C" w:rsidP="00E40C8C">
      <w:pPr>
        <w:pStyle w:val="orangebulletlist"/>
      </w:pPr>
      <w:r>
        <w:t>travelling costs for treatment</w:t>
      </w:r>
    </w:p>
    <w:p w:rsidR="00E40C8C" w:rsidRPr="00837AB3" w:rsidRDefault="00E40C8C" w:rsidP="00E40C8C">
      <w:pPr>
        <w:pStyle w:val="orangebulletlist"/>
      </w:pPr>
      <w:r w:rsidRPr="00837AB3">
        <w:t>obligations in relatio</w:t>
      </w:r>
      <w:r>
        <w:t>n to the rehabilitation process</w:t>
      </w:r>
    </w:p>
    <w:p w:rsidR="00E40C8C" w:rsidRPr="00837AB3" w:rsidRDefault="00E40C8C" w:rsidP="00E40C8C">
      <w:pPr>
        <w:pStyle w:val="orangebulletlist"/>
      </w:pPr>
      <w:r w:rsidRPr="00837AB3">
        <w:t>information that if workers are unable to pay in advance for the cost of medications that they should discuss their</w:t>
      </w:r>
      <w:r>
        <w:t xml:space="preserve"> circumstances with the insurer</w:t>
      </w:r>
    </w:p>
    <w:p w:rsidR="00E40C8C" w:rsidRPr="00CF502D" w:rsidRDefault="00E40C8C" w:rsidP="00E40C8C">
      <w:pPr>
        <w:pStyle w:val="orangebulletlist"/>
      </w:pPr>
      <w:r w:rsidRPr="00837AB3">
        <w:t>reduction</w:t>
      </w:r>
      <w:r>
        <w:t xml:space="preserve"> in weekly </w:t>
      </w:r>
      <w:r w:rsidRPr="00CF502D">
        <w:t xml:space="preserve">benefits after an aggregate of 26 weeks of total or partial incapacity to 75% </w:t>
      </w:r>
      <w:r>
        <w:t>of their normal weekly earnings</w:t>
      </w:r>
    </w:p>
    <w:p w:rsidR="00DB2D3C" w:rsidRDefault="00E40C8C" w:rsidP="00E40C8C">
      <w:pPr>
        <w:pStyle w:val="orangebulletlist"/>
        <w:spacing w:after="240"/>
      </w:pPr>
      <w:proofErr w:type="gramStart"/>
      <w:r w:rsidRPr="00837AB3">
        <w:t>for</w:t>
      </w:r>
      <w:proofErr w:type="gramEnd"/>
      <w:r w:rsidRPr="00837AB3">
        <w:t xml:space="preserve"> long </w:t>
      </w:r>
      <w:r w:rsidRPr="00172CBB">
        <w:t>term</w:t>
      </w:r>
      <w:r w:rsidRPr="00837AB3">
        <w:t xml:space="preserve"> incapacity</w:t>
      </w:r>
      <w:r>
        <w:t>,</w:t>
      </w:r>
      <w:r w:rsidRPr="00837AB3">
        <w:t xml:space="preserve"> the implications of re-assessing loss of earning capacity after 104 weeks having regard to most profitable employment, whether or not such employment is available</w:t>
      </w:r>
      <w:r w:rsidR="002A179D">
        <w:t xml:space="preserve">. </w:t>
      </w:r>
      <w:r w:rsidRPr="00837AB3">
        <w:t>Information should be included that any action to reduce payments will be subjec</w:t>
      </w:r>
      <w:r>
        <w:t>t to the right of appeal</w:t>
      </w:r>
    </w:p>
    <w:p w:rsidR="00E40C8C" w:rsidRDefault="00DB2D3C" w:rsidP="00E40C8C">
      <w:pPr>
        <w:pStyle w:val="orangebulletlist"/>
        <w:spacing w:after="240"/>
      </w:pPr>
      <w:r>
        <w:t xml:space="preserve">capping of weekly benefits to 260 weeks (5 years) with medical and other treatment costs </w:t>
      </w:r>
      <w:r w:rsidR="00205517">
        <w:t>to continue for an additional 12 months before ending – this does not apply for workers with a permanent impairment of 15% or more</w:t>
      </w:r>
      <w:r>
        <w:t xml:space="preserve"> </w:t>
      </w:r>
    </w:p>
    <w:p w:rsidR="00E40C8C" w:rsidRDefault="00E40C8C" w:rsidP="00E40C8C">
      <w:r w:rsidRPr="00837AB3">
        <w:t>It is acceptable for relevant information to be provided at appropriate trigger points rather than providing u</w:t>
      </w:r>
      <w:r>
        <w:t>nnecessary information up front.</w:t>
      </w:r>
    </w:p>
    <w:p w:rsidR="00E40C8C" w:rsidRPr="00837AB3" w:rsidRDefault="00E40C8C" w:rsidP="00E40C8C">
      <w:pPr>
        <w:pStyle w:val="Heading2"/>
      </w:pPr>
      <w:bookmarkStart w:id="36" w:name="_Toc412718488"/>
      <w:bookmarkStart w:id="37" w:name="_Toc11822321"/>
      <w:r w:rsidRPr="00837AB3">
        <w:t>For Deferred Claims</w:t>
      </w:r>
      <w:bookmarkEnd w:id="36"/>
      <w:bookmarkEnd w:id="37"/>
    </w:p>
    <w:p w:rsidR="00B76AE8" w:rsidRDefault="00E40C8C" w:rsidP="00E40C8C">
      <w:r>
        <w:t>The letter from the insurer must provide full information about the deferral and the entitlements to compensation during the deferral period.</w:t>
      </w:r>
    </w:p>
    <w:p w:rsidR="00E40C8C" w:rsidRPr="00685C79" w:rsidRDefault="00E40C8C" w:rsidP="00E40C8C">
      <w:pPr>
        <w:pStyle w:val="Heading2"/>
      </w:pPr>
      <w:bookmarkStart w:id="38" w:name="_Toc412718489"/>
      <w:bookmarkStart w:id="39" w:name="_Toc11822322"/>
      <w:r w:rsidRPr="00685C79">
        <w:t>For Disputed Claims</w:t>
      </w:r>
      <w:bookmarkEnd w:id="38"/>
      <w:bookmarkEnd w:id="39"/>
    </w:p>
    <w:p w:rsidR="00E40C8C" w:rsidRPr="00837AB3" w:rsidRDefault="00E40C8C" w:rsidP="00E40C8C">
      <w:r w:rsidRPr="00837AB3">
        <w:t xml:space="preserve">Formal notice must be provided, including information on mediation. </w:t>
      </w:r>
    </w:p>
    <w:p w:rsidR="00E40C8C" w:rsidRPr="00837AB3" w:rsidRDefault="00E40C8C" w:rsidP="00E40C8C">
      <w:r w:rsidRPr="00837AB3">
        <w:t>Injured workers will be given the name of their case manager and a direc</w:t>
      </w:r>
      <w:r>
        <w:t>t telephone number for personal </w:t>
      </w:r>
      <w:r w:rsidRPr="00837AB3">
        <w:t>contact.</w:t>
      </w:r>
    </w:p>
    <w:p w:rsidR="00E40C8C" w:rsidRDefault="00E40C8C" w:rsidP="00685C79">
      <w:r w:rsidRPr="00837AB3">
        <w:t>If a Deferred Claim or Disputed Claim is subsequently accepted, then the information outlined for Accept</w:t>
      </w:r>
      <w:r>
        <w:t>ed Claims must then be supplied.</w:t>
      </w:r>
    </w:p>
    <w:p w:rsidR="00C03B0A" w:rsidRPr="00C03B0A" w:rsidRDefault="00C03B0A" w:rsidP="00CF502D">
      <w:pPr>
        <w:pStyle w:val="Heading1"/>
      </w:pPr>
      <w:bookmarkStart w:id="40" w:name="_Toc11822323"/>
      <w:r w:rsidRPr="00C03B0A">
        <w:t>Internal Dispute Resolution</w:t>
      </w:r>
      <w:bookmarkEnd w:id="40"/>
    </w:p>
    <w:p w:rsidR="00D202ED" w:rsidRDefault="00D202ED" w:rsidP="00D202ED">
      <w:r w:rsidRPr="00CF502D">
        <w:t xml:space="preserve">All insurers have an Internal Dispute Resolution Process (IDRP) that provides a 5 </w:t>
      </w:r>
      <w:r w:rsidR="00A960F0">
        <w:t xml:space="preserve">working </w:t>
      </w:r>
      <w:r w:rsidRPr="00CF502D">
        <w:t xml:space="preserve">day response time if a request is made by a worker for review of their claim. An IDRP is an effective mechanism to quickly remedy administrative oversights.  </w:t>
      </w:r>
    </w:p>
    <w:p w:rsidR="001F35EA" w:rsidRDefault="001F35EA" w:rsidP="001F35EA">
      <w:pPr>
        <w:pStyle w:val="Heading2"/>
      </w:pPr>
      <w:bookmarkStart w:id="41" w:name="_Toc11822324"/>
      <w:r>
        <w:lastRenderedPageBreak/>
        <w:t>Dispute Resolution Video</w:t>
      </w:r>
      <w:bookmarkEnd w:id="41"/>
    </w:p>
    <w:p w:rsidR="001F35EA" w:rsidRPr="00463611" w:rsidRDefault="001F35EA" w:rsidP="001F35EA">
      <w:r>
        <w:t xml:space="preserve">Please watch our short video that will explain a workers options if there is a complaint or dispute with their workers compensation claim - </w:t>
      </w:r>
      <w:hyperlink r:id="rId26" w:history="1">
        <w:r w:rsidRPr="00A65D48">
          <w:rPr>
            <w:rStyle w:val="Hyperlink"/>
          </w:rPr>
          <w:t>https://www.youtube.com/watch?v=bPaU7Qhd3Z0</w:t>
        </w:r>
      </w:hyperlink>
    </w:p>
    <w:p w:rsidR="00CC2514" w:rsidRPr="00685C79" w:rsidRDefault="00CC2514" w:rsidP="00CF502D">
      <w:pPr>
        <w:pStyle w:val="Heading1"/>
      </w:pPr>
      <w:bookmarkStart w:id="42" w:name="_Toc412718490"/>
      <w:bookmarkStart w:id="43" w:name="_Toc11822325"/>
      <w:r w:rsidRPr="00685C79">
        <w:t>What is expected of the employer</w:t>
      </w:r>
      <w:bookmarkEnd w:id="42"/>
      <w:bookmarkEnd w:id="43"/>
    </w:p>
    <w:p w:rsidR="00CC2514" w:rsidRPr="00837AB3" w:rsidRDefault="00CC2514" w:rsidP="00685C79">
      <w:r w:rsidRPr="00837AB3">
        <w:t>It is the employer’s responsibility to forward the completed claim form along with all other documentation to their insurance company within 3 working days of receiving the claim from the injured worker.</w:t>
      </w:r>
    </w:p>
    <w:p w:rsidR="00CC2514" w:rsidRPr="00837AB3" w:rsidRDefault="00CC2514" w:rsidP="00685C79">
      <w:r w:rsidRPr="00837AB3">
        <w:t>The employer is responsible for making weekly payment</w:t>
      </w:r>
      <w:r w:rsidR="00C302F5">
        <w:t>s</w:t>
      </w:r>
      <w:r w:rsidRPr="00837AB3">
        <w:t xml:space="preserve"> of compensation to injured workers if the claim is accepted or deferred.</w:t>
      </w:r>
      <w:r>
        <w:t xml:space="preserve"> The money employers pay to injured workers is recoverable from their insurer, except for any payment made for time lost on the day of the injury.</w:t>
      </w:r>
    </w:p>
    <w:p w:rsidR="00CC2514" w:rsidRPr="00CF502D" w:rsidRDefault="00CC2514" w:rsidP="00685C79">
      <w:r>
        <w:t xml:space="preserve">Employers must not refuse to receive a claim for compensation from an injured worker or dismiss a worker from employment for the reason that the worker has given or attempted to give the </w:t>
      </w:r>
      <w:r w:rsidRPr="00CF502D">
        <w:t>employer a claim form.</w:t>
      </w:r>
    </w:p>
    <w:p w:rsidR="00CF15FE" w:rsidRDefault="00EC2B80" w:rsidP="00CF15FE">
      <w:r w:rsidRPr="00CF502D">
        <w:t>Employers must pro</w:t>
      </w:r>
      <w:r w:rsidR="008A2B48">
        <w:t>pose</w:t>
      </w:r>
      <w:r w:rsidRPr="00CF502D">
        <w:t xml:space="preserve"> a return to work plan, developed and agreed between the employer and worker for any injury that involves incapacity of more than 28 days.</w:t>
      </w:r>
      <w:r w:rsidR="00CF15FE">
        <w:t xml:space="preserve">  An effective return to work plan relies on the cooperative </w:t>
      </w:r>
      <w:r w:rsidR="00CF15FE">
        <w:rPr>
          <w:rFonts w:ascii="ArialMT" w:hAnsi="ArialMT" w:cs="ArialMT"/>
          <w:lang w:eastAsia="en-AU"/>
        </w:rPr>
        <w:t xml:space="preserve">efforts of all participants – employers, workers, insurers, medical professionals, allied health professionals and vocational rehabilitation providers.  </w:t>
      </w:r>
      <w:r w:rsidR="00CF15FE" w:rsidRPr="00DF4B76">
        <w:t>It is reasonable to expect an injured worker to allow their employer to discuss return to work options directly with thei</w:t>
      </w:r>
      <w:r w:rsidR="00CF15FE">
        <w:t>r treating medical practitioner, however, an employer should not impose on the workers private consultation without consent from the worker.</w:t>
      </w:r>
    </w:p>
    <w:p w:rsidR="00CF15FE" w:rsidRDefault="00CF15FE" w:rsidP="00CF15FE">
      <w:r>
        <w:t>It is important that employers respect the right of the worker to privacy at their medical consultations.</w:t>
      </w:r>
    </w:p>
    <w:p w:rsidR="00CC2514" w:rsidRPr="00837AB3" w:rsidRDefault="00CC2514" w:rsidP="00685C79">
      <w:r w:rsidRPr="00837AB3">
        <w:t>The employer must take all reasonable steps to provide t</w:t>
      </w:r>
      <w:r w:rsidR="00685C79">
        <w:t>he injured worker with suitable </w:t>
      </w:r>
      <w:r w:rsidRPr="00837AB3">
        <w:t xml:space="preserve">employment. </w:t>
      </w:r>
    </w:p>
    <w:p w:rsidR="00CC2514" w:rsidRPr="00837AB3" w:rsidRDefault="00CC2514" w:rsidP="00685C79">
      <w:r w:rsidRPr="00837AB3">
        <w:t>The employer must as far as practicable, participate in</w:t>
      </w:r>
      <w:r w:rsidR="00685C79">
        <w:t xml:space="preserve"> efforts to retrain the injured </w:t>
      </w:r>
      <w:r w:rsidRPr="00837AB3">
        <w:t xml:space="preserve">worker. </w:t>
      </w:r>
    </w:p>
    <w:p w:rsidR="00CC2514" w:rsidRPr="00837AB3" w:rsidRDefault="00CC2514" w:rsidP="00685C79">
      <w:r w:rsidRPr="00837AB3">
        <w:t xml:space="preserve">The employer must assist the injured worker with their rehabilitation program. </w:t>
      </w:r>
    </w:p>
    <w:p w:rsidR="00CC2514" w:rsidRPr="00837AB3" w:rsidRDefault="00CC2514" w:rsidP="00685C79">
      <w:r w:rsidRPr="00837AB3">
        <w:t>If the worker is unable to return to their normal job, their employer should determi</w:t>
      </w:r>
      <w:r>
        <w:t>ne if there is another job or a </w:t>
      </w:r>
      <w:r w:rsidRPr="00837AB3">
        <w:t>combination of jobs that t</w:t>
      </w:r>
      <w:r w:rsidR="003D1B47">
        <w:t>he worker might be able to do taking into consideration a workers capacity to work and any restrictions on the workers medical certificate</w:t>
      </w:r>
      <w:r w:rsidR="003843AC">
        <w:t xml:space="preserve"> of capacity</w:t>
      </w:r>
      <w:r w:rsidR="003D1B47">
        <w:t>.</w:t>
      </w:r>
    </w:p>
    <w:p w:rsidR="00CC2514" w:rsidRDefault="00CC2514" w:rsidP="008A2B48">
      <w:r w:rsidRPr="00837AB3">
        <w:t>If the employer is unable to provide the worker with suitable employment, the em</w:t>
      </w:r>
      <w:r>
        <w:t>ployer in consultation with the </w:t>
      </w:r>
      <w:r w:rsidRPr="00837AB3">
        <w:t xml:space="preserve">insurer </w:t>
      </w:r>
      <w:r w:rsidR="00592C6E">
        <w:t>may</w:t>
      </w:r>
      <w:r w:rsidRPr="00837AB3">
        <w:t xml:space="preserve"> refer the worker to the alternative employer incentive scheme. </w:t>
      </w:r>
      <w:r>
        <w:t>For further information see NT </w:t>
      </w:r>
      <w:r w:rsidRPr="00731D44">
        <w:t xml:space="preserve">WorkSafe </w:t>
      </w:r>
      <w:r>
        <w:t xml:space="preserve">information </w:t>
      </w:r>
      <w:r w:rsidRPr="00731D44">
        <w:t>bulletin</w:t>
      </w:r>
      <w:r>
        <w:t xml:space="preserve"> </w:t>
      </w:r>
      <w:r w:rsidRPr="00BD1C8C">
        <w:rPr>
          <w:rFonts w:cs="Arial"/>
          <w:i/>
        </w:rPr>
        <w:t>Alternative Employer Incentive Scheme (AEIS)</w:t>
      </w:r>
      <w:r>
        <w:t>.</w:t>
      </w:r>
    </w:p>
    <w:p w:rsidR="00CC2514" w:rsidRDefault="00CC2514" w:rsidP="00685C79">
      <w:r>
        <w:t>The employer might also involve</w:t>
      </w:r>
      <w:r w:rsidRPr="00837AB3">
        <w:t>/consult with the treating doctor, fellow workers or union representatives.</w:t>
      </w:r>
    </w:p>
    <w:p w:rsidR="00684F06" w:rsidRDefault="00684F06" w:rsidP="00684F06">
      <w:pPr>
        <w:pStyle w:val="Heading2"/>
      </w:pPr>
      <w:bookmarkStart w:id="44" w:name="_Toc11822326"/>
      <w:r>
        <w:t>Role of rehabilitation provider video</w:t>
      </w:r>
      <w:bookmarkEnd w:id="44"/>
      <w:r>
        <w:t xml:space="preserve"> </w:t>
      </w:r>
    </w:p>
    <w:p w:rsidR="00684F06" w:rsidRPr="00247948" w:rsidRDefault="00684F06" w:rsidP="00684F06">
      <w:r>
        <w:t xml:space="preserve">This short video will assist you in understanding the role of a vocational rehabilitation provider in the return to work process - </w:t>
      </w:r>
      <w:hyperlink r:id="rId27" w:history="1">
        <w:r w:rsidRPr="00412BE8">
          <w:rPr>
            <w:rStyle w:val="Hyperlink"/>
          </w:rPr>
          <w:t>https://www.youtube.com/watch?v=CubEeF0ZEPI</w:t>
        </w:r>
      </w:hyperlink>
    </w:p>
    <w:p w:rsidR="00F91B87" w:rsidRPr="00CF502D" w:rsidRDefault="00592C6E" w:rsidP="008A2B48">
      <w:pPr>
        <w:spacing w:after="120"/>
      </w:pPr>
      <w:r>
        <w:lastRenderedPageBreak/>
        <w:t>W</w:t>
      </w:r>
      <w:r w:rsidR="00F91B87" w:rsidRPr="00CF502D">
        <w:t xml:space="preserve">here a worker’s medical, surgical and rehabilitation treatment is given by, or under the direction of the worker’s treating medical practitioner, the treatment </w:t>
      </w:r>
      <w:r w:rsidR="003C6442">
        <w:t xml:space="preserve">must not </w:t>
      </w:r>
      <w:r w:rsidR="00F91B87" w:rsidRPr="00CF502D">
        <w:t>be suspended or refused by the employer/insure</w:t>
      </w:r>
      <w:r w:rsidR="003D1B47">
        <w:t>r</w:t>
      </w:r>
      <w:r w:rsidR="00F91B87" w:rsidRPr="00CF502D">
        <w:t xml:space="preserve"> unless:</w:t>
      </w:r>
    </w:p>
    <w:p w:rsidR="00F91B87" w:rsidRPr="00CF502D" w:rsidRDefault="00F91B87" w:rsidP="008A2B48">
      <w:pPr>
        <w:pStyle w:val="orangebulletlist"/>
      </w:pPr>
      <w:r w:rsidRPr="00CF502D">
        <w:t>there is a dispute that the treatment relates to the work related injury, or</w:t>
      </w:r>
    </w:p>
    <w:p w:rsidR="00F91B87" w:rsidRPr="00CF502D" w:rsidRDefault="00F91B87" w:rsidP="008A2B48">
      <w:pPr>
        <w:pStyle w:val="orangebulletlist"/>
      </w:pPr>
      <w:r w:rsidRPr="00CF502D">
        <w:t>there is a dispute based on a supporting medic</w:t>
      </w:r>
      <w:r w:rsidR="003D1B47">
        <w:t>al opinion held by the employer</w:t>
      </w:r>
    </w:p>
    <w:p w:rsidR="00F91B87" w:rsidRDefault="00F91B87" w:rsidP="008A2B48">
      <w:pPr>
        <w:spacing w:before="240"/>
      </w:pPr>
      <w:r w:rsidRPr="00CF502D">
        <w:t>If a decision to dispute treatment is made it will be necessary for the reasons to be given in writing to the treating medical practitioner and to the worker, setting out the grounds in which the treatment is disputed.</w:t>
      </w:r>
    </w:p>
    <w:p w:rsidR="00CC2514" w:rsidRPr="00685C79" w:rsidRDefault="00CC2514" w:rsidP="00CF502D">
      <w:pPr>
        <w:pStyle w:val="Heading1"/>
      </w:pPr>
      <w:bookmarkStart w:id="45" w:name="_Toc412718491"/>
      <w:bookmarkStart w:id="46" w:name="_Toc11822327"/>
      <w:r w:rsidRPr="00685C79">
        <w:t>What is expected of the injured worker</w:t>
      </w:r>
      <w:bookmarkEnd w:id="45"/>
      <w:bookmarkEnd w:id="46"/>
    </w:p>
    <w:p w:rsidR="00CC2514" w:rsidRPr="00DF4B76" w:rsidRDefault="00CC2514" w:rsidP="00685C79">
      <w:r w:rsidRPr="00DF4B76">
        <w:t>The worker should inform the employer of a work-related injury or d</w:t>
      </w:r>
      <w:r>
        <w:t xml:space="preserve">isease as soon as practicable. </w:t>
      </w:r>
      <w:r w:rsidRPr="00DF4B76">
        <w:t>This can be done either verbally or in writing.</w:t>
      </w:r>
    </w:p>
    <w:p w:rsidR="00CC2514" w:rsidRPr="00DF4B76" w:rsidRDefault="00CC2514" w:rsidP="00685C79">
      <w:r w:rsidRPr="00DF4B76">
        <w:t>Immediately notify the insurer if they return to work with an employer (other than the employer in whose employment the injury occurred).</w:t>
      </w:r>
    </w:p>
    <w:p w:rsidR="00CC2514" w:rsidRPr="00DF4B76" w:rsidRDefault="00CC2514" w:rsidP="00685C79">
      <w:r w:rsidRPr="00DF4B76">
        <w:t>Participate in any examination by a medical practitioner</w:t>
      </w:r>
      <w:r w:rsidR="003843AC">
        <w:t>,</w:t>
      </w:r>
      <w:r w:rsidRPr="00DF4B76">
        <w:t xml:space="preserve"> provided and paid for by the insurer at reasonable intervals.</w:t>
      </w:r>
    </w:p>
    <w:p w:rsidR="003D1B47" w:rsidRDefault="00CC2514" w:rsidP="00DC4CA0">
      <w:r w:rsidRPr="00DF4B76">
        <w:t xml:space="preserve">If the worker is receiving weekly payments of compensation because they are incapacitated for work, ensure that the employer </w:t>
      </w:r>
      <w:proofErr w:type="gramStart"/>
      <w:r w:rsidRPr="00DF4B76">
        <w:t>is provided</w:t>
      </w:r>
      <w:proofErr w:type="gramEnd"/>
      <w:r w:rsidRPr="00DF4B76">
        <w:t xml:space="preserve"> with a medical certificate</w:t>
      </w:r>
      <w:r w:rsidR="006A3854">
        <w:t xml:space="preserve"> of capacity</w:t>
      </w:r>
      <w:r w:rsidRPr="00DF4B76">
        <w:t xml:space="preserve"> for the period that they are incapacitated for work.</w:t>
      </w:r>
      <w:r w:rsidR="00DC4CA0">
        <w:t xml:space="preserve">  </w:t>
      </w:r>
      <w:r w:rsidRPr="00DF4B76">
        <w:t>Injured workers are expected to participate in injury management in accordance with the legislation</w:t>
      </w:r>
      <w:r w:rsidR="003D1B47">
        <w:t>;</w:t>
      </w:r>
      <w:r w:rsidRPr="00DF4B76">
        <w:t xml:space="preserve"> </w:t>
      </w:r>
      <w:r w:rsidR="003D1B47">
        <w:t>including:</w:t>
      </w:r>
    </w:p>
    <w:p w:rsidR="003D1B47" w:rsidRDefault="00CC2514" w:rsidP="003D1B47">
      <w:pPr>
        <w:pStyle w:val="orangebulletlist"/>
      </w:pPr>
      <w:r w:rsidRPr="00DF4B76">
        <w:t>cooperat</w:t>
      </w:r>
      <w:r w:rsidR="003D1B47">
        <w:t>e</w:t>
      </w:r>
      <w:r w:rsidRPr="00DF4B76">
        <w:t xml:space="preserve"> in establishing a return to work program </w:t>
      </w:r>
    </w:p>
    <w:p w:rsidR="003D1B47" w:rsidRDefault="00807A80" w:rsidP="003D1B47">
      <w:pPr>
        <w:pStyle w:val="orangebulletlist"/>
      </w:pPr>
      <w:r>
        <w:t>participate</w:t>
      </w:r>
      <w:r w:rsidR="00CC2514" w:rsidRPr="00DF4B76">
        <w:t xml:space="preserve"> in a cooperative </w:t>
      </w:r>
      <w:r w:rsidR="00CC2514" w:rsidRPr="00CF502D">
        <w:t>manner in a return to work program</w:t>
      </w:r>
    </w:p>
    <w:p w:rsidR="003D1B47" w:rsidRDefault="00CC2514" w:rsidP="003D1B47">
      <w:pPr>
        <w:pStyle w:val="orangebulletlist"/>
      </w:pPr>
      <w:r w:rsidRPr="00CF502D">
        <w:t>att</w:t>
      </w:r>
      <w:r w:rsidR="003D1B47">
        <w:t xml:space="preserve">end </w:t>
      </w:r>
      <w:r w:rsidR="00807A80">
        <w:t xml:space="preserve">medical or treatment </w:t>
      </w:r>
      <w:r w:rsidR="003D1B47">
        <w:t>appointments as required</w:t>
      </w:r>
    </w:p>
    <w:p w:rsidR="00EC2B80" w:rsidRPr="00CF502D" w:rsidRDefault="00EC2B80" w:rsidP="00EC2B80">
      <w:r w:rsidRPr="00CF502D">
        <w:t>An injured worker will put their compensation payments at risk if they fail to comply with a return to work plan provided by the employer.</w:t>
      </w:r>
    </w:p>
    <w:p w:rsidR="00CF15FE" w:rsidRDefault="00807A80" w:rsidP="00CF15FE">
      <w:pPr>
        <w:rPr>
          <w:lang w:eastAsia="en-AU"/>
        </w:rPr>
      </w:pPr>
      <w:r>
        <w:t>A</w:t>
      </w:r>
      <w:r w:rsidR="00CF15FE">
        <w:t>n effective</w:t>
      </w:r>
      <w:r>
        <w:t xml:space="preserve"> return to work plan</w:t>
      </w:r>
      <w:r w:rsidR="005A77B7">
        <w:t xml:space="preserve"> </w:t>
      </w:r>
      <w:r w:rsidR="00CF15FE">
        <w:t xml:space="preserve">relies on the cooperative </w:t>
      </w:r>
      <w:r w:rsidR="00CF15FE">
        <w:rPr>
          <w:lang w:eastAsia="en-AU"/>
        </w:rPr>
        <w:t xml:space="preserve">efforts of all participants – employers, workers, insurers, medical professionals, allied health professionals and vocational rehabilitation providers.  </w:t>
      </w:r>
    </w:p>
    <w:p w:rsidR="00CF15FE" w:rsidRDefault="00CC2514" w:rsidP="00CF15FE">
      <w:r w:rsidRPr="00DF4B76">
        <w:t xml:space="preserve">An injured worker should discuss with their treating medical practitioner and employer what duties they feel they can realistically do, given their injury. </w:t>
      </w:r>
    </w:p>
    <w:p w:rsidR="00CC2514" w:rsidRDefault="00CC2514" w:rsidP="00CF15FE">
      <w:r w:rsidRPr="00DF4B76">
        <w:t>It is reasonable to expect an injured worker to allow their employer to discuss return to work options directly with thei</w:t>
      </w:r>
      <w:r w:rsidR="00CF15FE">
        <w:t>r treating medical practitioner, however, an employer should not impose on the workers private consultation without consent from the worker.</w:t>
      </w:r>
    </w:p>
    <w:p w:rsidR="00CF15FE" w:rsidRDefault="00CF15FE" w:rsidP="00CF15FE">
      <w:r>
        <w:t>It is important that employers respect the right of the worker to privacy at their medical consultations.</w:t>
      </w:r>
    </w:p>
    <w:p w:rsidR="00684F06" w:rsidRDefault="00684F06" w:rsidP="00684F06">
      <w:pPr>
        <w:spacing w:after="360"/>
      </w:pPr>
      <w:r w:rsidRPr="00DF4B76">
        <w:t>Any enquiries regarding the management of claims should firstly be directe</w:t>
      </w:r>
      <w:r>
        <w:t>d to the workers compensation I</w:t>
      </w:r>
      <w:r w:rsidRPr="00DF4B76">
        <w:t xml:space="preserve">nsurer. </w:t>
      </w:r>
    </w:p>
    <w:p w:rsidR="00684F06" w:rsidRPr="008F6010" w:rsidRDefault="00684F06" w:rsidP="00684F06">
      <w:pPr>
        <w:pStyle w:val="Heading1"/>
      </w:pPr>
      <w:bookmarkStart w:id="47" w:name="_Toc11822328"/>
      <w:r w:rsidRPr="008F6010">
        <w:t>Contact us</w:t>
      </w:r>
      <w:bookmarkEnd w:id="47"/>
    </w:p>
    <w:p w:rsidR="003F13EC" w:rsidRPr="00E52FB9" w:rsidRDefault="00684F06" w:rsidP="000A4D40">
      <w:r w:rsidRPr="00FD3823">
        <w:t>For further i</w:t>
      </w:r>
      <w:r>
        <w:t xml:space="preserve">nformation please contact us on </w:t>
      </w:r>
      <w:r w:rsidRPr="00FD3823">
        <w:t>1800 250 713, facsimi</w:t>
      </w:r>
      <w:r>
        <w:t>le (08) 8999 5141, via </w:t>
      </w:r>
      <w:r w:rsidRPr="00FD3823">
        <w:t xml:space="preserve">email at </w:t>
      </w:r>
      <w:hyperlink r:id="rId28" w:history="1">
        <w:r w:rsidR="00C011C0" w:rsidRPr="00620765">
          <w:rPr>
            <w:rStyle w:val="Hyperlink"/>
          </w:rPr>
          <w:t>datantworksafe@nt.gov.au</w:t>
        </w:r>
      </w:hyperlink>
      <w:r>
        <w:t xml:space="preserve"> </w:t>
      </w:r>
      <w:r w:rsidRPr="00FD3823">
        <w:t xml:space="preserve">or go to the NT WorkSafe website at </w:t>
      </w:r>
      <w:hyperlink r:id="rId29" w:history="1">
        <w:r w:rsidRPr="008F6D07">
          <w:rPr>
            <w:rStyle w:val="Hyperlink"/>
          </w:rPr>
          <w:t>www.worksafe.nt.gov.au</w:t>
        </w:r>
      </w:hyperlink>
    </w:p>
    <w:sectPr w:rsidR="003F13EC" w:rsidRPr="00E52FB9" w:rsidSect="00A544B8">
      <w:headerReference w:type="even" r:id="rId30"/>
      <w:headerReference w:type="default" r:id="rId31"/>
      <w:headerReference w:type="first" r:id="rId32"/>
      <w:footerReference w:type="first" r:id="rId33"/>
      <w:pgSz w:w="11906" w:h="16838" w:code="9"/>
      <w:pgMar w:top="1418" w:right="1134" w:bottom="1134" w:left="1134" w:header="28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CCD" w:rsidRDefault="00E64CCD" w:rsidP="00E73B01">
      <w:r>
        <w:separator/>
      </w:r>
    </w:p>
  </w:endnote>
  <w:endnote w:type="continuationSeparator" w:id="0">
    <w:p w:rsidR="00E64CCD" w:rsidRDefault="00E64CCD" w:rsidP="00E7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rade Gothic LT Std">
    <w:panose1 w:val="00000000000000000000"/>
    <w:charset w:val="00"/>
    <w:family w:val="modern"/>
    <w:notTrueType/>
    <w:pitch w:val="variable"/>
    <w:sig w:usb0="00000003" w:usb1="00000000" w:usb2="00000000" w:usb3="00000000" w:csb0="00000001" w:csb1="00000000"/>
  </w:font>
  <w:font w:name="AvantGarde-CondBook">
    <w:altName w:val="AvantGarde CondBook"/>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vantGarde-CondMedium">
    <w:altName w:val="AvantGarde CondMedium"/>
    <w:panose1 w:val="00000000000000000000"/>
    <w:charset w:val="4D"/>
    <w:family w:val="auto"/>
    <w:notTrueType/>
    <w:pitch w:val="default"/>
    <w:sig w:usb0="00000003" w:usb1="00000000" w:usb2="00000000" w:usb3="00000000" w:csb0="00000001" w:csb1="00000000"/>
  </w:font>
  <w:font w:name="AvantGarde-CondDemi">
    <w:altName w:val="AvantGarde CondMedium"/>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781" w:type="dxa"/>
      <w:tblInd w:w="108" w:type="dxa"/>
      <w:tblBorders>
        <w:top w:val="single" w:sz="2" w:space="0" w:color="D9D9D9" w:themeColor="background1" w:themeShade="D9"/>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60"/>
      <w:gridCol w:w="5521"/>
    </w:tblGrid>
    <w:tr w:rsidR="00E64CCD" w:rsidRPr="003046E6" w:rsidTr="00E64CCD">
      <w:tc>
        <w:tcPr>
          <w:tcW w:w="4260" w:type="dxa"/>
          <w:vAlign w:val="center"/>
        </w:tcPr>
        <w:p w:rsidR="00E64CCD" w:rsidRPr="003046E6" w:rsidRDefault="00E64CCD" w:rsidP="008832FA">
          <w:pPr>
            <w:pStyle w:val="Footer"/>
            <w:tabs>
              <w:tab w:val="clear" w:pos="4513"/>
              <w:tab w:val="clear" w:pos="9026"/>
            </w:tabs>
            <w:spacing w:before="120"/>
            <w:rPr>
              <w:color w:val="7F7F7F" w:themeColor="background1" w:themeShade="7F"/>
              <w:spacing w:val="60"/>
            </w:rPr>
          </w:pPr>
          <w:r w:rsidRPr="003046E6">
            <w:fldChar w:fldCharType="begin"/>
          </w:r>
          <w:r w:rsidRPr="003046E6">
            <w:instrText xml:space="preserve"> PAGE   \* MERGEFORMAT </w:instrText>
          </w:r>
          <w:r w:rsidRPr="003046E6">
            <w:fldChar w:fldCharType="separate"/>
          </w:r>
          <w:r w:rsidRPr="00A544B8">
            <w:rPr>
              <w:bCs/>
              <w:noProof/>
            </w:rPr>
            <w:t>2</w:t>
          </w:r>
          <w:r w:rsidRPr="003046E6">
            <w:rPr>
              <w:bCs/>
              <w:noProof/>
            </w:rPr>
            <w:fldChar w:fldCharType="end"/>
          </w:r>
          <w:r w:rsidRPr="003046E6">
            <w:rPr>
              <w:bCs/>
            </w:rPr>
            <w:t xml:space="preserve"> </w:t>
          </w:r>
          <w:r w:rsidRPr="003046E6">
            <w:rPr>
              <w:b/>
              <w:bCs/>
            </w:rPr>
            <w:t xml:space="preserve">| </w:t>
          </w:r>
          <w:r w:rsidRPr="003046E6">
            <w:rPr>
              <w:color w:val="7F7F7F" w:themeColor="background1" w:themeShade="7F"/>
              <w:spacing w:val="60"/>
            </w:rPr>
            <w:t>Page</w:t>
          </w:r>
        </w:p>
      </w:tc>
      <w:tc>
        <w:tcPr>
          <w:tcW w:w="5521" w:type="dxa"/>
          <w:vAlign w:val="center"/>
        </w:tcPr>
        <w:p w:rsidR="00E64CCD" w:rsidRPr="003046E6" w:rsidRDefault="00E64CCD" w:rsidP="008832FA">
          <w:pPr>
            <w:pStyle w:val="Footer"/>
            <w:tabs>
              <w:tab w:val="clear" w:pos="4513"/>
              <w:tab w:val="clear" w:pos="9026"/>
            </w:tabs>
            <w:spacing w:before="120"/>
            <w:jc w:val="right"/>
            <w:rPr>
              <w:b/>
              <w:bCs/>
            </w:rPr>
          </w:pPr>
          <w:r w:rsidRPr="003046E6">
            <w:rPr>
              <w:b/>
              <w:noProof/>
              <w:szCs w:val="20"/>
              <w:lang w:eastAsia="en-AU"/>
            </w:rPr>
            <w:drawing>
              <wp:inline distT="0" distB="0" distL="0" distR="0" wp14:anchorId="18E5788D" wp14:editId="364E655B">
                <wp:extent cx="2247900" cy="190500"/>
                <wp:effectExtent l="0" t="0" r="0" b="0"/>
                <wp:docPr id="7" name="Picture 7"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p>
      </w:tc>
    </w:tr>
  </w:tbl>
  <w:p w:rsidR="00E64CCD" w:rsidRPr="00066C84" w:rsidRDefault="00E64CCD" w:rsidP="00883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CD" w:rsidRDefault="00E64CCD" w:rsidP="00E73B01">
    <w:pPr>
      <w:pStyle w:val="Footer"/>
      <w:tabs>
        <w:tab w:val="clear" w:pos="4513"/>
        <w:tab w:val="clear" w:pos="9026"/>
        <w:tab w:val="right" w:pos="10773"/>
      </w:tabs>
      <w:ind w:left="-567"/>
    </w:pPr>
    <w:r>
      <w:rPr>
        <w:noProof/>
        <w:lang w:eastAsia="en-AU"/>
      </w:rPr>
      <w:drawing>
        <wp:inline distT="0" distB="0" distL="0" distR="0" wp14:anchorId="312016CC" wp14:editId="37176B39">
          <wp:extent cx="2247900" cy="190500"/>
          <wp:effectExtent l="0" t="0" r="0" b="0"/>
          <wp:docPr id="18" name="Picture 18"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r>
      <w:tab/>
    </w:r>
    <w:r>
      <w:fldChar w:fldCharType="begin"/>
    </w:r>
    <w:r>
      <w:instrText xml:space="preserve"> PAGE   \* MERGEFORMAT </w:instrText>
    </w:r>
    <w:r>
      <w:fldChar w:fldCharType="separate"/>
    </w:r>
    <w:r>
      <w:rPr>
        <w:noProof/>
      </w:rPr>
      <w:t>3</w:t>
    </w:r>
    <w:r>
      <w:rPr>
        <w:noProof/>
      </w:rPr>
      <w:fldChar w:fldCharType="end"/>
    </w:r>
  </w:p>
  <w:p w:rsidR="00E64CCD" w:rsidRPr="00E27344" w:rsidRDefault="00E64CCD" w:rsidP="004231EA">
    <w:pPr>
      <w:pStyle w:val="Footer"/>
      <w:tabs>
        <w:tab w:val="clear" w:pos="4513"/>
        <w:tab w:val="clear" w:pos="9026"/>
        <w:tab w:val="right" w:pos="10773"/>
      </w:tabs>
      <w:ind w:left="-567"/>
    </w:pPr>
    <w:r>
      <w:tab/>
      <w:t>Section Name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2"/>
      <w:gridCol w:w="3036"/>
    </w:tblGrid>
    <w:tr w:rsidR="00E64CCD" w:rsidTr="00A41728">
      <w:tc>
        <w:tcPr>
          <w:tcW w:w="9214" w:type="dxa"/>
          <w:vAlign w:val="center"/>
        </w:tcPr>
        <w:p w:rsidR="00E64CCD" w:rsidRPr="00375C48" w:rsidRDefault="00826AE2" w:rsidP="00A41728">
          <w:pPr>
            <w:pStyle w:val="Footer"/>
            <w:tabs>
              <w:tab w:val="clear" w:pos="4513"/>
              <w:tab w:val="clear" w:pos="9026"/>
            </w:tabs>
            <w:rPr>
              <w:sz w:val="30"/>
              <w:szCs w:val="30"/>
            </w:rPr>
          </w:pPr>
          <w:hyperlink r:id="rId1" w:history="1">
            <w:r w:rsidR="00E64CCD" w:rsidRPr="00375C48">
              <w:rPr>
                <w:rStyle w:val="Hyperlink"/>
                <w:sz w:val="30"/>
                <w:szCs w:val="30"/>
              </w:rPr>
              <w:t>www.worksafe.nt.gov.au</w:t>
            </w:r>
          </w:hyperlink>
        </w:p>
      </w:tc>
      <w:tc>
        <w:tcPr>
          <w:tcW w:w="640" w:type="dxa"/>
          <w:vAlign w:val="center"/>
        </w:tcPr>
        <w:p w:rsidR="00E64CCD" w:rsidRDefault="00E64CCD" w:rsidP="00A41728">
          <w:pPr>
            <w:pStyle w:val="Footer"/>
            <w:tabs>
              <w:tab w:val="clear" w:pos="4513"/>
              <w:tab w:val="clear" w:pos="9026"/>
            </w:tabs>
          </w:pPr>
          <w:r w:rsidRPr="00375C48">
            <w:rPr>
              <w:noProof/>
              <w:sz w:val="24"/>
              <w:szCs w:val="24"/>
              <w:lang w:eastAsia="en-AU"/>
            </w:rPr>
            <w:drawing>
              <wp:inline distT="0" distB="0" distL="0" distR="0" wp14:anchorId="10EE14AD" wp14:editId="189BE66D">
                <wp:extent cx="1789797" cy="381000"/>
                <wp:effectExtent l="0" t="0" r="1270" b="0"/>
                <wp:docPr id="13" name="Picture 13"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logo.jpg"/>
                        <pic:cNvPicPr/>
                      </pic:nvPicPr>
                      <pic:blipFill rotWithShape="1">
                        <a:blip r:embed="rId2">
                          <a:extLst>
                            <a:ext uri="{28A0092B-C50C-407E-A947-70E740481C1C}">
                              <a14:useLocalDpi xmlns:a14="http://schemas.microsoft.com/office/drawing/2010/main" val="0"/>
                            </a:ext>
                          </a:extLst>
                        </a:blip>
                        <a:srcRect b="-9290"/>
                        <a:stretch/>
                      </pic:blipFill>
                      <pic:spPr bwMode="auto">
                        <a:xfrm>
                          <a:off x="0" y="0"/>
                          <a:ext cx="1792800" cy="381639"/>
                        </a:xfrm>
                        <a:prstGeom prst="rect">
                          <a:avLst/>
                        </a:prstGeom>
                        <a:ln>
                          <a:noFill/>
                        </a:ln>
                        <a:extLst>
                          <a:ext uri="{53640926-AAD7-44D8-BBD7-CCE9431645EC}">
                            <a14:shadowObscured xmlns:a14="http://schemas.microsoft.com/office/drawing/2010/main"/>
                          </a:ext>
                        </a:extLst>
                      </pic:spPr>
                    </pic:pic>
                  </a:graphicData>
                </a:graphic>
              </wp:inline>
            </w:drawing>
          </w:r>
        </w:p>
      </w:tc>
    </w:tr>
  </w:tbl>
  <w:p w:rsidR="00E64CCD" w:rsidRPr="00965C80" w:rsidRDefault="00E64CCD" w:rsidP="00965C80">
    <w:pPr>
      <w:pStyle w:val="Footer"/>
      <w:tabs>
        <w:tab w:val="clear" w:pos="4513"/>
        <w:tab w:val="clear" w:pos="9026"/>
        <w:tab w:val="right" w:pos="9214"/>
      </w:tabs>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Ind w:w="250" w:type="dxa"/>
      <w:tblBorders>
        <w:top w:val="single" w:sz="2" w:space="0" w:color="D9D9D9" w:themeColor="background1" w:themeShade="D9"/>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60"/>
      <w:gridCol w:w="5379"/>
    </w:tblGrid>
    <w:tr w:rsidR="00E64CCD" w:rsidRPr="003046E6" w:rsidTr="00E64CCD">
      <w:tc>
        <w:tcPr>
          <w:tcW w:w="4260" w:type="dxa"/>
          <w:vAlign w:val="center"/>
        </w:tcPr>
        <w:p w:rsidR="00E64CCD" w:rsidRPr="003046E6" w:rsidRDefault="00E64CCD" w:rsidP="008832FA">
          <w:pPr>
            <w:pStyle w:val="Footer"/>
            <w:tabs>
              <w:tab w:val="clear" w:pos="4513"/>
              <w:tab w:val="clear" w:pos="9026"/>
            </w:tabs>
            <w:spacing w:before="120"/>
            <w:rPr>
              <w:color w:val="7F7F7F" w:themeColor="background1" w:themeShade="7F"/>
              <w:spacing w:val="60"/>
            </w:rPr>
          </w:pPr>
          <w:r w:rsidRPr="003046E6">
            <w:rPr>
              <w:b/>
              <w:noProof/>
              <w:szCs w:val="20"/>
              <w:lang w:eastAsia="en-AU"/>
            </w:rPr>
            <w:drawing>
              <wp:inline distT="0" distB="0" distL="0" distR="0" wp14:anchorId="0BA4326A" wp14:editId="352EB7F8">
                <wp:extent cx="2247900" cy="190500"/>
                <wp:effectExtent l="0" t="0" r="0" b="0"/>
                <wp:docPr id="35" name="Picture 35"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p>
      </w:tc>
      <w:tc>
        <w:tcPr>
          <w:tcW w:w="5379" w:type="dxa"/>
          <w:vAlign w:val="center"/>
        </w:tcPr>
        <w:p w:rsidR="00E64CCD" w:rsidRPr="003046E6" w:rsidRDefault="00E64CCD" w:rsidP="008832FA">
          <w:pPr>
            <w:pStyle w:val="Footer"/>
            <w:tabs>
              <w:tab w:val="clear" w:pos="4513"/>
              <w:tab w:val="clear" w:pos="9026"/>
            </w:tabs>
            <w:spacing w:before="120"/>
            <w:jc w:val="right"/>
            <w:rPr>
              <w:b/>
              <w:bCs/>
            </w:rPr>
          </w:pPr>
          <w:r w:rsidRPr="003046E6">
            <w:fldChar w:fldCharType="begin"/>
          </w:r>
          <w:r w:rsidRPr="003046E6">
            <w:instrText xml:space="preserve"> PAGE   \* MERGEFORMAT </w:instrText>
          </w:r>
          <w:r w:rsidRPr="003046E6">
            <w:fldChar w:fldCharType="separate"/>
          </w:r>
          <w:r w:rsidR="00826AE2" w:rsidRPr="00826AE2">
            <w:rPr>
              <w:bCs/>
              <w:noProof/>
            </w:rPr>
            <w:t>6</w:t>
          </w:r>
          <w:r w:rsidRPr="003046E6">
            <w:rPr>
              <w:bCs/>
              <w:noProof/>
            </w:rPr>
            <w:fldChar w:fldCharType="end"/>
          </w:r>
          <w:r w:rsidRPr="003046E6">
            <w:rPr>
              <w:bCs/>
            </w:rPr>
            <w:t xml:space="preserve"> </w:t>
          </w:r>
          <w:r w:rsidRPr="003046E6">
            <w:rPr>
              <w:b/>
              <w:bCs/>
            </w:rPr>
            <w:t xml:space="preserve">| </w:t>
          </w:r>
          <w:r w:rsidRPr="003046E6">
            <w:rPr>
              <w:color w:val="7F7F7F" w:themeColor="background1" w:themeShade="7F"/>
              <w:spacing w:val="60"/>
            </w:rPr>
            <w:t>Page</w:t>
          </w:r>
        </w:p>
      </w:tc>
    </w:tr>
  </w:tbl>
  <w:p w:rsidR="00E64CCD" w:rsidRPr="00E27344" w:rsidRDefault="00E64CCD" w:rsidP="008832FA">
    <w:pPr>
      <w:pStyle w:val="Footer"/>
      <w:tabs>
        <w:tab w:val="clear" w:pos="4513"/>
        <w:tab w:val="clear" w:pos="9026"/>
        <w:tab w:val="left" w:pos="3261"/>
        <w:tab w:val="right" w:pos="9072"/>
      </w:tabs>
      <w:ind w:left="-56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781" w:type="dxa"/>
      <w:tblInd w:w="108" w:type="dxa"/>
      <w:tblBorders>
        <w:top w:val="single" w:sz="2" w:space="0" w:color="D9D9D9" w:themeColor="background1" w:themeShade="D9"/>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60"/>
      <w:gridCol w:w="5521"/>
    </w:tblGrid>
    <w:tr w:rsidR="00E64CCD" w:rsidRPr="003046E6" w:rsidTr="00E14C9A">
      <w:tc>
        <w:tcPr>
          <w:tcW w:w="4260" w:type="dxa"/>
          <w:vAlign w:val="center"/>
        </w:tcPr>
        <w:p w:rsidR="00E64CCD" w:rsidRPr="003046E6" w:rsidRDefault="00E64CCD" w:rsidP="00E14C9A">
          <w:pPr>
            <w:pStyle w:val="Footer"/>
            <w:tabs>
              <w:tab w:val="clear" w:pos="4513"/>
              <w:tab w:val="clear" w:pos="9026"/>
            </w:tabs>
            <w:spacing w:before="120"/>
            <w:rPr>
              <w:color w:val="7F7F7F" w:themeColor="background1" w:themeShade="7F"/>
              <w:spacing w:val="60"/>
            </w:rPr>
          </w:pPr>
          <w:r w:rsidRPr="003046E6">
            <w:fldChar w:fldCharType="begin"/>
          </w:r>
          <w:r w:rsidRPr="003046E6">
            <w:instrText xml:space="preserve"> PAGE   \* MERGEFORMAT </w:instrText>
          </w:r>
          <w:r w:rsidRPr="003046E6">
            <w:fldChar w:fldCharType="separate"/>
          </w:r>
          <w:r w:rsidR="00150BC5" w:rsidRPr="00150BC5">
            <w:rPr>
              <w:bCs/>
              <w:noProof/>
            </w:rPr>
            <w:t>ii</w:t>
          </w:r>
          <w:r w:rsidRPr="003046E6">
            <w:rPr>
              <w:bCs/>
              <w:noProof/>
            </w:rPr>
            <w:fldChar w:fldCharType="end"/>
          </w:r>
          <w:r w:rsidRPr="003046E6">
            <w:rPr>
              <w:bCs/>
            </w:rPr>
            <w:t xml:space="preserve"> </w:t>
          </w:r>
          <w:r w:rsidRPr="003046E6">
            <w:rPr>
              <w:b/>
              <w:bCs/>
            </w:rPr>
            <w:t xml:space="preserve">| </w:t>
          </w:r>
          <w:r w:rsidRPr="003046E6">
            <w:rPr>
              <w:color w:val="7F7F7F" w:themeColor="background1" w:themeShade="7F"/>
              <w:spacing w:val="60"/>
            </w:rPr>
            <w:t>Page</w:t>
          </w:r>
        </w:p>
      </w:tc>
      <w:tc>
        <w:tcPr>
          <w:tcW w:w="5521" w:type="dxa"/>
          <w:vAlign w:val="center"/>
        </w:tcPr>
        <w:p w:rsidR="00E64CCD" w:rsidRPr="003046E6" w:rsidRDefault="00E64CCD" w:rsidP="00E14C9A">
          <w:pPr>
            <w:pStyle w:val="Footer"/>
            <w:tabs>
              <w:tab w:val="clear" w:pos="4513"/>
              <w:tab w:val="clear" w:pos="9026"/>
            </w:tabs>
            <w:spacing w:before="120"/>
            <w:jc w:val="right"/>
            <w:rPr>
              <w:b/>
              <w:bCs/>
            </w:rPr>
          </w:pPr>
          <w:r w:rsidRPr="003046E6">
            <w:rPr>
              <w:b/>
              <w:noProof/>
              <w:szCs w:val="20"/>
              <w:lang w:eastAsia="en-AU"/>
            </w:rPr>
            <w:drawing>
              <wp:inline distT="0" distB="0" distL="0" distR="0" wp14:anchorId="7CA609CC" wp14:editId="08D2CF00">
                <wp:extent cx="2247900" cy="190500"/>
                <wp:effectExtent l="0" t="0" r="0" b="0"/>
                <wp:docPr id="48" name="Picture 48"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p>
      </w:tc>
    </w:tr>
  </w:tbl>
  <w:p w:rsidR="00E64CCD" w:rsidRPr="00066C84" w:rsidRDefault="00E64CCD" w:rsidP="00066C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Ind w:w="250" w:type="dxa"/>
      <w:tblBorders>
        <w:top w:val="single" w:sz="2" w:space="0" w:color="D9D9D9" w:themeColor="background1" w:themeShade="D9"/>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60"/>
      <w:gridCol w:w="5379"/>
    </w:tblGrid>
    <w:tr w:rsidR="00E64CCD" w:rsidRPr="003046E6" w:rsidTr="00E64CCD">
      <w:tc>
        <w:tcPr>
          <w:tcW w:w="4260" w:type="dxa"/>
          <w:vAlign w:val="center"/>
        </w:tcPr>
        <w:p w:rsidR="00E64CCD" w:rsidRPr="003046E6" w:rsidRDefault="00E64CCD" w:rsidP="008832FA">
          <w:pPr>
            <w:pStyle w:val="Footer"/>
            <w:tabs>
              <w:tab w:val="clear" w:pos="4513"/>
              <w:tab w:val="clear" w:pos="9026"/>
            </w:tabs>
            <w:spacing w:before="120"/>
            <w:rPr>
              <w:color w:val="7F7F7F" w:themeColor="background1" w:themeShade="7F"/>
              <w:spacing w:val="60"/>
            </w:rPr>
          </w:pPr>
          <w:r w:rsidRPr="003046E6">
            <w:rPr>
              <w:b/>
              <w:noProof/>
              <w:szCs w:val="20"/>
              <w:lang w:eastAsia="en-AU"/>
            </w:rPr>
            <w:drawing>
              <wp:inline distT="0" distB="0" distL="0" distR="0" wp14:anchorId="7D89AFB2" wp14:editId="262629B1">
                <wp:extent cx="2247900" cy="190500"/>
                <wp:effectExtent l="0" t="0" r="0" b="0"/>
                <wp:docPr id="14" name="Picture 14"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p>
      </w:tc>
      <w:tc>
        <w:tcPr>
          <w:tcW w:w="5379" w:type="dxa"/>
          <w:vAlign w:val="center"/>
        </w:tcPr>
        <w:p w:rsidR="00E64CCD" w:rsidRPr="003046E6" w:rsidRDefault="00E64CCD" w:rsidP="008832FA">
          <w:pPr>
            <w:pStyle w:val="Footer"/>
            <w:tabs>
              <w:tab w:val="clear" w:pos="4513"/>
              <w:tab w:val="clear" w:pos="9026"/>
            </w:tabs>
            <w:spacing w:before="120"/>
            <w:jc w:val="right"/>
            <w:rPr>
              <w:b/>
              <w:bCs/>
            </w:rPr>
          </w:pPr>
          <w:r w:rsidRPr="003046E6">
            <w:fldChar w:fldCharType="begin"/>
          </w:r>
          <w:r w:rsidRPr="003046E6">
            <w:instrText xml:space="preserve"> PAGE   \* MERGEFORMAT </w:instrText>
          </w:r>
          <w:r w:rsidRPr="003046E6">
            <w:fldChar w:fldCharType="separate"/>
          </w:r>
          <w:r w:rsidR="00150BC5" w:rsidRPr="00150BC5">
            <w:rPr>
              <w:bCs/>
              <w:noProof/>
            </w:rPr>
            <w:t>1</w:t>
          </w:r>
          <w:r w:rsidRPr="003046E6">
            <w:rPr>
              <w:bCs/>
              <w:noProof/>
            </w:rPr>
            <w:fldChar w:fldCharType="end"/>
          </w:r>
          <w:r w:rsidRPr="003046E6">
            <w:rPr>
              <w:bCs/>
            </w:rPr>
            <w:t xml:space="preserve"> </w:t>
          </w:r>
          <w:r w:rsidRPr="003046E6">
            <w:rPr>
              <w:b/>
              <w:bCs/>
            </w:rPr>
            <w:t xml:space="preserve">| </w:t>
          </w:r>
          <w:r w:rsidRPr="003046E6">
            <w:rPr>
              <w:color w:val="7F7F7F" w:themeColor="background1" w:themeShade="7F"/>
              <w:spacing w:val="60"/>
            </w:rPr>
            <w:t>Page</w:t>
          </w:r>
        </w:p>
      </w:tc>
    </w:tr>
  </w:tbl>
  <w:p w:rsidR="00E64CCD" w:rsidRPr="00E27344" w:rsidRDefault="00E64CCD" w:rsidP="008832FA">
    <w:pPr>
      <w:pStyle w:val="Footer"/>
      <w:tabs>
        <w:tab w:val="clear" w:pos="4513"/>
        <w:tab w:val="clear" w:pos="9026"/>
        <w:tab w:val="left" w:pos="3261"/>
        <w:tab w:val="right" w:pos="9072"/>
      </w:tabs>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CCD" w:rsidRDefault="00E64CCD" w:rsidP="00E73B01">
      <w:r>
        <w:separator/>
      </w:r>
    </w:p>
  </w:footnote>
  <w:footnote w:type="continuationSeparator" w:id="0">
    <w:p w:rsidR="00E64CCD" w:rsidRDefault="00E64CCD" w:rsidP="00E73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CD" w:rsidRDefault="00E64CCD" w:rsidP="00E73B01">
    <w:pPr>
      <w:pStyle w:val="Header"/>
    </w:pPr>
    <w:r>
      <w:rPr>
        <w:noProof/>
        <w:lang w:eastAsia="en-AU"/>
      </w:rPr>
      <w:drawing>
        <wp:inline distT="0" distB="0" distL="0" distR="0" wp14:anchorId="29C5B8AC" wp14:editId="214A71F5">
          <wp:extent cx="7953375" cy="923925"/>
          <wp:effectExtent l="0" t="0" r="0" b="0"/>
          <wp:docPr id="15" name="Picture 15"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p w:rsidR="00E64CCD" w:rsidRDefault="00E64CCD" w:rsidP="00E73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CD" w:rsidRDefault="00E64CCD" w:rsidP="00E73B01">
    <w:pPr>
      <w:pStyle w:val="Header"/>
      <w:ind w:left="-567"/>
    </w:pPr>
    <w:r>
      <w:rPr>
        <w:noProof/>
        <w:lang w:eastAsia="en-AU"/>
      </w:rPr>
      <w:drawing>
        <wp:inline distT="0" distB="0" distL="0" distR="0" wp14:anchorId="400284D1" wp14:editId="3BAE2456">
          <wp:extent cx="7953375" cy="923925"/>
          <wp:effectExtent l="0" t="0" r="0" b="0"/>
          <wp:docPr id="16" name="Picture 16"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CD" w:rsidRPr="001D1249" w:rsidRDefault="00E64CCD" w:rsidP="00AC47A8">
    <w:pPr>
      <w:pStyle w:val="Header"/>
      <w:ind w:left="-1134"/>
      <w:rPr>
        <w:sz w:val="24"/>
        <w:szCs w:val="24"/>
      </w:rPr>
    </w:pPr>
    <w:r w:rsidRPr="001D1249">
      <w:rPr>
        <w:noProof/>
        <w:sz w:val="24"/>
        <w:szCs w:val="24"/>
        <w:lang w:eastAsia="en-AU"/>
      </w:rPr>
      <w:drawing>
        <wp:anchor distT="0" distB="0" distL="114300" distR="114300" simplePos="0" relativeHeight="251660288" behindDoc="0" locked="0" layoutInCell="1" allowOverlap="1" wp14:anchorId="4E2434DF" wp14:editId="5E0D258D">
          <wp:simplePos x="0" y="0"/>
          <wp:positionH relativeFrom="margin">
            <wp:posOffset>-729615</wp:posOffset>
          </wp:positionH>
          <wp:positionV relativeFrom="margin">
            <wp:posOffset>-463854</wp:posOffset>
          </wp:positionV>
          <wp:extent cx="7562850" cy="1790065"/>
          <wp:effectExtent l="0" t="0" r="0" b="635"/>
          <wp:wrapSquare wrapText="bothSides"/>
          <wp:docPr id="1" name="Picture 1"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 WorkSafe"/>
                  <pic:cNvPicPr>
                    <a:picLocks noChangeAspect="1" noChangeArrowheads="1"/>
                  </pic:cNvPicPr>
                </pic:nvPicPr>
                <pic:blipFill>
                  <a:blip r:embed="rId1">
                    <a:extLst>
                      <a:ext uri="{28A0092B-C50C-407E-A947-70E740481C1C}">
                        <a14:useLocalDpi xmlns:a14="http://schemas.microsoft.com/office/drawing/2010/main" val="0"/>
                      </a:ext>
                    </a:extLst>
                  </a:blip>
                  <a:srcRect l="12036"/>
                  <a:stretch>
                    <a:fillRect/>
                  </a:stretch>
                </pic:blipFill>
                <pic:spPr bwMode="auto">
                  <a:xfrm>
                    <a:off x="0" y="0"/>
                    <a:ext cx="7562850" cy="17900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CD" w:rsidRDefault="00E64CCD" w:rsidP="00A544B8">
    <w:pPr>
      <w:pStyle w:val="Header"/>
      <w:spacing w:before="900" w:after="120"/>
      <w:ind w:left="-2268" w:right="0"/>
      <w:jc w:val="center"/>
      <w:rPr>
        <w:noProof/>
        <w:lang w:eastAsia="en-A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CD" w:rsidRDefault="00E64CCD" w:rsidP="000B2DA3">
    <w:pPr>
      <w:pStyle w:val="Header"/>
      <w:ind w:left="-1134"/>
      <w:rPr>
        <w:noProof/>
        <w:lang w:eastAsia="en-AU"/>
      </w:rPr>
    </w:pPr>
  </w:p>
  <w:p w:rsidR="00E64CCD" w:rsidRPr="00530547" w:rsidRDefault="00E64CCD" w:rsidP="00530547">
    <w:pPr>
      <w:rPr>
        <w:b/>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CD" w:rsidRPr="007B543C" w:rsidRDefault="00E64CCD" w:rsidP="000E59DB">
    <w:pPr>
      <w:pStyle w:val="Header"/>
      <w:spacing w:before="900"/>
      <w:ind w:left="-2268" w:right="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CD" w:rsidRDefault="00E64CCD" w:rsidP="00A544B8">
    <w:pPr>
      <w:pStyle w:val="Header"/>
      <w:spacing w:before="240" w:after="120"/>
      <w:ind w:left="-1134" w:right="-1134"/>
      <w:jc w:val="center"/>
      <w:rPr>
        <w:noProof/>
        <w:lang w:eastAsia="en-AU"/>
      </w:rPr>
    </w:pPr>
    <w:r>
      <w:rPr>
        <w:noProof/>
        <w:lang w:eastAsia="en-AU"/>
      </w:rPr>
      <w:drawing>
        <wp:inline distT="0" distB="0" distL="0" distR="0" wp14:anchorId="64A52EE4" wp14:editId="3004D2CC">
          <wp:extent cx="7489740" cy="190500"/>
          <wp:effectExtent l="0" t="0" r="0" b="0"/>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corative"/>
                  <pic:cNvPicPr>
                    <a:picLocks noChangeAspect="1" noChangeArrowheads="1"/>
                  </pic:cNvPicPr>
                </pic:nvPicPr>
                <pic:blipFill rotWithShape="1">
                  <a:blip r:embed="rId1">
                    <a:extLst>
                      <a:ext uri="{28A0092B-C50C-407E-A947-70E740481C1C}">
                        <a14:useLocalDpi xmlns:a14="http://schemas.microsoft.com/office/drawing/2010/main" val="0"/>
                      </a:ext>
                    </a:extLst>
                  </a:blip>
                  <a:srcRect l="15540" t="-5262" b="-1"/>
                  <a:stretch/>
                </pic:blipFill>
                <pic:spPr bwMode="auto">
                  <a:xfrm>
                    <a:off x="0" y="0"/>
                    <a:ext cx="7837502" cy="1993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CD" w:rsidRDefault="00E64CCD" w:rsidP="00A544B8">
    <w:pPr>
      <w:pStyle w:val="Header"/>
      <w:spacing w:before="240" w:after="120"/>
      <w:ind w:left="-1134" w:right="-1134"/>
      <w:rPr>
        <w:noProof/>
        <w:lang w:eastAsia="en-AU"/>
      </w:rPr>
    </w:pPr>
    <w:r>
      <w:rPr>
        <w:noProof/>
        <w:lang w:eastAsia="en-AU"/>
      </w:rPr>
      <w:drawing>
        <wp:inline distT="0" distB="0" distL="0" distR="0" wp14:anchorId="28F60CB1" wp14:editId="02519DB9">
          <wp:extent cx="7613994" cy="193675"/>
          <wp:effectExtent l="0" t="0" r="6350" b="0"/>
          <wp:docPr id="10" name="Picture 1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corative"/>
                  <pic:cNvPicPr>
                    <a:picLocks noChangeAspect="1" noChangeArrowheads="1"/>
                  </pic:cNvPicPr>
                </pic:nvPicPr>
                <pic:blipFill rotWithShape="1">
                  <a:blip r:embed="rId1">
                    <a:extLst>
                      <a:ext uri="{28A0092B-C50C-407E-A947-70E740481C1C}">
                        <a14:useLocalDpi xmlns:a14="http://schemas.microsoft.com/office/drawing/2010/main" val="0"/>
                      </a:ext>
                    </a:extLst>
                  </a:blip>
                  <a:srcRect l="15540" t="-5262" b="-1"/>
                  <a:stretch/>
                </pic:blipFill>
                <pic:spPr bwMode="auto">
                  <a:xfrm>
                    <a:off x="0" y="0"/>
                    <a:ext cx="7926921" cy="20163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CD" w:rsidRPr="007B543C" w:rsidRDefault="00E64CCD" w:rsidP="00A544B8">
    <w:pPr>
      <w:pStyle w:val="Header"/>
      <w:tabs>
        <w:tab w:val="clear" w:pos="4513"/>
        <w:tab w:val="clear" w:pos="9026"/>
      </w:tabs>
      <w:ind w:left="-1134" w:right="-1134"/>
    </w:pPr>
    <w:r>
      <w:rPr>
        <w:noProof/>
        <w:lang w:eastAsia="en-AU"/>
      </w:rPr>
      <w:drawing>
        <wp:inline distT="0" distB="0" distL="0" distR="0" wp14:anchorId="62F37F4C" wp14:editId="32677F8B">
          <wp:extent cx="7541579" cy="988695"/>
          <wp:effectExtent l="0" t="0" r="2540" b="0"/>
          <wp:docPr id="11" name="Picture 11"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T WorkSafe"/>
                  <pic:cNvPicPr>
                    <a:picLocks noChangeAspect="1" noChangeArrowheads="1"/>
                  </pic:cNvPicPr>
                </pic:nvPicPr>
                <pic:blipFill rotWithShape="1">
                  <a:blip r:embed="rId1">
                    <a:extLst>
                      <a:ext uri="{28A0092B-C50C-407E-A947-70E740481C1C}">
                        <a14:useLocalDpi xmlns:a14="http://schemas.microsoft.com/office/drawing/2010/main" val="0"/>
                      </a:ext>
                    </a:extLst>
                  </a:blip>
                  <a:srcRect t="-1" r="5927" b="-6221"/>
                  <a:stretch/>
                </pic:blipFill>
                <pic:spPr bwMode="auto">
                  <a:xfrm>
                    <a:off x="0" y="0"/>
                    <a:ext cx="7695698" cy="10089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8D275DE"/>
    <w:lvl w:ilvl="0">
      <w:start w:val="1"/>
      <w:numFmt w:val="decimal"/>
      <w:lvlText w:val="%1."/>
      <w:lvlJc w:val="left"/>
      <w:pPr>
        <w:tabs>
          <w:tab w:val="num" w:pos="360"/>
        </w:tabs>
        <w:ind w:left="360" w:hanging="360"/>
      </w:pPr>
    </w:lvl>
  </w:abstractNum>
  <w:abstractNum w:abstractNumId="1" w15:restartNumberingAfterBreak="0">
    <w:nsid w:val="03255C6F"/>
    <w:multiLevelType w:val="hybridMultilevel"/>
    <w:tmpl w:val="9DE4B1EE"/>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B038AB"/>
    <w:multiLevelType w:val="hybridMultilevel"/>
    <w:tmpl w:val="5D7CFBE0"/>
    <w:lvl w:ilvl="0" w:tplc="84E0246C">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8961E6D"/>
    <w:multiLevelType w:val="hybridMultilevel"/>
    <w:tmpl w:val="F3C2D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9A57B7"/>
    <w:multiLevelType w:val="hybridMultilevel"/>
    <w:tmpl w:val="BB788D96"/>
    <w:lvl w:ilvl="0" w:tplc="A8A66D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8602D"/>
    <w:multiLevelType w:val="hybridMultilevel"/>
    <w:tmpl w:val="D02EF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2B1B27"/>
    <w:multiLevelType w:val="hybridMultilevel"/>
    <w:tmpl w:val="E0EAED88"/>
    <w:lvl w:ilvl="0" w:tplc="F566DBC6">
      <w:start w:val="1"/>
      <w:numFmt w:val="lowerLetter"/>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BB7812"/>
    <w:multiLevelType w:val="hybridMultilevel"/>
    <w:tmpl w:val="47D4E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F40DB9"/>
    <w:multiLevelType w:val="hybridMultilevel"/>
    <w:tmpl w:val="258CDFEE"/>
    <w:lvl w:ilvl="0" w:tplc="EABA819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8A4F09"/>
    <w:multiLevelType w:val="hybridMultilevel"/>
    <w:tmpl w:val="5FD631C2"/>
    <w:lvl w:ilvl="0" w:tplc="662AEC1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256FCB"/>
    <w:multiLevelType w:val="hybridMultilevel"/>
    <w:tmpl w:val="43E039C6"/>
    <w:lvl w:ilvl="0" w:tplc="90464E88">
      <w:start w:val="1"/>
      <w:numFmt w:val="bullet"/>
      <w:lvlText w:val="–"/>
      <w:lvlJc w:val="left"/>
      <w:pPr>
        <w:ind w:left="1080" w:hanging="360"/>
      </w:pPr>
      <w:rPr>
        <w:rFonts w:ascii="Arial" w:hAnsi="Arial" w:hint="default"/>
      </w:rPr>
    </w:lvl>
    <w:lvl w:ilvl="1" w:tplc="44422252">
      <w:numFmt w:val="bullet"/>
      <w:lvlText w:val="–"/>
      <w:lvlJc w:val="left"/>
      <w:pPr>
        <w:ind w:left="2160" w:hanging="720"/>
      </w:pPr>
      <w:rPr>
        <w:rFonts w:ascii="Arial" w:eastAsia="Calibri" w:hAnsi="Arial" w:cs="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AC253F8"/>
    <w:multiLevelType w:val="hybridMultilevel"/>
    <w:tmpl w:val="43E039C6"/>
    <w:lvl w:ilvl="0" w:tplc="90464E88">
      <w:start w:val="1"/>
      <w:numFmt w:val="bullet"/>
      <w:pStyle w:val="orangebulletlist"/>
      <w:lvlText w:val=""/>
      <w:lvlJc w:val="left"/>
      <w:pPr>
        <w:ind w:left="720" w:hanging="360"/>
      </w:pPr>
      <w:rPr>
        <w:rFonts w:ascii="Wingdings" w:hAnsi="Wingdings" w:hint="default"/>
        <w:color w:val="E36C0A" w:themeColor="accent6" w:themeShade="BF"/>
      </w:rPr>
    </w:lvl>
    <w:lvl w:ilvl="1" w:tplc="44422252">
      <w:numFmt w:val="bullet"/>
      <w:lvlText w:val="–"/>
      <w:lvlJc w:val="left"/>
      <w:pPr>
        <w:ind w:left="1800" w:hanging="720"/>
      </w:pPr>
      <w:rPr>
        <w:rFonts w:ascii="Arial" w:eastAsia="Calibri" w:hAnsi="Arial"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F702DF"/>
    <w:multiLevelType w:val="hybridMultilevel"/>
    <w:tmpl w:val="A328C0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331A03"/>
    <w:multiLevelType w:val="hybridMultilevel"/>
    <w:tmpl w:val="540A5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CE181E"/>
    <w:multiLevelType w:val="hybridMultilevel"/>
    <w:tmpl w:val="B3AED2AA"/>
    <w:lvl w:ilvl="0" w:tplc="0C090011">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4E626BA"/>
    <w:multiLevelType w:val="hybridMultilevel"/>
    <w:tmpl w:val="B9964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E601E5"/>
    <w:multiLevelType w:val="hybridMultilevel"/>
    <w:tmpl w:val="A49C65C8"/>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17" w15:restartNumberingAfterBreak="0">
    <w:nsid w:val="692621D3"/>
    <w:multiLevelType w:val="multilevel"/>
    <w:tmpl w:val="9738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9C0077"/>
    <w:multiLevelType w:val="hybridMultilevel"/>
    <w:tmpl w:val="20A6D108"/>
    <w:lvl w:ilvl="0" w:tplc="C83C32A6">
      <w:start w:val="1"/>
      <w:numFmt w:val="decimal"/>
      <w:lvlText w:val="%1."/>
      <w:lvlJc w:val="left"/>
      <w:pPr>
        <w:ind w:left="1135" w:hanging="72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9" w15:restartNumberingAfterBreak="0">
    <w:nsid w:val="75EC1E6E"/>
    <w:multiLevelType w:val="hybridMultilevel"/>
    <w:tmpl w:val="3AFC25B6"/>
    <w:lvl w:ilvl="0" w:tplc="FFFFFFFF">
      <w:start w:val="1"/>
      <w:numFmt w:val="decimal"/>
      <w:pStyle w:val="bullet1"/>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34A5E"/>
    <w:multiLevelType w:val="hybridMultilevel"/>
    <w:tmpl w:val="75D03F80"/>
    <w:lvl w:ilvl="0" w:tplc="84E0246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C2B48EF"/>
    <w:multiLevelType w:val="hybridMultilevel"/>
    <w:tmpl w:val="05D4EC80"/>
    <w:lvl w:ilvl="0" w:tplc="F566DBC6">
      <w:start w:val="1"/>
      <w:numFmt w:val="lowerLetter"/>
      <w:lvlText w:val="%1)"/>
      <w:lvlJc w:val="left"/>
      <w:pPr>
        <w:ind w:left="1440" w:hanging="720"/>
      </w:pPr>
      <w:rPr>
        <w:rFonts w:hint="default"/>
      </w:rPr>
    </w:lvl>
    <w:lvl w:ilvl="1" w:tplc="79F419E4">
      <w:start w:val="1"/>
      <w:numFmt w:val="decimal"/>
      <w:lvlText w:val="%2)"/>
      <w:lvlJc w:val="left"/>
      <w:pPr>
        <w:ind w:left="2160" w:hanging="72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D0F70A1"/>
    <w:multiLevelType w:val="hybridMultilevel"/>
    <w:tmpl w:val="01626CA0"/>
    <w:lvl w:ilvl="0" w:tplc="EABA819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16"/>
  </w:num>
  <w:num w:numId="3">
    <w:abstractNumId w:val="1"/>
  </w:num>
  <w:num w:numId="4">
    <w:abstractNumId w:val="19"/>
  </w:num>
  <w:num w:numId="5">
    <w:abstractNumId w:val="4"/>
  </w:num>
  <w:num w:numId="6">
    <w:abstractNumId w:val="10"/>
  </w:num>
  <w:num w:numId="7">
    <w:abstractNumId w:val="18"/>
  </w:num>
  <w:num w:numId="8">
    <w:abstractNumId w:val="11"/>
  </w:num>
  <w:num w:numId="9">
    <w:abstractNumId w:val="11"/>
  </w:num>
  <w:num w:numId="10">
    <w:abstractNumId w:val="11"/>
  </w:num>
  <w:num w:numId="11">
    <w:abstractNumId w:val="12"/>
  </w:num>
  <w:num w:numId="12">
    <w:abstractNumId w:val="9"/>
  </w:num>
  <w:num w:numId="13">
    <w:abstractNumId w:val="21"/>
  </w:num>
  <w:num w:numId="14">
    <w:abstractNumId w:val="6"/>
  </w:num>
  <w:num w:numId="15">
    <w:abstractNumId w:val="14"/>
  </w:num>
  <w:num w:numId="16">
    <w:abstractNumId w:val="22"/>
  </w:num>
  <w:num w:numId="17">
    <w:abstractNumId w:val="20"/>
  </w:num>
  <w:num w:numId="18">
    <w:abstractNumId w:val="7"/>
  </w:num>
  <w:num w:numId="19">
    <w:abstractNumId w:val="15"/>
  </w:num>
  <w:num w:numId="20">
    <w:abstractNumId w:val="3"/>
  </w:num>
  <w:num w:numId="21">
    <w:abstractNumId w:val="8"/>
  </w:num>
  <w:num w:numId="22">
    <w:abstractNumId w:val="2"/>
  </w:num>
  <w:num w:numId="23">
    <w:abstractNumId w:val="17"/>
  </w:num>
  <w:num w:numId="24">
    <w:abstractNumId w:val="5"/>
  </w:num>
  <w:num w:numId="25">
    <w:abstractNumId w:val="0"/>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66"/>
    <w:rsid w:val="00006A95"/>
    <w:rsid w:val="00011823"/>
    <w:rsid w:val="00013EA7"/>
    <w:rsid w:val="00023FD1"/>
    <w:rsid w:val="00025703"/>
    <w:rsid w:val="00037019"/>
    <w:rsid w:val="00041729"/>
    <w:rsid w:val="000427C4"/>
    <w:rsid w:val="00045DF7"/>
    <w:rsid w:val="000603FE"/>
    <w:rsid w:val="000606D9"/>
    <w:rsid w:val="000614A6"/>
    <w:rsid w:val="00063ABA"/>
    <w:rsid w:val="00066C84"/>
    <w:rsid w:val="00081C65"/>
    <w:rsid w:val="000A3451"/>
    <w:rsid w:val="000A4D40"/>
    <w:rsid w:val="000B0D34"/>
    <w:rsid w:val="000B2DA3"/>
    <w:rsid w:val="000D4C4C"/>
    <w:rsid w:val="000E3135"/>
    <w:rsid w:val="000E4A98"/>
    <w:rsid w:val="000E59DB"/>
    <w:rsid w:val="000E76C0"/>
    <w:rsid w:val="00116D22"/>
    <w:rsid w:val="00116D66"/>
    <w:rsid w:val="00121C6B"/>
    <w:rsid w:val="00123540"/>
    <w:rsid w:val="001352D3"/>
    <w:rsid w:val="00141B6B"/>
    <w:rsid w:val="001461A8"/>
    <w:rsid w:val="00146DE6"/>
    <w:rsid w:val="00150BC5"/>
    <w:rsid w:val="00154152"/>
    <w:rsid w:val="0016338D"/>
    <w:rsid w:val="00165ABA"/>
    <w:rsid w:val="00172CBB"/>
    <w:rsid w:val="00174094"/>
    <w:rsid w:val="00185876"/>
    <w:rsid w:val="00186345"/>
    <w:rsid w:val="001A3B4E"/>
    <w:rsid w:val="001A439D"/>
    <w:rsid w:val="001B13D9"/>
    <w:rsid w:val="001C45C5"/>
    <w:rsid w:val="001C751D"/>
    <w:rsid w:val="001D1249"/>
    <w:rsid w:val="001D1F23"/>
    <w:rsid w:val="001D7431"/>
    <w:rsid w:val="001E4A34"/>
    <w:rsid w:val="001F03BE"/>
    <w:rsid w:val="001F35EA"/>
    <w:rsid w:val="002039E7"/>
    <w:rsid w:val="00203EDC"/>
    <w:rsid w:val="00205517"/>
    <w:rsid w:val="00210028"/>
    <w:rsid w:val="002140B6"/>
    <w:rsid w:val="0021701E"/>
    <w:rsid w:val="00223A7D"/>
    <w:rsid w:val="00223F99"/>
    <w:rsid w:val="00226F50"/>
    <w:rsid w:val="00233CE8"/>
    <w:rsid w:val="002408E3"/>
    <w:rsid w:val="002418A7"/>
    <w:rsid w:val="00247948"/>
    <w:rsid w:val="0025438D"/>
    <w:rsid w:val="002650AC"/>
    <w:rsid w:val="00275520"/>
    <w:rsid w:val="00286E6C"/>
    <w:rsid w:val="002877AF"/>
    <w:rsid w:val="002921F4"/>
    <w:rsid w:val="002A179D"/>
    <w:rsid w:val="002A41FB"/>
    <w:rsid w:val="002B33C6"/>
    <w:rsid w:val="002B5CA9"/>
    <w:rsid w:val="002D4562"/>
    <w:rsid w:val="002D5C51"/>
    <w:rsid w:val="002F3C7F"/>
    <w:rsid w:val="002F3E97"/>
    <w:rsid w:val="00300327"/>
    <w:rsid w:val="00304985"/>
    <w:rsid w:val="00307B76"/>
    <w:rsid w:val="00310ADC"/>
    <w:rsid w:val="003165E1"/>
    <w:rsid w:val="0032276E"/>
    <w:rsid w:val="00326A33"/>
    <w:rsid w:val="00333771"/>
    <w:rsid w:val="003364C1"/>
    <w:rsid w:val="00341017"/>
    <w:rsid w:val="003514FA"/>
    <w:rsid w:val="0035310A"/>
    <w:rsid w:val="003535CF"/>
    <w:rsid w:val="003536E1"/>
    <w:rsid w:val="00353DBA"/>
    <w:rsid w:val="00362F50"/>
    <w:rsid w:val="003647AE"/>
    <w:rsid w:val="003753BE"/>
    <w:rsid w:val="00375C48"/>
    <w:rsid w:val="00376AC1"/>
    <w:rsid w:val="003843AC"/>
    <w:rsid w:val="0038536D"/>
    <w:rsid w:val="003B67CB"/>
    <w:rsid w:val="003C26A0"/>
    <w:rsid w:val="003C6442"/>
    <w:rsid w:val="003C7B7C"/>
    <w:rsid w:val="003D1B47"/>
    <w:rsid w:val="003D7C13"/>
    <w:rsid w:val="003E3F8A"/>
    <w:rsid w:val="003F13EC"/>
    <w:rsid w:val="004060AF"/>
    <w:rsid w:val="00407E1D"/>
    <w:rsid w:val="00410672"/>
    <w:rsid w:val="004230DD"/>
    <w:rsid w:val="004231EA"/>
    <w:rsid w:val="00427E32"/>
    <w:rsid w:val="00430CB0"/>
    <w:rsid w:val="0045223D"/>
    <w:rsid w:val="00464C2C"/>
    <w:rsid w:val="0047151D"/>
    <w:rsid w:val="004809FA"/>
    <w:rsid w:val="00484A7F"/>
    <w:rsid w:val="00487454"/>
    <w:rsid w:val="00491037"/>
    <w:rsid w:val="00493703"/>
    <w:rsid w:val="004A3054"/>
    <w:rsid w:val="004A31AD"/>
    <w:rsid w:val="004B4C77"/>
    <w:rsid w:val="004C043C"/>
    <w:rsid w:val="004D1350"/>
    <w:rsid w:val="004D77E6"/>
    <w:rsid w:val="00500F3C"/>
    <w:rsid w:val="00507331"/>
    <w:rsid w:val="00507B6D"/>
    <w:rsid w:val="0051037C"/>
    <w:rsid w:val="00530547"/>
    <w:rsid w:val="00531424"/>
    <w:rsid w:val="0053256B"/>
    <w:rsid w:val="005447EF"/>
    <w:rsid w:val="00546F32"/>
    <w:rsid w:val="00550351"/>
    <w:rsid w:val="00551407"/>
    <w:rsid w:val="00553FDB"/>
    <w:rsid w:val="0055430F"/>
    <w:rsid w:val="0055465E"/>
    <w:rsid w:val="005770AC"/>
    <w:rsid w:val="00580005"/>
    <w:rsid w:val="00592C6E"/>
    <w:rsid w:val="005A5157"/>
    <w:rsid w:val="005A56F2"/>
    <w:rsid w:val="005A5B68"/>
    <w:rsid w:val="005A77B7"/>
    <w:rsid w:val="005B72E1"/>
    <w:rsid w:val="005C0489"/>
    <w:rsid w:val="005C3862"/>
    <w:rsid w:val="005C5872"/>
    <w:rsid w:val="005C5FB5"/>
    <w:rsid w:val="005D406B"/>
    <w:rsid w:val="005F1551"/>
    <w:rsid w:val="0060361A"/>
    <w:rsid w:val="00611586"/>
    <w:rsid w:val="00616771"/>
    <w:rsid w:val="00624327"/>
    <w:rsid w:val="00631047"/>
    <w:rsid w:val="006345CE"/>
    <w:rsid w:val="0063587F"/>
    <w:rsid w:val="00640679"/>
    <w:rsid w:val="006414ED"/>
    <w:rsid w:val="006427BA"/>
    <w:rsid w:val="00642880"/>
    <w:rsid w:val="0066252B"/>
    <w:rsid w:val="00662E30"/>
    <w:rsid w:val="006659D3"/>
    <w:rsid w:val="00670136"/>
    <w:rsid w:val="00683098"/>
    <w:rsid w:val="00684F06"/>
    <w:rsid w:val="00685C79"/>
    <w:rsid w:val="00685D69"/>
    <w:rsid w:val="0069200F"/>
    <w:rsid w:val="006A1047"/>
    <w:rsid w:val="006A3854"/>
    <w:rsid w:val="006B050B"/>
    <w:rsid w:val="006B42CD"/>
    <w:rsid w:val="006C1507"/>
    <w:rsid w:val="006C3CD9"/>
    <w:rsid w:val="006D2FE8"/>
    <w:rsid w:val="006E181E"/>
    <w:rsid w:val="006E45A5"/>
    <w:rsid w:val="0070276A"/>
    <w:rsid w:val="00704424"/>
    <w:rsid w:val="00710A73"/>
    <w:rsid w:val="00723495"/>
    <w:rsid w:val="00727842"/>
    <w:rsid w:val="007278C5"/>
    <w:rsid w:val="007352EB"/>
    <w:rsid w:val="00751F48"/>
    <w:rsid w:val="007607DD"/>
    <w:rsid w:val="007671AA"/>
    <w:rsid w:val="00777089"/>
    <w:rsid w:val="007803B6"/>
    <w:rsid w:val="007921CF"/>
    <w:rsid w:val="00794B89"/>
    <w:rsid w:val="007A7E57"/>
    <w:rsid w:val="007B13E7"/>
    <w:rsid w:val="007B2095"/>
    <w:rsid w:val="007B5208"/>
    <w:rsid w:val="007B543C"/>
    <w:rsid w:val="007D0CA1"/>
    <w:rsid w:val="007D47E0"/>
    <w:rsid w:val="007F6818"/>
    <w:rsid w:val="0080227A"/>
    <w:rsid w:val="00807A80"/>
    <w:rsid w:val="0081182F"/>
    <w:rsid w:val="00816609"/>
    <w:rsid w:val="00821050"/>
    <w:rsid w:val="00826AE2"/>
    <w:rsid w:val="00852250"/>
    <w:rsid w:val="00856EB0"/>
    <w:rsid w:val="00857C8E"/>
    <w:rsid w:val="00860A56"/>
    <w:rsid w:val="0086187E"/>
    <w:rsid w:val="00874DFF"/>
    <w:rsid w:val="00876E8B"/>
    <w:rsid w:val="00880C93"/>
    <w:rsid w:val="00882211"/>
    <w:rsid w:val="008832FA"/>
    <w:rsid w:val="00885E7F"/>
    <w:rsid w:val="008901BF"/>
    <w:rsid w:val="008A2B48"/>
    <w:rsid w:val="008A41C8"/>
    <w:rsid w:val="008A4FEB"/>
    <w:rsid w:val="008A6B26"/>
    <w:rsid w:val="008A7733"/>
    <w:rsid w:val="008C1BD8"/>
    <w:rsid w:val="008F57D6"/>
    <w:rsid w:val="009070F2"/>
    <w:rsid w:val="009122BC"/>
    <w:rsid w:val="009144E4"/>
    <w:rsid w:val="00924089"/>
    <w:rsid w:val="009344A7"/>
    <w:rsid w:val="009362ED"/>
    <w:rsid w:val="009441E9"/>
    <w:rsid w:val="009508EE"/>
    <w:rsid w:val="00950FA2"/>
    <w:rsid w:val="00953F3E"/>
    <w:rsid w:val="00954EE2"/>
    <w:rsid w:val="009578BF"/>
    <w:rsid w:val="00965C80"/>
    <w:rsid w:val="00972D81"/>
    <w:rsid w:val="00987458"/>
    <w:rsid w:val="00987C23"/>
    <w:rsid w:val="009A41EE"/>
    <w:rsid w:val="009B4025"/>
    <w:rsid w:val="009C3A77"/>
    <w:rsid w:val="009C59A6"/>
    <w:rsid w:val="009D796E"/>
    <w:rsid w:val="009F1720"/>
    <w:rsid w:val="009F301F"/>
    <w:rsid w:val="00A00692"/>
    <w:rsid w:val="00A02C3B"/>
    <w:rsid w:val="00A03AAD"/>
    <w:rsid w:val="00A06138"/>
    <w:rsid w:val="00A07A0E"/>
    <w:rsid w:val="00A1266B"/>
    <w:rsid w:val="00A20C0D"/>
    <w:rsid w:val="00A240F2"/>
    <w:rsid w:val="00A242C3"/>
    <w:rsid w:val="00A2515E"/>
    <w:rsid w:val="00A25EBB"/>
    <w:rsid w:val="00A37248"/>
    <w:rsid w:val="00A41728"/>
    <w:rsid w:val="00A42D1C"/>
    <w:rsid w:val="00A45EEE"/>
    <w:rsid w:val="00A50D41"/>
    <w:rsid w:val="00A544B8"/>
    <w:rsid w:val="00A66A47"/>
    <w:rsid w:val="00A75DE9"/>
    <w:rsid w:val="00A80B63"/>
    <w:rsid w:val="00A872D9"/>
    <w:rsid w:val="00A93A1E"/>
    <w:rsid w:val="00A960F0"/>
    <w:rsid w:val="00AA1B5F"/>
    <w:rsid w:val="00AB29D8"/>
    <w:rsid w:val="00AB32FA"/>
    <w:rsid w:val="00AB4A9F"/>
    <w:rsid w:val="00AB5879"/>
    <w:rsid w:val="00AC47A8"/>
    <w:rsid w:val="00AD6A41"/>
    <w:rsid w:val="00AE18F2"/>
    <w:rsid w:val="00B01FA5"/>
    <w:rsid w:val="00B041B3"/>
    <w:rsid w:val="00B0784E"/>
    <w:rsid w:val="00B15765"/>
    <w:rsid w:val="00B20279"/>
    <w:rsid w:val="00B25CF1"/>
    <w:rsid w:val="00B32BC7"/>
    <w:rsid w:val="00B42BA2"/>
    <w:rsid w:val="00B63E83"/>
    <w:rsid w:val="00B65F8D"/>
    <w:rsid w:val="00B76AE8"/>
    <w:rsid w:val="00B82135"/>
    <w:rsid w:val="00B939CE"/>
    <w:rsid w:val="00BA19C0"/>
    <w:rsid w:val="00BA7482"/>
    <w:rsid w:val="00BB0C00"/>
    <w:rsid w:val="00BC2666"/>
    <w:rsid w:val="00BC328A"/>
    <w:rsid w:val="00BC7D34"/>
    <w:rsid w:val="00BD488D"/>
    <w:rsid w:val="00BD4C7D"/>
    <w:rsid w:val="00BE0C83"/>
    <w:rsid w:val="00BE620A"/>
    <w:rsid w:val="00BE6BAE"/>
    <w:rsid w:val="00BF1965"/>
    <w:rsid w:val="00BF1979"/>
    <w:rsid w:val="00C011C0"/>
    <w:rsid w:val="00C01942"/>
    <w:rsid w:val="00C01F77"/>
    <w:rsid w:val="00C03B0A"/>
    <w:rsid w:val="00C03E71"/>
    <w:rsid w:val="00C13E88"/>
    <w:rsid w:val="00C144FD"/>
    <w:rsid w:val="00C302F5"/>
    <w:rsid w:val="00C3614A"/>
    <w:rsid w:val="00C4170D"/>
    <w:rsid w:val="00C431B8"/>
    <w:rsid w:val="00C65EEE"/>
    <w:rsid w:val="00C75D7F"/>
    <w:rsid w:val="00C7787E"/>
    <w:rsid w:val="00C8345D"/>
    <w:rsid w:val="00C95E67"/>
    <w:rsid w:val="00CA3078"/>
    <w:rsid w:val="00CB480E"/>
    <w:rsid w:val="00CB793E"/>
    <w:rsid w:val="00CC2514"/>
    <w:rsid w:val="00CD3184"/>
    <w:rsid w:val="00CE5B94"/>
    <w:rsid w:val="00CF15FE"/>
    <w:rsid w:val="00CF502D"/>
    <w:rsid w:val="00D00DBB"/>
    <w:rsid w:val="00D12EFA"/>
    <w:rsid w:val="00D202ED"/>
    <w:rsid w:val="00D23D8F"/>
    <w:rsid w:val="00D27A26"/>
    <w:rsid w:val="00D27F9F"/>
    <w:rsid w:val="00D3032F"/>
    <w:rsid w:val="00D37095"/>
    <w:rsid w:val="00D479D2"/>
    <w:rsid w:val="00D53301"/>
    <w:rsid w:val="00D755B2"/>
    <w:rsid w:val="00D76E91"/>
    <w:rsid w:val="00D876D0"/>
    <w:rsid w:val="00D944CA"/>
    <w:rsid w:val="00DA2364"/>
    <w:rsid w:val="00DA50B1"/>
    <w:rsid w:val="00DA5753"/>
    <w:rsid w:val="00DA6536"/>
    <w:rsid w:val="00DB2D3C"/>
    <w:rsid w:val="00DC4CA0"/>
    <w:rsid w:val="00DC7264"/>
    <w:rsid w:val="00DE0A15"/>
    <w:rsid w:val="00DE29CD"/>
    <w:rsid w:val="00DF6EB7"/>
    <w:rsid w:val="00E046FF"/>
    <w:rsid w:val="00E1075C"/>
    <w:rsid w:val="00E12070"/>
    <w:rsid w:val="00E14C9A"/>
    <w:rsid w:val="00E26531"/>
    <w:rsid w:val="00E27344"/>
    <w:rsid w:val="00E317B6"/>
    <w:rsid w:val="00E32119"/>
    <w:rsid w:val="00E40C8C"/>
    <w:rsid w:val="00E50535"/>
    <w:rsid w:val="00E51AAD"/>
    <w:rsid w:val="00E52FB9"/>
    <w:rsid w:val="00E56308"/>
    <w:rsid w:val="00E57067"/>
    <w:rsid w:val="00E64CCD"/>
    <w:rsid w:val="00E73B01"/>
    <w:rsid w:val="00E7678E"/>
    <w:rsid w:val="00E8247E"/>
    <w:rsid w:val="00E9177E"/>
    <w:rsid w:val="00E95D09"/>
    <w:rsid w:val="00E95DC3"/>
    <w:rsid w:val="00EA1072"/>
    <w:rsid w:val="00EA3CE9"/>
    <w:rsid w:val="00EC2B80"/>
    <w:rsid w:val="00ED2564"/>
    <w:rsid w:val="00EE31B4"/>
    <w:rsid w:val="00EE4A00"/>
    <w:rsid w:val="00EE76B2"/>
    <w:rsid w:val="00EF5E66"/>
    <w:rsid w:val="00F3109A"/>
    <w:rsid w:val="00F34049"/>
    <w:rsid w:val="00F42A24"/>
    <w:rsid w:val="00F47F17"/>
    <w:rsid w:val="00F536BD"/>
    <w:rsid w:val="00F56356"/>
    <w:rsid w:val="00F86C3E"/>
    <w:rsid w:val="00F91B87"/>
    <w:rsid w:val="00F938F5"/>
    <w:rsid w:val="00FA1395"/>
    <w:rsid w:val="00FA5776"/>
    <w:rsid w:val="00FA6AE2"/>
    <w:rsid w:val="00FB0216"/>
    <w:rsid w:val="00FC20AA"/>
    <w:rsid w:val="00FD343F"/>
    <w:rsid w:val="00FF2CC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A270B40"/>
  <w15:docId w15:val="{8CFD20A9-45A3-441C-8D5D-F860340F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en-AU" w:eastAsia="en-AU"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F23"/>
    <w:pPr>
      <w:spacing w:after="200"/>
    </w:pPr>
    <w:rPr>
      <w:rFonts w:ascii="Arial" w:hAnsi="Arial"/>
      <w:sz w:val="22"/>
      <w:szCs w:val="22"/>
      <w:lang w:eastAsia="en-US"/>
    </w:rPr>
  </w:style>
  <w:style w:type="paragraph" w:styleId="Heading1">
    <w:name w:val="heading 1"/>
    <w:basedOn w:val="Normal"/>
    <w:next w:val="Normal"/>
    <w:link w:val="Heading1Char"/>
    <w:uiPriority w:val="9"/>
    <w:qFormat/>
    <w:rsid w:val="00121C6B"/>
    <w:pPr>
      <w:keepNext/>
      <w:keepLines/>
      <w:spacing w:before="480" w:after="24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5C0489"/>
    <w:pPr>
      <w:keepNext/>
      <w:keepLines/>
      <w:spacing w:before="360" w:after="180"/>
      <w:outlineLvl w:val="1"/>
    </w:pPr>
    <w:rPr>
      <w:rFonts w:eastAsia="Times New Roman"/>
      <w:b/>
      <w:bCs/>
      <w:color w:val="808080"/>
      <w:sz w:val="28"/>
      <w:szCs w:val="24"/>
    </w:rPr>
  </w:style>
  <w:style w:type="paragraph" w:styleId="Heading3">
    <w:name w:val="heading 3"/>
    <w:basedOn w:val="Normal"/>
    <w:next w:val="Normal"/>
    <w:link w:val="Heading3Char"/>
    <w:uiPriority w:val="9"/>
    <w:unhideWhenUsed/>
    <w:rsid w:val="00A00692"/>
    <w:pPr>
      <w:keepNext/>
      <w:keepLines/>
      <w:spacing w:before="240"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E73B01"/>
    <w:pPr>
      <w:keepNext/>
      <w:keepLines/>
      <w:spacing w:before="360" w:after="120"/>
      <w:outlineLvl w:val="3"/>
    </w:pPr>
    <w:rPr>
      <w:rFonts w:eastAsia="Times New Roman"/>
      <w:b/>
      <w:bCs/>
      <w:iCs/>
      <w:color w:val="808080"/>
      <w:sz w:val="20"/>
    </w:rPr>
  </w:style>
  <w:style w:type="paragraph" w:styleId="Heading9">
    <w:name w:val="heading 9"/>
    <w:basedOn w:val="Normal"/>
    <w:next w:val="Normal"/>
    <w:link w:val="Heading9Char"/>
    <w:rsid w:val="00880C9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link w:val="BalloonText"/>
    <w:uiPriority w:val="99"/>
    <w:semiHidden/>
    <w:rsid w:val="00A872D9"/>
    <w:rPr>
      <w:rFonts w:ascii="Tahoma" w:hAnsi="Tahoma" w:cs="Tahoma"/>
      <w:sz w:val="16"/>
      <w:szCs w:val="16"/>
      <w:lang w:val="en-US"/>
    </w:rPr>
  </w:style>
  <w:style w:type="paragraph" w:styleId="NoSpacing">
    <w:name w:val="No Spacing"/>
    <w:uiPriority w:val="1"/>
    <w:rsid w:val="00E73B01"/>
    <w:rPr>
      <w:rFonts w:ascii="Arial" w:hAnsi="Arial"/>
      <w:sz w:val="22"/>
      <w:szCs w:val="22"/>
      <w:lang w:eastAsia="en-US"/>
    </w:rPr>
  </w:style>
  <w:style w:type="character" w:customStyle="1" w:styleId="Heading1Char">
    <w:name w:val="Heading 1 Char"/>
    <w:link w:val="Heading1"/>
    <w:uiPriority w:val="9"/>
    <w:rsid w:val="00121C6B"/>
    <w:rPr>
      <w:rFonts w:ascii="Arial" w:eastAsia="Times New Roman" w:hAnsi="Arial"/>
      <w:b/>
      <w:bCs/>
      <w:sz w:val="32"/>
      <w:szCs w:val="28"/>
      <w:lang w:eastAsia="en-US"/>
    </w:rPr>
  </w:style>
  <w:style w:type="character" w:customStyle="1" w:styleId="Heading2Char">
    <w:name w:val="Heading 2 Char"/>
    <w:link w:val="Heading2"/>
    <w:uiPriority w:val="9"/>
    <w:rsid w:val="005C0489"/>
    <w:rPr>
      <w:rFonts w:ascii="Arial" w:eastAsia="Times New Roman" w:hAnsi="Arial"/>
      <w:b/>
      <w:bCs/>
      <w:color w:val="808080"/>
      <w:sz w:val="28"/>
      <w:szCs w:val="24"/>
      <w:lang w:eastAsia="en-US"/>
    </w:rPr>
  </w:style>
  <w:style w:type="paragraph" w:styleId="Title">
    <w:name w:val="Title"/>
    <w:basedOn w:val="Normal"/>
    <w:next w:val="Normal"/>
    <w:link w:val="TitleChar"/>
    <w:uiPriority w:val="10"/>
    <w:qFormat/>
    <w:rsid w:val="00493703"/>
    <w:pPr>
      <w:numPr>
        <w:ilvl w:val="1"/>
      </w:numPr>
      <w:spacing w:before="240" w:after="120"/>
    </w:pPr>
    <w:rPr>
      <w:rFonts w:ascii="Arial Bold" w:eastAsia="Times New Roman" w:hAnsi="Arial Bold"/>
      <w:b/>
      <w:iCs/>
      <w:spacing w:val="15"/>
      <w:sz w:val="64"/>
      <w:szCs w:val="56"/>
    </w:rPr>
  </w:style>
  <w:style w:type="character" w:customStyle="1" w:styleId="TitleChar">
    <w:name w:val="Title Char"/>
    <w:link w:val="Title"/>
    <w:uiPriority w:val="10"/>
    <w:rsid w:val="00493703"/>
    <w:rPr>
      <w:rFonts w:ascii="Arial Bold" w:eastAsia="Times New Roman" w:hAnsi="Arial Bold" w:cs="Times New Roman"/>
      <w:b/>
      <w:iCs/>
      <w:spacing w:val="15"/>
      <w:sz w:val="64"/>
      <w:szCs w:val="56"/>
    </w:rPr>
  </w:style>
  <w:style w:type="character" w:customStyle="1" w:styleId="Heading3Char">
    <w:name w:val="Heading 3 Char"/>
    <w:link w:val="Heading3"/>
    <w:uiPriority w:val="9"/>
    <w:rsid w:val="00A00692"/>
    <w:rPr>
      <w:rFonts w:ascii="Arial" w:eastAsia="Times New Roman" w:hAnsi="Arial"/>
      <w:b/>
      <w:bCs/>
      <w:sz w:val="24"/>
      <w:szCs w:val="22"/>
      <w:lang w:eastAsia="en-US"/>
    </w:rPr>
  </w:style>
  <w:style w:type="paragraph" w:styleId="Subtitle">
    <w:name w:val="Subtitle"/>
    <w:basedOn w:val="Normal"/>
    <w:next w:val="Normal"/>
    <w:link w:val="SubtitleChar"/>
    <w:uiPriority w:val="11"/>
    <w:qFormat/>
    <w:rsid w:val="00493703"/>
    <w:pPr>
      <w:numPr>
        <w:ilvl w:val="1"/>
      </w:numPr>
      <w:spacing w:before="240" w:after="120"/>
    </w:pPr>
    <w:rPr>
      <w:rFonts w:ascii="Arial Bold" w:eastAsia="Times New Roman" w:hAnsi="Arial Bold" w:cs="Arial"/>
      <w:b/>
      <w:iCs/>
      <w:color w:val="DB7310"/>
      <w:sz w:val="64"/>
      <w:szCs w:val="36"/>
    </w:rPr>
  </w:style>
  <w:style w:type="character" w:customStyle="1" w:styleId="SubtitleChar">
    <w:name w:val="Subtitle Char"/>
    <w:link w:val="Subtitle"/>
    <w:uiPriority w:val="11"/>
    <w:rsid w:val="00493703"/>
    <w:rPr>
      <w:rFonts w:ascii="Arial Bold" w:eastAsia="Times New Roman" w:hAnsi="Arial Bold" w:cs="Arial"/>
      <w:b/>
      <w:iCs/>
      <w:color w:val="DB7310"/>
      <w:sz w:val="64"/>
      <w:szCs w:val="36"/>
    </w:rPr>
  </w:style>
  <w:style w:type="character" w:customStyle="1" w:styleId="Heading4Char">
    <w:name w:val="Heading 4 Char"/>
    <w:link w:val="Heading4"/>
    <w:uiPriority w:val="9"/>
    <w:semiHidden/>
    <w:rsid w:val="00E73B01"/>
    <w:rPr>
      <w:rFonts w:ascii="Arial" w:eastAsia="Times New Roman" w:hAnsi="Arial" w:cs="Times New Roman"/>
      <w:b/>
      <w:bCs/>
      <w:iCs/>
      <w:color w:val="808080"/>
      <w:sz w:val="20"/>
    </w:rPr>
  </w:style>
  <w:style w:type="paragraph" w:styleId="ListParagraph">
    <w:name w:val="List Paragraph"/>
    <w:basedOn w:val="Normal"/>
    <w:uiPriority w:val="34"/>
    <w:rsid w:val="00D53301"/>
    <w:pPr>
      <w:ind w:left="720"/>
      <w:contextualSpacing/>
    </w:pPr>
  </w:style>
  <w:style w:type="character" w:styleId="Hyperlink">
    <w:name w:val="Hyperlink"/>
    <w:uiPriority w:val="99"/>
    <w:unhideWhenUsed/>
    <w:rsid w:val="00972D81"/>
    <w:rPr>
      <w:color w:val="0000FF"/>
      <w:u w:val="single"/>
    </w:rPr>
  </w:style>
  <w:style w:type="paragraph" w:customStyle="1" w:styleId="Disclaimer">
    <w:name w:val="Disclaimer"/>
    <w:basedOn w:val="Normal"/>
    <w:qFormat/>
    <w:rsid w:val="00487454"/>
    <w:rPr>
      <w:sz w:val="16"/>
      <w:szCs w:val="16"/>
    </w:rPr>
  </w:style>
  <w:style w:type="paragraph" w:styleId="Caption">
    <w:name w:val="caption"/>
    <w:basedOn w:val="Normal"/>
    <w:next w:val="Normal"/>
    <w:uiPriority w:val="35"/>
    <w:unhideWhenUsed/>
    <w:qFormat/>
    <w:rsid w:val="001D1F23"/>
    <w:pPr>
      <w:spacing w:before="180" w:after="240"/>
    </w:pPr>
    <w:rPr>
      <w:b/>
      <w:bCs/>
      <w:sz w:val="18"/>
      <w:szCs w:val="20"/>
    </w:rPr>
  </w:style>
  <w:style w:type="paragraph" w:customStyle="1" w:styleId="TableHeading">
    <w:name w:val="Table Heading"/>
    <w:basedOn w:val="Normal"/>
    <w:qFormat/>
    <w:rsid w:val="001D1F23"/>
    <w:pPr>
      <w:spacing w:before="240" w:after="120"/>
    </w:pPr>
    <w:rPr>
      <w:b/>
      <w:color w:val="E36C0A" w:themeColor="accent6" w:themeShade="BF"/>
      <w:sz w:val="28"/>
    </w:rPr>
  </w:style>
  <w:style w:type="paragraph" w:customStyle="1" w:styleId="TableHeader">
    <w:name w:val="Table Header"/>
    <w:basedOn w:val="Normal"/>
    <w:qFormat/>
    <w:rsid w:val="001C45C5"/>
    <w:pPr>
      <w:spacing w:before="60" w:after="60"/>
    </w:pPr>
    <w:rPr>
      <w:color w:val="FFFFFF" w:themeColor="background1"/>
      <w:sz w:val="24"/>
    </w:rPr>
  </w:style>
  <w:style w:type="paragraph" w:customStyle="1" w:styleId="TableContent">
    <w:name w:val="Table Content"/>
    <w:basedOn w:val="Normal"/>
    <w:qFormat/>
    <w:rsid w:val="001C45C5"/>
    <w:pPr>
      <w:spacing w:before="60" w:after="60"/>
    </w:pPr>
  </w:style>
  <w:style w:type="paragraph" w:customStyle="1" w:styleId="BODY">
    <w:name w:val="BODY"/>
    <w:basedOn w:val="Normal"/>
    <w:uiPriority w:val="99"/>
    <w:rsid w:val="00C01942"/>
    <w:pPr>
      <w:widowControl w:val="0"/>
      <w:suppressAutoHyphens/>
      <w:autoSpaceDE w:val="0"/>
      <w:autoSpaceDN w:val="0"/>
      <w:adjustRightInd w:val="0"/>
      <w:spacing w:before="120" w:after="120" w:line="240" w:lineRule="atLeast"/>
      <w:textAlignment w:val="center"/>
    </w:pPr>
    <w:rPr>
      <w:rFonts w:eastAsia="Times New Roman" w:cs="Trade Gothic LT Std"/>
      <w:color w:val="000000"/>
      <w:sz w:val="20"/>
      <w:szCs w:val="20"/>
      <w:lang w:eastAsia="en-AU"/>
    </w:rPr>
  </w:style>
  <w:style w:type="paragraph" w:customStyle="1" w:styleId="Bulletpoint">
    <w:name w:val="Bullet point"/>
    <w:basedOn w:val="BODY"/>
    <w:uiPriority w:val="99"/>
    <w:rsid w:val="00D76E91"/>
    <w:pPr>
      <w:numPr>
        <w:numId w:val="2"/>
      </w:numPr>
      <w:spacing w:before="0" w:after="0"/>
    </w:pPr>
  </w:style>
  <w:style w:type="paragraph" w:customStyle="1" w:styleId="orangebulletlist">
    <w:name w:val="orange bullet list"/>
    <w:basedOn w:val="ListParagraph"/>
    <w:qFormat/>
    <w:rsid w:val="008A2B48"/>
    <w:pPr>
      <w:numPr>
        <w:numId w:val="1"/>
      </w:numPr>
      <w:spacing w:before="60" w:after="120"/>
      <w:ind w:left="1021" w:hanging="454"/>
      <w:contextualSpacing w:val="0"/>
    </w:pPr>
  </w:style>
  <w:style w:type="character" w:customStyle="1" w:styleId="URL">
    <w:name w:val="URL"/>
    <w:uiPriority w:val="99"/>
    <w:rsid w:val="00121C6B"/>
    <w:rPr>
      <w:u w:val="thick" w:color="004388"/>
    </w:rPr>
  </w:style>
  <w:style w:type="paragraph" w:styleId="TOC2">
    <w:name w:val="toc 2"/>
    <w:basedOn w:val="Normal"/>
    <w:next w:val="Normal"/>
    <w:autoRedefine/>
    <w:uiPriority w:val="39"/>
    <w:unhideWhenUsed/>
    <w:rsid w:val="00616771"/>
    <w:pPr>
      <w:tabs>
        <w:tab w:val="left" w:pos="709"/>
        <w:tab w:val="right" w:leader="dot" w:pos="8494"/>
      </w:tabs>
      <w:spacing w:after="100"/>
      <w:ind w:left="709" w:hanging="425"/>
    </w:pPr>
  </w:style>
  <w:style w:type="paragraph" w:styleId="TOC1">
    <w:name w:val="toc 1"/>
    <w:basedOn w:val="Normal"/>
    <w:next w:val="Normal"/>
    <w:autoRedefine/>
    <w:uiPriority w:val="39"/>
    <w:unhideWhenUsed/>
    <w:rsid w:val="009070F2"/>
    <w:pPr>
      <w:tabs>
        <w:tab w:val="right" w:leader="dot" w:pos="8494"/>
      </w:tabs>
      <w:spacing w:after="100"/>
    </w:pPr>
    <w:rPr>
      <w:b/>
      <w:noProof/>
    </w:rPr>
  </w:style>
  <w:style w:type="paragraph" w:customStyle="1" w:styleId="Sectionheading">
    <w:name w:val="Section heading"/>
    <w:basedOn w:val="Normal"/>
    <w:qFormat/>
    <w:rsid w:val="009F301F"/>
    <w:rPr>
      <w:b/>
      <w:sz w:val="20"/>
      <w:szCs w:val="20"/>
    </w:rPr>
  </w:style>
  <w:style w:type="paragraph" w:customStyle="1" w:styleId="Text">
    <w:name w:val="Text"/>
    <w:basedOn w:val="Normal"/>
    <w:uiPriority w:val="99"/>
    <w:rsid w:val="00362F50"/>
    <w:pPr>
      <w:widowControl w:val="0"/>
      <w:suppressAutoHyphens/>
      <w:autoSpaceDE w:val="0"/>
      <w:autoSpaceDN w:val="0"/>
      <w:adjustRightInd w:val="0"/>
      <w:spacing w:after="170" w:line="280" w:lineRule="atLeast"/>
      <w:textAlignment w:val="center"/>
    </w:pPr>
    <w:rPr>
      <w:rFonts w:ascii="AvantGarde-CondBook" w:eastAsia="Times New Roman" w:hAnsi="AvantGarde-CondBook" w:cs="AvantGarde-CondBook"/>
      <w:color w:val="262626"/>
      <w:sz w:val="20"/>
      <w:szCs w:val="20"/>
      <w:lang w:val="en-US"/>
    </w:rPr>
  </w:style>
  <w:style w:type="paragraph" w:customStyle="1" w:styleId="Bullets1">
    <w:name w:val="Bullets 1"/>
    <w:basedOn w:val="Text"/>
    <w:uiPriority w:val="99"/>
    <w:rsid w:val="00362F50"/>
    <w:pPr>
      <w:ind w:left="340" w:hanging="227"/>
    </w:pPr>
  </w:style>
  <w:style w:type="paragraph" w:customStyle="1" w:styleId="Bullets2">
    <w:name w:val="Bullets 2"/>
    <w:basedOn w:val="Bullets1"/>
    <w:uiPriority w:val="99"/>
    <w:rsid w:val="00362F50"/>
    <w:pPr>
      <w:ind w:left="567"/>
    </w:pPr>
  </w:style>
  <w:style w:type="character" w:customStyle="1" w:styleId="DemCond">
    <w:name w:val="Dem Cond"/>
    <w:uiPriority w:val="99"/>
    <w:rsid w:val="00362F50"/>
    <w:rPr>
      <w:rFonts w:ascii="Verdana" w:hAnsi="Verdana"/>
      <w:b/>
    </w:rPr>
  </w:style>
  <w:style w:type="character" w:styleId="FootnoteReference">
    <w:name w:val="footnote reference"/>
    <w:basedOn w:val="DefaultParagraphFont"/>
    <w:uiPriority w:val="99"/>
    <w:unhideWhenUsed/>
    <w:rsid w:val="00362F50"/>
    <w:rPr>
      <w:rFonts w:cs="Times New Roman"/>
      <w:vertAlign w:val="superscript"/>
    </w:rPr>
  </w:style>
  <w:style w:type="paragraph" w:customStyle="1" w:styleId="Footnote">
    <w:name w:val="Footnote"/>
    <w:basedOn w:val="Text"/>
    <w:uiPriority w:val="99"/>
    <w:rsid w:val="00362F50"/>
    <w:pPr>
      <w:pBdr>
        <w:top w:val="single" w:sz="4" w:space="11" w:color="FF4C00"/>
      </w:pBdr>
      <w:spacing w:after="57" w:line="200" w:lineRule="atLeast"/>
      <w:ind w:left="227" w:hanging="227"/>
    </w:pPr>
    <w:rPr>
      <w:sz w:val="16"/>
      <w:szCs w:val="16"/>
    </w:rPr>
  </w:style>
  <w:style w:type="paragraph" w:styleId="FootnoteText">
    <w:name w:val="footnote text"/>
    <w:basedOn w:val="Normal"/>
    <w:link w:val="FootnoteTextChar"/>
    <w:uiPriority w:val="99"/>
    <w:semiHidden/>
    <w:unhideWhenUsed/>
    <w:rsid w:val="00B82135"/>
    <w:pPr>
      <w:spacing w:after="0"/>
    </w:pPr>
    <w:rPr>
      <w:sz w:val="20"/>
      <w:szCs w:val="20"/>
    </w:rPr>
  </w:style>
  <w:style w:type="character" w:customStyle="1" w:styleId="FootnoteTextChar">
    <w:name w:val="Footnote Text Char"/>
    <w:basedOn w:val="DefaultParagraphFont"/>
    <w:link w:val="FootnoteText"/>
    <w:uiPriority w:val="99"/>
    <w:semiHidden/>
    <w:rsid w:val="00B82135"/>
    <w:rPr>
      <w:rFonts w:ascii="Arial" w:hAnsi="Arial"/>
      <w:lang w:eastAsia="en-US"/>
    </w:rPr>
  </w:style>
  <w:style w:type="paragraph" w:customStyle="1" w:styleId="Heading">
    <w:name w:val="Heading"/>
    <w:basedOn w:val="Normal"/>
    <w:uiPriority w:val="99"/>
    <w:rsid w:val="00953F3E"/>
    <w:pPr>
      <w:widowControl w:val="0"/>
      <w:tabs>
        <w:tab w:val="left" w:pos="580"/>
      </w:tabs>
      <w:suppressAutoHyphens/>
      <w:autoSpaceDE w:val="0"/>
      <w:autoSpaceDN w:val="0"/>
      <w:adjustRightInd w:val="0"/>
      <w:spacing w:before="170" w:after="170" w:line="280" w:lineRule="atLeast"/>
      <w:textAlignment w:val="center"/>
    </w:pPr>
    <w:rPr>
      <w:rFonts w:ascii="AvantGarde-CondMedium" w:eastAsia="Times New Roman" w:hAnsi="AvantGarde-CondMedium" w:cs="AvantGarde-CondMedium"/>
      <w:caps/>
      <w:color w:val="FF9800"/>
      <w:sz w:val="20"/>
      <w:szCs w:val="20"/>
      <w:lang w:val="en-US"/>
    </w:rPr>
  </w:style>
  <w:style w:type="paragraph" w:customStyle="1" w:styleId="tabletext">
    <w:name w:val="table text"/>
    <w:basedOn w:val="Text"/>
    <w:uiPriority w:val="99"/>
    <w:rsid w:val="009441E9"/>
    <w:pPr>
      <w:spacing w:after="57" w:line="220" w:lineRule="atLeast"/>
    </w:pPr>
  </w:style>
  <w:style w:type="paragraph" w:customStyle="1" w:styleId="tabletextbullets">
    <w:name w:val="table text bullets"/>
    <w:basedOn w:val="tabletext"/>
    <w:uiPriority w:val="99"/>
    <w:rsid w:val="009441E9"/>
    <w:pPr>
      <w:ind w:left="227" w:hanging="227"/>
    </w:pPr>
  </w:style>
  <w:style w:type="paragraph" w:customStyle="1" w:styleId="Head2">
    <w:name w:val="Head 2"/>
    <w:basedOn w:val="Text"/>
    <w:uiPriority w:val="99"/>
    <w:rsid w:val="00063ABA"/>
    <w:pPr>
      <w:spacing w:before="170"/>
    </w:pPr>
    <w:rPr>
      <w:rFonts w:ascii="Verdana" w:hAnsi="Verdana" w:cs="AvantGarde-CondDemi"/>
      <w:b/>
      <w:bCs/>
    </w:rPr>
  </w:style>
  <w:style w:type="character" w:styleId="PageNumber">
    <w:name w:val="page number"/>
    <w:basedOn w:val="DefaultParagraphFont"/>
    <w:uiPriority w:val="99"/>
    <w:semiHidden/>
    <w:unhideWhenUsed/>
    <w:rsid w:val="00063ABA"/>
    <w:rPr>
      <w:rFonts w:cs="Times New Roman"/>
    </w:rPr>
  </w:style>
  <w:style w:type="paragraph" w:customStyle="1" w:styleId="Headingno">
    <w:name w:val="Headingno"/>
    <w:basedOn w:val="Heading"/>
    <w:uiPriority w:val="99"/>
    <w:rsid w:val="00FA6AE2"/>
  </w:style>
  <w:style w:type="paragraph" w:customStyle="1" w:styleId="bullet1">
    <w:name w:val="bullet1"/>
    <w:basedOn w:val="Normal"/>
    <w:rsid w:val="00642880"/>
    <w:pPr>
      <w:numPr>
        <w:numId w:val="4"/>
      </w:numPr>
    </w:pPr>
  </w:style>
  <w:style w:type="paragraph" w:styleId="TOC3">
    <w:name w:val="toc 3"/>
    <w:basedOn w:val="Normal"/>
    <w:next w:val="Normal"/>
    <w:autoRedefine/>
    <w:uiPriority w:val="39"/>
    <w:rsid w:val="009070F2"/>
    <w:pPr>
      <w:tabs>
        <w:tab w:val="right" w:leader="dot" w:pos="8494"/>
      </w:tabs>
      <w:spacing w:after="100"/>
      <w:ind w:left="709"/>
    </w:pPr>
  </w:style>
  <w:style w:type="character" w:customStyle="1" w:styleId="underline">
    <w:name w:val="underline"/>
    <w:uiPriority w:val="99"/>
    <w:rsid w:val="00D944CA"/>
    <w:rPr>
      <w:u w:val="thick"/>
    </w:rPr>
  </w:style>
  <w:style w:type="paragraph" w:customStyle="1" w:styleId="NoParagraphStyle">
    <w:name w:val="[No Paragraph Style]"/>
    <w:rsid w:val="00C75D7F"/>
    <w:pPr>
      <w:widowControl w:val="0"/>
      <w:autoSpaceDE w:val="0"/>
      <w:autoSpaceDN w:val="0"/>
      <w:adjustRightInd w:val="0"/>
      <w:spacing w:line="288" w:lineRule="auto"/>
      <w:textAlignment w:val="center"/>
    </w:pPr>
    <w:rPr>
      <w:rFonts w:ascii="Times-Roman" w:eastAsia="Times New Roman" w:hAnsi="Times-Roman" w:cs="Times-Roman"/>
      <w:color w:val="000000"/>
      <w:lang w:val="en-GB" w:eastAsia="en-US"/>
    </w:rPr>
  </w:style>
  <w:style w:type="character" w:customStyle="1" w:styleId="Heading9Char">
    <w:name w:val="Heading 9 Char"/>
    <w:basedOn w:val="DefaultParagraphFont"/>
    <w:link w:val="Heading9"/>
    <w:rsid w:val="00880C93"/>
    <w:rPr>
      <w:rFonts w:asciiTheme="majorHAnsi" w:eastAsiaTheme="majorEastAsia" w:hAnsiTheme="majorHAnsi" w:cstheme="majorBidi"/>
      <w:i/>
      <w:iCs/>
      <w:color w:val="404040" w:themeColor="text1" w:themeTint="BF"/>
      <w:sz w:val="20"/>
      <w:szCs w:val="20"/>
      <w:lang w:eastAsia="en-US"/>
    </w:rPr>
  </w:style>
  <w:style w:type="paragraph" w:customStyle="1" w:styleId="ms-rteelement-p">
    <w:name w:val="ms-rteelement-p"/>
    <w:basedOn w:val="Normal"/>
    <w:rsid w:val="00CE5B94"/>
    <w:pPr>
      <w:spacing w:before="100" w:beforeAutospacing="1" w:after="0"/>
    </w:pPr>
    <w:rPr>
      <w:rFonts w:ascii="Times New Roman" w:eastAsia="Times New Roman" w:hAnsi="Times New Roman"/>
      <w:color w:val="576170"/>
      <w:sz w:val="24"/>
      <w:szCs w:val="24"/>
      <w:lang w:eastAsia="en-AU"/>
    </w:rPr>
  </w:style>
  <w:style w:type="character" w:styleId="Emphasis">
    <w:name w:val="Emphasis"/>
    <w:basedOn w:val="DefaultParagraphFont"/>
    <w:uiPriority w:val="20"/>
    <w:qFormat/>
    <w:rsid w:val="00CE5B94"/>
    <w:rPr>
      <w:i/>
      <w:iCs/>
    </w:rPr>
  </w:style>
  <w:style w:type="paragraph" w:styleId="NormalWeb">
    <w:name w:val="Normal (Web)"/>
    <w:basedOn w:val="Normal"/>
    <w:link w:val="NormalWebChar"/>
    <w:unhideWhenUsed/>
    <w:rsid w:val="001A3B4E"/>
    <w:pPr>
      <w:spacing w:before="100" w:beforeAutospacing="1" w:after="0"/>
    </w:pPr>
    <w:rPr>
      <w:rFonts w:ascii="Times New Roman" w:eastAsia="Times New Roman" w:hAnsi="Times New Roman"/>
      <w:sz w:val="24"/>
      <w:szCs w:val="24"/>
      <w:lang w:eastAsia="en-AU"/>
    </w:rPr>
  </w:style>
  <w:style w:type="table" w:styleId="TableGrid">
    <w:name w:val="Table Grid"/>
    <w:basedOn w:val="TableNormal"/>
    <w:rsid w:val="00375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544B8"/>
    <w:rPr>
      <w:color w:val="800080" w:themeColor="followedHyperlink"/>
      <w:u w:val="single"/>
    </w:rPr>
  </w:style>
  <w:style w:type="character" w:customStyle="1" w:styleId="NormalWebChar">
    <w:name w:val="Normal (Web) Char"/>
    <w:link w:val="NormalWeb"/>
    <w:rsid w:val="00E5630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259330">
      <w:bodyDiv w:val="1"/>
      <w:marLeft w:val="0"/>
      <w:marRight w:val="0"/>
      <w:marTop w:val="0"/>
      <w:marBottom w:val="0"/>
      <w:divBdr>
        <w:top w:val="none" w:sz="0" w:space="0" w:color="auto"/>
        <w:left w:val="none" w:sz="0" w:space="0" w:color="auto"/>
        <w:bottom w:val="none" w:sz="0" w:space="0" w:color="auto"/>
        <w:right w:val="none" w:sz="0" w:space="0" w:color="auto"/>
      </w:divBdr>
      <w:divsChild>
        <w:div w:id="825702056">
          <w:marLeft w:val="0"/>
          <w:marRight w:val="0"/>
          <w:marTop w:val="0"/>
          <w:marBottom w:val="0"/>
          <w:divBdr>
            <w:top w:val="none" w:sz="0" w:space="0" w:color="auto"/>
            <w:left w:val="none" w:sz="0" w:space="0" w:color="auto"/>
            <w:bottom w:val="none" w:sz="0" w:space="0" w:color="auto"/>
            <w:right w:val="none" w:sz="0" w:space="0" w:color="auto"/>
          </w:divBdr>
          <w:divsChild>
            <w:div w:id="895121341">
              <w:marLeft w:val="0"/>
              <w:marRight w:val="0"/>
              <w:marTop w:val="0"/>
              <w:marBottom w:val="0"/>
              <w:divBdr>
                <w:top w:val="none" w:sz="0" w:space="0" w:color="auto"/>
                <w:left w:val="none" w:sz="0" w:space="0" w:color="auto"/>
                <w:bottom w:val="none" w:sz="0" w:space="0" w:color="auto"/>
                <w:right w:val="none" w:sz="0" w:space="0" w:color="auto"/>
              </w:divBdr>
              <w:divsChild>
                <w:div w:id="1793162947">
                  <w:marLeft w:val="0"/>
                  <w:marRight w:val="0"/>
                  <w:marTop w:val="0"/>
                  <w:marBottom w:val="0"/>
                  <w:divBdr>
                    <w:top w:val="none" w:sz="0" w:space="0" w:color="auto"/>
                    <w:left w:val="none" w:sz="0" w:space="0" w:color="auto"/>
                    <w:bottom w:val="none" w:sz="0" w:space="0" w:color="auto"/>
                    <w:right w:val="none" w:sz="0" w:space="0" w:color="auto"/>
                  </w:divBdr>
                  <w:divsChild>
                    <w:div w:id="1241790077">
                      <w:marLeft w:val="0"/>
                      <w:marRight w:val="0"/>
                      <w:marTop w:val="0"/>
                      <w:marBottom w:val="0"/>
                      <w:divBdr>
                        <w:top w:val="none" w:sz="0" w:space="0" w:color="auto"/>
                        <w:left w:val="none" w:sz="0" w:space="0" w:color="auto"/>
                        <w:bottom w:val="none" w:sz="0" w:space="0" w:color="auto"/>
                        <w:right w:val="none" w:sz="0" w:space="0" w:color="auto"/>
                      </w:divBdr>
                      <w:divsChild>
                        <w:div w:id="1117724009">
                          <w:marLeft w:val="0"/>
                          <w:marRight w:val="0"/>
                          <w:marTop w:val="0"/>
                          <w:marBottom w:val="0"/>
                          <w:divBdr>
                            <w:top w:val="none" w:sz="0" w:space="0" w:color="auto"/>
                            <w:left w:val="none" w:sz="0" w:space="0" w:color="auto"/>
                            <w:bottom w:val="none" w:sz="0" w:space="0" w:color="auto"/>
                            <w:right w:val="none" w:sz="0" w:space="0" w:color="auto"/>
                          </w:divBdr>
                          <w:divsChild>
                            <w:div w:id="465047161">
                              <w:marLeft w:val="0"/>
                              <w:marRight w:val="0"/>
                              <w:marTop w:val="0"/>
                              <w:marBottom w:val="0"/>
                              <w:divBdr>
                                <w:top w:val="none" w:sz="0" w:space="0" w:color="auto"/>
                                <w:left w:val="none" w:sz="0" w:space="0" w:color="auto"/>
                                <w:bottom w:val="none" w:sz="0" w:space="0" w:color="auto"/>
                                <w:right w:val="none" w:sz="0" w:space="0" w:color="auto"/>
                              </w:divBdr>
                              <w:divsChild>
                                <w:div w:id="1394547571">
                                  <w:marLeft w:val="150"/>
                                  <w:marRight w:val="150"/>
                                  <w:marTop w:val="0"/>
                                  <w:marBottom w:val="0"/>
                                  <w:divBdr>
                                    <w:top w:val="none" w:sz="0" w:space="0" w:color="auto"/>
                                    <w:left w:val="none" w:sz="0" w:space="0" w:color="auto"/>
                                    <w:bottom w:val="none" w:sz="0" w:space="0" w:color="auto"/>
                                    <w:right w:val="none" w:sz="0" w:space="0" w:color="auto"/>
                                  </w:divBdr>
                                  <w:divsChild>
                                    <w:div w:id="1055005313">
                                      <w:marLeft w:val="0"/>
                                      <w:marRight w:val="0"/>
                                      <w:marTop w:val="0"/>
                                      <w:marBottom w:val="0"/>
                                      <w:divBdr>
                                        <w:top w:val="none" w:sz="0" w:space="0" w:color="auto"/>
                                        <w:left w:val="none" w:sz="0" w:space="0" w:color="auto"/>
                                        <w:bottom w:val="none" w:sz="0" w:space="0" w:color="auto"/>
                                        <w:right w:val="none" w:sz="0" w:space="0" w:color="auto"/>
                                      </w:divBdr>
                                      <w:divsChild>
                                        <w:div w:id="1579171769">
                                          <w:marLeft w:val="0"/>
                                          <w:marRight w:val="0"/>
                                          <w:marTop w:val="0"/>
                                          <w:marBottom w:val="0"/>
                                          <w:divBdr>
                                            <w:top w:val="none" w:sz="0" w:space="0" w:color="auto"/>
                                            <w:left w:val="none" w:sz="0" w:space="0" w:color="auto"/>
                                            <w:bottom w:val="none" w:sz="0" w:space="0" w:color="auto"/>
                                            <w:right w:val="none" w:sz="0" w:space="0" w:color="auto"/>
                                          </w:divBdr>
                                          <w:divsChild>
                                            <w:div w:id="1652640726">
                                              <w:marLeft w:val="0"/>
                                              <w:marRight w:val="0"/>
                                              <w:marTop w:val="0"/>
                                              <w:marBottom w:val="0"/>
                                              <w:divBdr>
                                                <w:top w:val="none" w:sz="0" w:space="0" w:color="auto"/>
                                                <w:left w:val="none" w:sz="0" w:space="0" w:color="auto"/>
                                                <w:bottom w:val="none" w:sz="0" w:space="0" w:color="auto"/>
                                                <w:right w:val="none" w:sz="0" w:space="0" w:color="auto"/>
                                              </w:divBdr>
                                              <w:divsChild>
                                                <w:div w:id="1965456352">
                                                  <w:marLeft w:val="0"/>
                                                  <w:marRight w:val="0"/>
                                                  <w:marTop w:val="150"/>
                                                  <w:marBottom w:val="0"/>
                                                  <w:divBdr>
                                                    <w:top w:val="none" w:sz="0" w:space="0" w:color="auto"/>
                                                    <w:left w:val="none" w:sz="0" w:space="0" w:color="auto"/>
                                                    <w:bottom w:val="none" w:sz="0" w:space="0" w:color="auto"/>
                                                    <w:right w:val="none" w:sz="0" w:space="0" w:color="auto"/>
                                                  </w:divBdr>
                                                  <w:divsChild>
                                                    <w:div w:id="429014403">
                                                      <w:marLeft w:val="0"/>
                                                      <w:marRight w:val="0"/>
                                                      <w:marTop w:val="75"/>
                                                      <w:marBottom w:val="0"/>
                                                      <w:divBdr>
                                                        <w:top w:val="none" w:sz="0" w:space="0" w:color="auto"/>
                                                        <w:left w:val="none" w:sz="0" w:space="0" w:color="auto"/>
                                                        <w:bottom w:val="none" w:sz="0" w:space="0" w:color="auto"/>
                                                        <w:right w:val="none" w:sz="0" w:space="0" w:color="auto"/>
                                                      </w:divBdr>
                                                      <w:divsChild>
                                                        <w:div w:id="12405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youtube.com/watch?v=bPaU7Qhd3Z0"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hyperlink" Target="https://www.youtube.com/watch?v=o1A3hM0K9eA"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http://www.worksafe.n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youtube.com/watch?v=Cp2dfC29buo" TargetMode="Externa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ato.gov.au/Calculators-and-tools/Employee-or-contractor/" TargetMode="External"/><Relationship Id="rId28" Type="http://schemas.openxmlformats.org/officeDocument/2006/relationships/hyperlink" Target="mailto:datantworksafe@nt.gov.au"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s://www.youtube.com/watch?v=CubEeF0ZEPI" TargetMode="External"/><Relationship Id="rId30" Type="http://schemas.openxmlformats.org/officeDocument/2006/relationships/header" Target="header7.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http://www.worksafe.nt.gov.au"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6.jpeg"/></Relationships>
</file>

<file path=word/_rels/header8.xml.rels><?xml version="1.0" encoding="UTF-8" standalone="yes"?>
<Relationships xmlns="http://schemas.openxmlformats.org/package/2006/relationships"><Relationship Id="rId1" Type="http://schemas.openxmlformats.org/officeDocument/2006/relationships/image" Target="media/image6.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kSafe Resource" ma:contentTypeID="0x010100D0EB5375E3C86245AEF23D5DEFF38C9200F0A59824860E934B9BC4AEE5E863050D" ma:contentTypeVersion="47" ma:contentTypeDescription="" ma:contentTypeScope="" ma:versionID="e89f5d657f6cdf22772996b27fa6f06a">
  <xsd:schema xmlns:xsd="http://www.w3.org/2001/XMLSchema" xmlns:xs="http://www.w3.org/2001/XMLSchema" xmlns:p="http://schemas.microsoft.com/office/2006/metadata/properties" xmlns:ns1="http://schemas.microsoft.com/sharepoint/v3" xmlns:ns2="eb399b68-b676-431b-a7f2-330aea86a718" xmlns:ns3="7c6ffd00-bb68-4206-866a-14e79ead1e87" targetNamespace="http://schemas.microsoft.com/office/2006/metadata/properties" ma:root="true" ma:fieldsID="106b1f5a16c5c18d1f37d8f653c95dee" ns1:_="" ns2:_="" ns3:_="">
    <xsd:import namespace="http://schemas.microsoft.com/sharepoint/v3"/>
    <xsd:import namespace="eb399b68-b676-431b-a7f2-330aea86a718"/>
    <xsd:import namespace="7c6ffd00-bb68-4206-866a-14e79ead1e87"/>
    <xsd:element name="properties">
      <xsd:complexType>
        <xsd:sequence>
          <xsd:element name="documentManagement">
            <xsd:complexType>
              <xsd:all>
                <xsd:element ref="ns2:Web_x0020_Section" minOccurs="0"/>
                <xsd:element ref="ns2:Topics" minOccurs="0"/>
                <xsd:element ref="ns2:Document_x0020_type" minOccurs="0"/>
                <xsd:element ref="ns3:NTWorkSafe_x0020_Filter" minOccurs="0"/>
                <xsd:element ref="ns1:PublishingStartDate" minOccurs="0"/>
                <xsd:element ref="ns1:PublishingExpirationDate" minOccurs="0"/>
                <xsd:element ref="ns2:PDF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internalName="Scheduling_x0020_Start_x0020_Date">
      <xsd:simpleType>
        <xsd:restriction base="dms:Unknown"/>
      </xsd:simpleType>
    </xsd:element>
    <xsd:element name="PublishingExpirationDate" ma:index="8" nillable="true" ma:displayName="Scheduling End Date"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99b68-b676-431b-a7f2-330aea86a718" elementFormDefault="qualified">
    <xsd:import namespace="http://schemas.microsoft.com/office/2006/documentManagement/types"/>
    <xsd:import namespace="http://schemas.microsoft.com/office/infopath/2007/PartnerControls"/>
    <xsd:element name="Web_x0020_Section" ma:index="2" nillable="true" ma:displayName="Web section" ma:internalName="Web_x0020_Section" ma:readOnly="false">
      <xsd:complexType>
        <xsd:complexContent>
          <xsd:extension base="dms:MultiChoice">
            <xsd:sequence>
              <xsd:element name="Value" maxOccurs="unbounded" minOccurs="0" nillable="true">
                <xsd:simpleType>
                  <xsd:restriction base="dms:Choice">
                    <xsd:enumeration value="Safety and prevention"/>
                    <xsd:enumeration value="Licensing and registration"/>
                    <xsd:enumeration value="Workers compensation"/>
                    <xsd:enumeration value="Laws and compliance"/>
                  </xsd:restriction>
                </xsd:simpleType>
              </xsd:element>
            </xsd:sequence>
          </xsd:extension>
        </xsd:complexContent>
      </xsd:complexType>
    </xsd:element>
    <xsd:element name="Topics" ma:index="3" nillable="true" ma:displayName="Topics" ma:internalName="Topics" ma:readOnly="false">
      <xsd:complexType>
        <xsd:complexContent>
          <xsd:extension base="dms:MultiChoice">
            <xsd:sequence>
              <xsd:element name="Value" maxOccurs="unbounded" minOccurs="0" nillable="true">
                <xsd:simpleType>
                  <xsd:restriction base="dms:Choice">
                    <xsd:enumeration value="Asbestos"/>
                    <xsd:enumeration value="Assessor"/>
                    <xsd:enumeration value="Bullying"/>
                    <xsd:enumeration value="Confined space"/>
                    <xsd:enumeration value="Construction"/>
                    <xsd:enumeration value="Consultation"/>
                    <xsd:enumeration value="Corporate"/>
                    <xsd:enumeration value="Dangerous goods driver"/>
                    <xsd:enumeration value="Electrical safety"/>
                    <xsd:enumeration value="Entry permit holder"/>
                    <xsd:enumeration value="Explosives"/>
                    <xsd:enumeration value="Fatigue"/>
                    <xsd:enumeration value="Fireworks"/>
                    <xsd:enumeration value="Gas safety"/>
                    <xsd:enumeration value="Gasfitter"/>
                    <xsd:enumeration value="Hazardous chemicals"/>
                    <xsd:enumeration value="Health and safety representative"/>
                    <xsd:enumeration value="High risk"/>
                    <xsd:enumeration value="Legislation"/>
                    <xsd:enumeration value="Manual handling"/>
                    <xsd:enumeration value="Major hazard facility"/>
                    <xsd:enumeration value="Mediation"/>
                    <xsd:enumeration value="Mining"/>
                    <xsd:enumeration value="Notification requirements"/>
                    <xsd:enumeration value="Permanent impairment"/>
                    <xsd:enumeration value="Plant and machinery"/>
                    <xsd:enumeration value="Plant registration"/>
                    <xsd:enumeration value="Primary industry"/>
                    <xsd:enumeration value="Return to work"/>
                    <xsd:enumeration value="Small Business Safety Program"/>
                    <xsd:enumeration value="Shotfirer"/>
                    <xsd:enumeration value="Traffic management"/>
                    <xsd:enumeration value="Transport and storage"/>
                    <xsd:enumeration value="White card"/>
                    <xsd:enumeration value="Working in heat"/>
                    <xsd:enumeration value="Working at heights"/>
                    <xsd:enumeration value="Young Worker Program"/>
                  </xsd:restriction>
                </xsd:simpleType>
              </xsd:element>
            </xsd:sequence>
          </xsd:extension>
        </xsd:complexContent>
      </xsd:complexType>
    </xsd:element>
    <xsd:element name="Document_x0020_type" ma:index="4" nillable="true" ma:displayName="Document type" ma:format="Dropdown" ma:internalName="Document_x0020_type" ma:readOnly="false">
      <xsd:simpleType>
        <xsd:restriction base="dms:Choice">
          <xsd:enumeration value="Information Bulletin"/>
          <xsd:enumeration value="Form"/>
          <xsd:enumeration value="Guide"/>
          <xsd:enumeration value="Checklist"/>
          <xsd:enumeration value="Safety Alert"/>
          <xsd:enumeration value="Reports"/>
          <xsd:enumeration value="Legislation"/>
        </xsd:restriction>
      </xsd:simpleType>
    </xsd:element>
    <xsd:element name="PDFFileSize" ma:index="10" nillable="true" ma:displayName="PDFFileSize" ma:hidden="true" ma:internalName="PDFFileSiz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ffd00-bb68-4206-866a-14e79ead1e87" elementFormDefault="qualified">
    <xsd:import namespace="http://schemas.microsoft.com/office/2006/documentManagement/types"/>
    <xsd:import namespace="http://schemas.microsoft.com/office/infopath/2007/PartnerControls"/>
    <xsd:element name="NTWorkSafe_x0020_Filter" ma:index="5" nillable="true" ma:displayName="NTWorkSafe Filter" ma:internalName="NTWorkSafe_x0020_Fil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TWorkSafe_x0020_Filter xmlns="7c6ffd00-bb68-4206-866a-14e79ead1e87" xsi:nil="true"/>
    <PDFFileSize xmlns="eb399b68-b676-431b-a7f2-330aea86a718">352630</PDFFileSize>
    <Topics xmlns="eb399b68-b676-431b-a7f2-330aea86a718"/>
    <Document_x0020_type xmlns="eb399b68-b676-431b-a7f2-330aea86a718">Guide</Document_x0020_type>
    <Web_x0020_Section xmlns="eb399b68-b676-431b-a7f2-330aea86a718">
      <Value>Workers compensation</Value>
      <Value>Laws and compliance</Value>
    </Web_x0020_Section>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99629-5E35-4574-8CD8-DED322417DBB}">
  <ds:schemaRefs>
    <ds:schemaRef ds:uri="http://schemas.microsoft.com/sharepoint/v3/contenttype/forms"/>
  </ds:schemaRefs>
</ds:datastoreItem>
</file>

<file path=customXml/itemProps2.xml><?xml version="1.0" encoding="utf-8"?>
<ds:datastoreItem xmlns:ds="http://schemas.openxmlformats.org/officeDocument/2006/customXml" ds:itemID="{02F19D75-7465-4BD6-A7D8-701BE1CE5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399b68-b676-431b-a7f2-330aea86a718"/>
    <ds:schemaRef ds:uri="7c6ffd00-bb68-4206-866a-14e79ead1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F63F3-1C88-497F-9823-D52ABEFE03AB}">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b399b68-b676-431b-a7f2-330aea86a718"/>
    <ds:schemaRef ds:uri="7c6ffd00-bb68-4206-866a-14e79ead1e87"/>
    <ds:schemaRef ds:uri="http://www.w3.org/XML/1998/namespace"/>
  </ds:schemaRefs>
</ds:datastoreItem>
</file>

<file path=customXml/itemProps4.xml><?xml version="1.0" encoding="utf-8"?>
<ds:datastoreItem xmlns:ds="http://schemas.openxmlformats.org/officeDocument/2006/customXml" ds:itemID="{B67FCD9E-2567-4085-8084-D29421D7A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12</Pages>
  <Words>3574</Words>
  <Characters>20375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Employers guide to workers compensation</vt:lpstr>
    </vt:vector>
  </TitlesOfParts>
  <Company>NTG</Company>
  <LinksUpToDate>false</LinksUpToDate>
  <CharactersWithSpaces>23902</CharactersWithSpaces>
  <SharedDoc>false</SharedDoc>
  <HLinks>
    <vt:vector size="6" baseType="variant">
      <vt:variant>
        <vt:i4>3145742</vt:i4>
      </vt:variant>
      <vt:variant>
        <vt:i4>0</vt:i4>
      </vt:variant>
      <vt:variant>
        <vt:i4>0</vt:i4>
      </vt:variant>
      <vt:variant>
        <vt:i4>5</vt:i4>
      </vt:variant>
      <vt:variant>
        <vt:lpwstr>mailto:ntworksafe@nt.gov.au?subject=Safety%20Alert%20enquiry%20-%20Name%20of%20Alert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Employers guide to workers compensation</dc:title>
  <dc:creator>NT WorkSafe;Kerry.Barnaart@nt.gov.au</dc:creator>
  <cp:lastModifiedBy>Sally Tye</cp:lastModifiedBy>
  <cp:revision>43</cp:revision>
  <cp:lastPrinted>2019-02-20T05:34:00Z</cp:lastPrinted>
  <dcterms:created xsi:type="dcterms:W3CDTF">2017-12-21T03:25:00Z</dcterms:created>
  <dcterms:modified xsi:type="dcterms:W3CDTF">2021-03-18T00:35:00Z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0x010100D0EB5375E3C86245AEF23D5DEFF38C9200F0A59824860E934B9BC4AEE5E863050D</vt:lpwstr>
  </property>
  <property fmtid="{D5CDD505-2E9C-101B-9397-08002B2CF9AE}" pid="3" name="TemplateUrl">
    <vt:lpwstr/>
  </property>
  <property fmtid="{D5CDD505-2E9C-101B-9397-08002B2CF9AE}" pid="4" name="Order">
    <vt:r8>59700</vt:r8>
  </property>
  <property fmtid="{D5CDD505-2E9C-101B-9397-08002B2CF9AE}" pid="5" name="xd_ProgID">
    <vt:lpwstr/>
  </property>
  <property fmtid="{D5CDD505-2E9C-101B-9397-08002B2CF9AE}" pid="6" name="_CopySource">
    <vt:lpwstr>http://www.worksafe.nt.gov.au/Bulletins/Bulletins/employers-guide-to-workers-compensation.docx</vt:lpwstr>
  </property>
  <property fmtid="{D5CDD505-2E9C-101B-9397-08002B2CF9AE}" pid="7" name="_SharedFileIndex">
    <vt:lpwstr/>
  </property>
  <property fmtid="{D5CDD505-2E9C-101B-9397-08002B2CF9AE}" pid="8" name="_SourceUrl">
    <vt:lpwstr/>
  </property>
  <property fmtid="{D5CDD505-2E9C-101B-9397-08002B2CF9AE}" pid="9" name="Language">
    <vt:lpwstr>English</vt:lpwstr>
  </property>
</Properties>
</file>