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AF6547" w14:textId="77777777" w:rsidR="00F100E9" w:rsidRPr="00A06A1E" w:rsidRDefault="00F100E9" w:rsidP="00F100E9">
      <w:pPr>
        <w:pStyle w:val="Title"/>
      </w:pPr>
      <w:bookmarkStart w:id="0" w:name="_GoBack"/>
      <w:r w:rsidRPr="00A46503">
        <w:rPr>
          <w:lang w:eastAsia="en-AU"/>
        </w:rPr>
        <w:t>Authorisation to use, handle or</w:t>
      </w:r>
      <w:r>
        <w:rPr>
          <w:lang w:eastAsia="en-AU"/>
        </w:rPr>
        <w:t xml:space="preserve"> store prohibited or restricted </w:t>
      </w:r>
      <w:r w:rsidRPr="00A46503">
        <w:rPr>
          <w:lang w:eastAsia="en-AU"/>
        </w:rPr>
        <w:t>carcinogens</w:t>
      </w:r>
    </w:p>
    <w:bookmarkEnd w:id="0"/>
    <w:p w14:paraId="569AF558" w14:textId="77777777" w:rsidR="00F100E9" w:rsidRPr="00F100E9" w:rsidRDefault="00740C6B" w:rsidP="00F100E9">
      <w:pPr>
        <w:spacing w:before="240" w:after="120"/>
        <w:rPr>
          <w:b/>
          <w:sz w:val="28"/>
          <w:szCs w:val="28"/>
        </w:rPr>
      </w:pPr>
      <w:r w:rsidRPr="00F100E9">
        <w:rPr>
          <w:b/>
          <w:sz w:val="28"/>
          <w:szCs w:val="28"/>
        </w:rPr>
        <w:t>Contents</w:t>
      </w:r>
    </w:p>
    <w:p w14:paraId="74D61AE3" w14:textId="11C30B56" w:rsidR="00F100E9" w:rsidRDefault="00F100E9" w:rsidP="00F100E9">
      <w:pPr>
        <w:pStyle w:val="TOC1"/>
        <w:tabs>
          <w:tab w:val="right" w:leader="dot" w:pos="10762"/>
        </w:tabs>
        <w:spacing w:before="60" w:after="60"/>
        <w:rPr>
          <w:rFonts w:asciiTheme="minorHAnsi" w:eastAsiaTheme="minorEastAsia" w:hAnsiTheme="minorHAnsi"/>
          <w:noProof/>
          <w:lang w:eastAsia="en-AU"/>
        </w:rPr>
      </w:pPr>
      <w:r>
        <w:fldChar w:fldCharType="begin"/>
      </w:r>
      <w:r>
        <w:instrText xml:space="preserve"> TOC \o "1-2" \h \z \u </w:instrText>
      </w:r>
      <w:r>
        <w:fldChar w:fldCharType="separate"/>
      </w:r>
      <w:hyperlink w:anchor="_Toc415529387" w:history="1">
        <w:r w:rsidRPr="004E0182">
          <w:rPr>
            <w:rStyle w:val="Hyperlink"/>
            <w:noProof/>
          </w:rPr>
          <w:t>Introduction</w:t>
        </w:r>
        <w:r>
          <w:rPr>
            <w:noProof/>
            <w:webHidden/>
          </w:rPr>
          <w:tab/>
        </w:r>
        <w:r>
          <w:rPr>
            <w:noProof/>
            <w:webHidden/>
          </w:rPr>
          <w:fldChar w:fldCharType="begin"/>
        </w:r>
        <w:r>
          <w:rPr>
            <w:noProof/>
            <w:webHidden/>
          </w:rPr>
          <w:instrText xml:space="preserve"> PAGEREF _Toc415529387 \h </w:instrText>
        </w:r>
        <w:r>
          <w:rPr>
            <w:noProof/>
            <w:webHidden/>
          </w:rPr>
        </w:r>
        <w:r>
          <w:rPr>
            <w:noProof/>
            <w:webHidden/>
          </w:rPr>
          <w:fldChar w:fldCharType="separate"/>
        </w:r>
        <w:r>
          <w:rPr>
            <w:noProof/>
            <w:webHidden/>
          </w:rPr>
          <w:t>1</w:t>
        </w:r>
        <w:r>
          <w:rPr>
            <w:noProof/>
            <w:webHidden/>
          </w:rPr>
          <w:fldChar w:fldCharType="end"/>
        </w:r>
      </w:hyperlink>
    </w:p>
    <w:p w14:paraId="54D2789D" w14:textId="77777777" w:rsidR="00F100E9" w:rsidRDefault="00F100E9" w:rsidP="00F100E9">
      <w:pPr>
        <w:pStyle w:val="TOC2"/>
        <w:tabs>
          <w:tab w:val="right" w:leader="dot" w:pos="10762"/>
        </w:tabs>
        <w:spacing w:before="60" w:after="60"/>
        <w:rPr>
          <w:rFonts w:asciiTheme="minorHAnsi" w:eastAsiaTheme="minorEastAsia" w:hAnsiTheme="minorHAnsi"/>
          <w:noProof/>
          <w:lang w:eastAsia="en-AU"/>
        </w:rPr>
      </w:pPr>
      <w:hyperlink w:anchor="_Toc415529388" w:history="1">
        <w:r w:rsidRPr="004E0182">
          <w:rPr>
            <w:rStyle w:val="Hyperlink"/>
            <w:noProof/>
          </w:rPr>
          <w:t>Scope</w:t>
        </w:r>
        <w:r>
          <w:rPr>
            <w:noProof/>
            <w:webHidden/>
          </w:rPr>
          <w:tab/>
        </w:r>
        <w:r>
          <w:rPr>
            <w:noProof/>
            <w:webHidden/>
          </w:rPr>
          <w:fldChar w:fldCharType="begin"/>
        </w:r>
        <w:r>
          <w:rPr>
            <w:noProof/>
            <w:webHidden/>
          </w:rPr>
          <w:instrText xml:space="preserve"> PAGEREF _Toc415529388 \h </w:instrText>
        </w:r>
        <w:r>
          <w:rPr>
            <w:noProof/>
            <w:webHidden/>
          </w:rPr>
        </w:r>
        <w:r>
          <w:rPr>
            <w:noProof/>
            <w:webHidden/>
          </w:rPr>
          <w:fldChar w:fldCharType="separate"/>
        </w:r>
        <w:r>
          <w:rPr>
            <w:noProof/>
            <w:webHidden/>
          </w:rPr>
          <w:t>2</w:t>
        </w:r>
        <w:r>
          <w:rPr>
            <w:noProof/>
            <w:webHidden/>
          </w:rPr>
          <w:fldChar w:fldCharType="end"/>
        </w:r>
      </w:hyperlink>
    </w:p>
    <w:p w14:paraId="296A0C82" w14:textId="77777777" w:rsidR="00F100E9" w:rsidRDefault="00F100E9" w:rsidP="00F100E9">
      <w:pPr>
        <w:pStyle w:val="TOC1"/>
        <w:tabs>
          <w:tab w:val="right" w:leader="dot" w:pos="10762"/>
        </w:tabs>
        <w:spacing w:before="60" w:after="60"/>
        <w:rPr>
          <w:rFonts w:asciiTheme="minorHAnsi" w:eastAsiaTheme="minorEastAsia" w:hAnsiTheme="minorHAnsi"/>
          <w:noProof/>
          <w:lang w:eastAsia="en-AU"/>
        </w:rPr>
      </w:pPr>
      <w:hyperlink w:anchor="_Toc415529389" w:history="1">
        <w:r w:rsidRPr="004E0182">
          <w:rPr>
            <w:rStyle w:val="Hyperlink"/>
            <w:noProof/>
          </w:rPr>
          <w:t>Who may apply for an authorisation</w:t>
        </w:r>
        <w:r>
          <w:rPr>
            <w:noProof/>
            <w:webHidden/>
          </w:rPr>
          <w:tab/>
        </w:r>
        <w:r>
          <w:rPr>
            <w:noProof/>
            <w:webHidden/>
          </w:rPr>
          <w:fldChar w:fldCharType="begin"/>
        </w:r>
        <w:r>
          <w:rPr>
            <w:noProof/>
            <w:webHidden/>
          </w:rPr>
          <w:instrText xml:space="preserve"> PAGEREF _Toc415529389 \h </w:instrText>
        </w:r>
        <w:r>
          <w:rPr>
            <w:noProof/>
            <w:webHidden/>
          </w:rPr>
        </w:r>
        <w:r>
          <w:rPr>
            <w:noProof/>
            <w:webHidden/>
          </w:rPr>
          <w:fldChar w:fldCharType="separate"/>
        </w:r>
        <w:r>
          <w:rPr>
            <w:noProof/>
            <w:webHidden/>
          </w:rPr>
          <w:t>2</w:t>
        </w:r>
        <w:r>
          <w:rPr>
            <w:noProof/>
            <w:webHidden/>
          </w:rPr>
          <w:fldChar w:fldCharType="end"/>
        </w:r>
      </w:hyperlink>
    </w:p>
    <w:p w14:paraId="646E9929" w14:textId="77777777" w:rsidR="00F100E9" w:rsidRDefault="00F100E9" w:rsidP="00F100E9">
      <w:pPr>
        <w:pStyle w:val="TOC1"/>
        <w:tabs>
          <w:tab w:val="right" w:leader="dot" w:pos="10762"/>
        </w:tabs>
        <w:spacing w:before="60" w:after="60"/>
        <w:rPr>
          <w:rFonts w:asciiTheme="minorHAnsi" w:eastAsiaTheme="minorEastAsia" w:hAnsiTheme="minorHAnsi"/>
          <w:noProof/>
          <w:lang w:eastAsia="en-AU"/>
        </w:rPr>
      </w:pPr>
      <w:hyperlink w:anchor="_Toc415529390" w:history="1">
        <w:r w:rsidRPr="004E0182">
          <w:rPr>
            <w:rStyle w:val="Hyperlink"/>
            <w:noProof/>
          </w:rPr>
          <w:t>Duration of authorisation</w:t>
        </w:r>
        <w:r>
          <w:rPr>
            <w:noProof/>
            <w:webHidden/>
          </w:rPr>
          <w:tab/>
        </w:r>
        <w:r>
          <w:rPr>
            <w:noProof/>
            <w:webHidden/>
          </w:rPr>
          <w:fldChar w:fldCharType="begin"/>
        </w:r>
        <w:r>
          <w:rPr>
            <w:noProof/>
            <w:webHidden/>
          </w:rPr>
          <w:instrText xml:space="preserve"> PAGEREF _Toc415529390 \h </w:instrText>
        </w:r>
        <w:r>
          <w:rPr>
            <w:noProof/>
            <w:webHidden/>
          </w:rPr>
        </w:r>
        <w:r>
          <w:rPr>
            <w:noProof/>
            <w:webHidden/>
          </w:rPr>
          <w:fldChar w:fldCharType="separate"/>
        </w:r>
        <w:r>
          <w:rPr>
            <w:noProof/>
            <w:webHidden/>
          </w:rPr>
          <w:t>2</w:t>
        </w:r>
        <w:r>
          <w:rPr>
            <w:noProof/>
            <w:webHidden/>
          </w:rPr>
          <w:fldChar w:fldCharType="end"/>
        </w:r>
      </w:hyperlink>
    </w:p>
    <w:p w14:paraId="01F6B41B" w14:textId="77777777" w:rsidR="00F100E9" w:rsidRDefault="00F100E9" w:rsidP="00F100E9">
      <w:pPr>
        <w:pStyle w:val="TOC1"/>
        <w:tabs>
          <w:tab w:val="right" w:leader="dot" w:pos="10762"/>
        </w:tabs>
        <w:spacing w:before="60" w:after="60"/>
        <w:rPr>
          <w:rFonts w:asciiTheme="minorHAnsi" w:eastAsiaTheme="minorEastAsia" w:hAnsiTheme="minorHAnsi"/>
          <w:noProof/>
          <w:lang w:eastAsia="en-AU"/>
        </w:rPr>
      </w:pPr>
      <w:hyperlink w:anchor="_Toc415529391" w:history="1">
        <w:r w:rsidRPr="004E0182">
          <w:rPr>
            <w:rStyle w:val="Hyperlink"/>
            <w:noProof/>
          </w:rPr>
          <w:t>How to apply for an authorisation</w:t>
        </w:r>
        <w:r>
          <w:rPr>
            <w:noProof/>
            <w:webHidden/>
          </w:rPr>
          <w:tab/>
        </w:r>
        <w:r>
          <w:rPr>
            <w:noProof/>
            <w:webHidden/>
          </w:rPr>
          <w:fldChar w:fldCharType="begin"/>
        </w:r>
        <w:r>
          <w:rPr>
            <w:noProof/>
            <w:webHidden/>
          </w:rPr>
          <w:instrText xml:space="preserve"> PAGEREF _Toc415529391 \h </w:instrText>
        </w:r>
        <w:r>
          <w:rPr>
            <w:noProof/>
            <w:webHidden/>
          </w:rPr>
        </w:r>
        <w:r>
          <w:rPr>
            <w:noProof/>
            <w:webHidden/>
          </w:rPr>
          <w:fldChar w:fldCharType="separate"/>
        </w:r>
        <w:r>
          <w:rPr>
            <w:noProof/>
            <w:webHidden/>
          </w:rPr>
          <w:t>2</w:t>
        </w:r>
        <w:r>
          <w:rPr>
            <w:noProof/>
            <w:webHidden/>
          </w:rPr>
          <w:fldChar w:fldCharType="end"/>
        </w:r>
      </w:hyperlink>
    </w:p>
    <w:p w14:paraId="70682D19" w14:textId="77777777" w:rsidR="00F100E9" w:rsidRDefault="00F100E9" w:rsidP="00F100E9">
      <w:pPr>
        <w:pStyle w:val="TOC2"/>
        <w:tabs>
          <w:tab w:val="right" w:leader="dot" w:pos="10762"/>
        </w:tabs>
        <w:spacing w:before="60" w:after="60"/>
        <w:rPr>
          <w:rFonts w:asciiTheme="minorHAnsi" w:eastAsiaTheme="minorEastAsia" w:hAnsiTheme="minorHAnsi"/>
          <w:noProof/>
          <w:lang w:eastAsia="en-AU"/>
        </w:rPr>
      </w:pPr>
      <w:hyperlink w:anchor="_Toc415529392" w:history="1">
        <w:r w:rsidRPr="004E0182">
          <w:rPr>
            <w:rStyle w:val="Hyperlink"/>
            <w:noProof/>
          </w:rPr>
          <w:t>Fees</w:t>
        </w:r>
        <w:r>
          <w:rPr>
            <w:noProof/>
            <w:webHidden/>
          </w:rPr>
          <w:tab/>
        </w:r>
        <w:r>
          <w:rPr>
            <w:noProof/>
            <w:webHidden/>
          </w:rPr>
          <w:fldChar w:fldCharType="begin"/>
        </w:r>
        <w:r>
          <w:rPr>
            <w:noProof/>
            <w:webHidden/>
          </w:rPr>
          <w:instrText xml:space="preserve"> PAGEREF _Toc415529392 \h </w:instrText>
        </w:r>
        <w:r>
          <w:rPr>
            <w:noProof/>
            <w:webHidden/>
          </w:rPr>
        </w:r>
        <w:r>
          <w:rPr>
            <w:noProof/>
            <w:webHidden/>
          </w:rPr>
          <w:fldChar w:fldCharType="separate"/>
        </w:r>
        <w:r>
          <w:rPr>
            <w:noProof/>
            <w:webHidden/>
          </w:rPr>
          <w:t>2</w:t>
        </w:r>
        <w:r>
          <w:rPr>
            <w:noProof/>
            <w:webHidden/>
          </w:rPr>
          <w:fldChar w:fldCharType="end"/>
        </w:r>
      </w:hyperlink>
    </w:p>
    <w:p w14:paraId="67970840" w14:textId="77777777" w:rsidR="00F100E9" w:rsidRDefault="00F100E9" w:rsidP="00F100E9">
      <w:pPr>
        <w:pStyle w:val="TOC1"/>
        <w:tabs>
          <w:tab w:val="right" w:leader="dot" w:pos="10762"/>
        </w:tabs>
        <w:spacing w:before="60" w:after="60"/>
        <w:rPr>
          <w:rFonts w:asciiTheme="minorHAnsi" w:eastAsiaTheme="minorEastAsia" w:hAnsiTheme="minorHAnsi"/>
          <w:noProof/>
          <w:lang w:eastAsia="en-AU"/>
        </w:rPr>
      </w:pPr>
      <w:hyperlink w:anchor="_Toc415529393" w:history="1">
        <w:r w:rsidRPr="004E0182">
          <w:rPr>
            <w:rStyle w:val="Hyperlink"/>
            <w:noProof/>
          </w:rPr>
          <w:t>Granting / refusing</w:t>
        </w:r>
        <w:r>
          <w:rPr>
            <w:noProof/>
            <w:webHidden/>
          </w:rPr>
          <w:tab/>
        </w:r>
        <w:r>
          <w:rPr>
            <w:noProof/>
            <w:webHidden/>
          </w:rPr>
          <w:fldChar w:fldCharType="begin"/>
        </w:r>
        <w:r>
          <w:rPr>
            <w:noProof/>
            <w:webHidden/>
          </w:rPr>
          <w:instrText xml:space="preserve"> PAGEREF _Toc415529393 \h </w:instrText>
        </w:r>
        <w:r>
          <w:rPr>
            <w:noProof/>
            <w:webHidden/>
          </w:rPr>
        </w:r>
        <w:r>
          <w:rPr>
            <w:noProof/>
            <w:webHidden/>
          </w:rPr>
          <w:fldChar w:fldCharType="separate"/>
        </w:r>
        <w:r>
          <w:rPr>
            <w:noProof/>
            <w:webHidden/>
          </w:rPr>
          <w:t>2</w:t>
        </w:r>
        <w:r>
          <w:rPr>
            <w:noProof/>
            <w:webHidden/>
          </w:rPr>
          <w:fldChar w:fldCharType="end"/>
        </w:r>
      </w:hyperlink>
    </w:p>
    <w:p w14:paraId="28246CDF" w14:textId="77777777" w:rsidR="00F100E9" w:rsidRDefault="00F100E9" w:rsidP="00F100E9">
      <w:pPr>
        <w:pStyle w:val="TOC2"/>
        <w:tabs>
          <w:tab w:val="right" w:leader="dot" w:pos="10762"/>
        </w:tabs>
        <w:spacing w:before="60" w:after="60"/>
        <w:rPr>
          <w:rFonts w:asciiTheme="minorHAnsi" w:eastAsiaTheme="minorEastAsia" w:hAnsiTheme="minorHAnsi"/>
          <w:noProof/>
          <w:lang w:eastAsia="en-AU"/>
        </w:rPr>
      </w:pPr>
      <w:hyperlink w:anchor="_Toc415529394" w:history="1">
        <w:r w:rsidRPr="004E0182">
          <w:rPr>
            <w:rStyle w:val="Hyperlink"/>
            <w:noProof/>
          </w:rPr>
          <w:t>What does the regulator take into account when deciding whether to grant an authorisation</w:t>
        </w:r>
        <w:r>
          <w:rPr>
            <w:noProof/>
            <w:webHidden/>
          </w:rPr>
          <w:tab/>
        </w:r>
        <w:r>
          <w:rPr>
            <w:noProof/>
            <w:webHidden/>
          </w:rPr>
          <w:fldChar w:fldCharType="begin"/>
        </w:r>
        <w:r>
          <w:rPr>
            <w:noProof/>
            <w:webHidden/>
          </w:rPr>
          <w:instrText xml:space="preserve"> PAGEREF _Toc415529394 \h </w:instrText>
        </w:r>
        <w:r>
          <w:rPr>
            <w:noProof/>
            <w:webHidden/>
          </w:rPr>
        </w:r>
        <w:r>
          <w:rPr>
            <w:noProof/>
            <w:webHidden/>
          </w:rPr>
          <w:fldChar w:fldCharType="separate"/>
        </w:r>
        <w:r>
          <w:rPr>
            <w:noProof/>
            <w:webHidden/>
          </w:rPr>
          <w:t>2</w:t>
        </w:r>
        <w:r>
          <w:rPr>
            <w:noProof/>
            <w:webHidden/>
          </w:rPr>
          <w:fldChar w:fldCharType="end"/>
        </w:r>
      </w:hyperlink>
    </w:p>
    <w:p w14:paraId="187176E3" w14:textId="77777777" w:rsidR="00F100E9" w:rsidRDefault="00F100E9" w:rsidP="00F100E9">
      <w:pPr>
        <w:pStyle w:val="TOC2"/>
        <w:tabs>
          <w:tab w:val="right" w:leader="dot" w:pos="10762"/>
        </w:tabs>
        <w:spacing w:before="60" w:after="60"/>
        <w:rPr>
          <w:rFonts w:asciiTheme="minorHAnsi" w:eastAsiaTheme="minorEastAsia" w:hAnsiTheme="minorHAnsi"/>
          <w:noProof/>
          <w:lang w:eastAsia="en-AU"/>
        </w:rPr>
      </w:pPr>
      <w:hyperlink w:anchor="_Toc415529395" w:history="1">
        <w:r w:rsidRPr="004E0182">
          <w:rPr>
            <w:rStyle w:val="Hyperlink"/>
            <w:noProof/>
          </w:rPr>
          <w:t>Granting of a conditional authorisation</w:t>
        </w:r>
        <w:r>
          <w:rPr>
            <w:noProof/>
            <w:webHidden/>
          </w:rPr>
          <w:tab/>
        </w:r>
        <w:r>
          <w:rPr>
            <w:noProof/>
            <w:webHidden/>
          </w:rPr>
          <w:fldChar w:fldCharType="begin"/>
        </w:r>
        <w:r>
          <w:rPr>
            <w:noProof/>
            <w:webHidden/>
          </w:rPr>
          <w:instrText xml:space="preserve"> PAGEREF _Toc415529395 \h </w:instrText>
        </w:r>
        <w:r>
          <w:rPr>
            <w:noProof/>
            <w:webHidden/>
          </w:rPr>
        </w:r>
        <w:r>
          <w:rPr>
            <w:noProof/>
            <w:webHidden/>
          </w:rPr>
          <w:fldChar w:fldCharType="separate"/>
        </w:r>
        <w:r>
          <w:rPr>
            <w:noProof/>
            <w:webHidden/>
          </w:rPr>
          <w:t>3</w:t>
        </w:r>
        <w:r>
          <w:rPr>
            <w:noProof/>
            <w:webHidden/>
          </w:rPr>
          <w:fldChar w:fldCharType="end"/>
        </w:r>
      </w:hyperlink>
    </w:p>
    <w:p w14:paraId="53EAAE11" w14:textId="77777777" w:rsidR="00F100E9" w:rsidRDefault="00F100E9" w:rsidP="00F100E9">
      <w:pPr>
        <w:pStyle w:val="TOC2"/>
        <w:tabs>
          <w:tab w:val="right" w:leader="dot" w:pos="10762"/>
        </w:tabs>
        <w:spacing w:before="60" w:after="60"/>
        <w:rPr>
          <w:rFonts w:asciiTheme="minorHAnsi" w:eastAsiaTheme="minorEastAsia" w:hAnsiTheme="minorHAnsi"/>
          <w:noProof/>
          <w:lang w:eastAsia="en-AU"/>
        </w:rPr>
      </w:pPr>
      <w:hyperlink w:anchor="_Toc415529396" w:history="1">
        <w:r w:rsidRPr="004E0182">
          <w:rPr>
            <w:rStyle w:val="Hyperlink"/>
            <w:noProof/>
          </w:rPr>
          <w:t>Refusing to grant an authorisation</w:t>
        </w:r>
        <w:r>
          <w:rPr>
            <w:noProof/>
            <w:webHidden/>
          </w:rPr>
          <w:tab/>
        </w:r>
        <w:r>
          <w:rPr>
            <w:noProof/>
            <w:webHidden/>
          </w:rPr>
          <w:fldChar w:fldCharType="begin"/>
        </w:r>
        <w:r>
          <w:rPr>
            <w:noProof/>
            <w:webHidden/>
          </w:rPr>
          <w:instrText xml:space="preserve"> PAGEREF _Toc415529396 \h </w:instrText>
        </w:r>
        <w:r>
          <w:rPr>
            <w:noProof/>
            <w:webHidden/>
          </w:rPr>
        </w:r>
        <w:r>
          <w:rPr>
            <w:noProof/>
            <w:webHidden/>
          </w:rPr>
          <w:fldChar w:fldCharType="separate"/>
        </w:r>
        <w:r>
          <w:rPr>
            <w:noProof/>
            <w:webHidden/>
          </w:rPr>
          <w:t>3</w:t>
        </w:r>
        <w:r>
          <w:rPr>
            <w:noProof/>
            <w:webHidden/>
          </w:rPr>
          <w:fldChar w:fldCharType="end"/>
        </w:r>
      </w:hyperlink>
    </w:p>
    <w:p w14:paraId="6D24A694" w14:textId="77777777" w:rsidR="00F100E9" w:rsidRDefault="00F100E9" w:rsidP="00F100E9">
      <w:pPr>
        <w:pStyle w:val="TOC1"/>
        <w:tabs>
          <w:tab w:val="right" w:leader="dot" w:pos="10762"/>
        </w:tabs>
        <w:spacing w:before="60" w:after="60"/>
        <w:rPr>
          <w:rFonts w:asciiTheme="minorHAnsi" w:eastAsiaTheme="minorEastAsia" w:hAnsiTheme="minorHAnsi"/>
          <w:noProof/>
          <w:lang w:eastAsia="en-AU"/>
        </w:rPr>
      </w:pPr>
      <w:hyperlink w:anchor="_Toc415529397" w:history="1">
        <w:r w:rsidRPr="004E0182">
          <w:rPr>
            <w:rStyle w:val="Hyperlink"/>
            <w:noProof/>
          </w:rPr>
          <w:t>Obligations</w:t>
        </w:r>
        <w:r>
          <w:rPr>
            <w:noProof/>
            <w:webHidden/>
          </w:rPr>
          <w:tab/>
        </w:r>
        <w:r>
          <w:rPr>
            <w:noProof/>
            <w:webHidden/>
          </w:rPr>
          <w:fldChar w:fldCharType="begin"/>
        </w:r>
        <w:r>
          <w:rPr>
            <w:noProof/>
            <w:webHidden/>
          </w:rPr>
          <w:instrText xml:space="preserve"> PAGEREF _Toc415529397 \h </w:instrText>
        </w:r>
        <w:r>
          <w:rPr>
            <w:noProof/>
            <w:webHidden/>
          </w:rPr>
        </w:r>
        <w:r>
          <w:rPr>
            <w:noProof/>
            <w:webHidden/>
          </w:rPr>
          <w:fldChar w:fldCharType="separate"/>
        </w:r>
        <w:r>
          <w:rPr>
            <w:noProof/>
            <w:webHidden/>
          </w:rPr>
          <w:t>3</w:t>
        </w:r>
        <w:r>
          <w:rPr>
            <w:noProof/>
            <w:webHidden/>
          </w:rPr>
          <w:fldChar w:fldCharType="end"/>
        </w:r>
      </w:hyperlink>
    </w:p>
    <w:p w14:paraId="321764E4" w14:textId="77777777" w:rsidR="00F100E9" w:rsidRDefault="00F100E9" w:rsidP="00F100E9">
      <w:pPr>
        <w:pStyle w:val="TOC2"/>
        <w:tabs>
          <w:tab w:val="right" w:leader="dot" w:pos="10762"/>
        </w:tabs>
        <w:spacing w:before="60" w:after="60"/>
        <w:rPr>
          <w:rFonts w:asciiTheme="minorHAnsi" w:eastAsiaTheme="minorEastAsia" w:hAnsiTheme="minorHAnsi"/>
          <w:noProof/>
          <w:lang w:eastAsia="en-AU"/>
        </w:rPr>
      </w:pPr>
      <w:hyperlink w:anchor="_Toc415529398" w:history="1">
        <w:r w:rsidRPr="004E0182">
          <w:rPr>
            <w:rStyle w:val="Hyperlink"/>
            <w:noProof/>
          </w:rPr>
          <w:t>Cancellation</w:t>
        </w:r>
        <w:r>
          <w:rPr>
            <w:noProof/>
            <w:webHidden/>
          </w:rPr>
          <w:tab/>
        </w:r>
        <w:r>
          <w:rPr>
            <w:noProof/>
            <w:webHidden/>
          </w:rPr>
          <w:fldChar w:fldCharType="begin"/>
        </w:r>
        <w:r>
          <w:rPr>
            <w:noProof/>
            <w:webHidden/>
          </w:rPr>
          <w:instrText xml:space="preserve"> PAGEREF _Toc415529398 \h </w:instrText>
        </w:r>
        <w:r>
          <w:rPr>
            <w:noProof/>
            <w:webHidden/>
          </w:rPr>
        </w:r>
        <w:r>
          <w:rPr>
            <w:noProof/>
            <w:webHidden/>
          </w:rPr>
          <w:fldChar w:fldCharType="separate"/>
        </w:r>
        <w:r>
          <w:rPr>
            <w:noProof/>
            <w:webHidden/>
          </w:rPr>
          <w:t>4</w:t>
        </w:r>
        <w:r>
          <w:rPr>
            <w:noProof/>
            <w:webHidden/>
          </w:rPr>
          <w:fldChar w:fldCharType="end"/>
        </w:r>
      </w:hyperlink>
    </w:p>
    <w:p w14:paraId="468652AC" w14:textId="77777777" w:rsidR="00F100E9" w:rsidRDefault="00F100E9" w:rsidP="00F100E9">
      <w:pPr>
        <w:pStyle w:val="TOC1"/>
        <w:tabs>
          <w:tab w:val="right" w:leader="dot" w:pos="10762"/>
        </w:tabs>
        <w:spacing w:before="60" w:after="60"/>
        <w:rPr>
          <w:rFonts w:asciiTheme="minorHAnsi" w:eastAsiaTheme="minorEastAsia" w:hAnsiTheme="minorHAnsi"/>
          <w:noProof/>
          <w:lang w:eastAsia="en-AU"/>
        </w:rPr>
      </w:pPr>
      <w:hyperlink w:anchor="_Toc415529399" w:history="1">
        <w:r w:rsidRPr="004E0182">
          <w:rPr>
            <w:rStyle w:val="Hyperlink"/>
            <w:noProof/>
          </w:rPr>
          <w:t>Application for review of decision</w:t>
        </w:r>
        <w:r>
          <w:rPr>
            <w:noProof/>
            <w:webHidden/>
          </w:rPr>
          <w:tab/>
        </w:r>
        <w:r>
          <w:rPr>
            <w:noProof/>
            <w:webHidden/>
          </w:rPr>
          <w:fldChar w:fldCharType="begin"/>
        </w:r>
        <w:r>
          <w:rPr>
            <w:noProof/>
            <w:webHidden/>
          </w:rPr>
          <w:instrText xml:space="preserve"> PAGEREF _Toc415529399 \h </w:instrText>
        </w:r>
        <w:r>
          <w:rPr>
            <w:noProof/>
            <w:webHidden/>
          </w:rPr>
        </w:r>
        <w:r>
          <w:rPr>
            <w:noProof/>
            <w:webHidden/>
          </w:rPr>
          <w:fldChar w:fldCharType="separate"/>
        </w:r>
        <w:r>
          <w:rPr>
            <w:noProof/>
            <w:webHidden/>
          </w:rPr>
          <w:t>4</w:t>
        </w:r>
        <w:r>
          <w:rPr>
            <w:noProof/>
            <w:webHidden/>
          </w:rPr>
          <w:fldChar w:fldCharType="end"/>
        </w:r>
      </w:hyperlink>
    </w:p>
    <w:p w14:paraId="2A1E7424" w14:textId="77777777" w:rsidR="00F100E9" w:rsidRDefault="00F100E9" w:rsidP="00F100E9">
      <w:pPr>
        <w:pStyle w:val="TOC2"/>
        <w:tabs>
          <w:tab w:val="right" w:leader="dot" w:pos="10762"/>
        </w:tabs>
        <w:spacing w:before="60" w:after="60"/>
        <w:rPr>
          <w:rFonts w:asciiTheme="minorHAnsi" w:eastAsiaTheme="minorEastAsia" w:hAnsiTheme="minorHAnsi"/>
          <w:noProof/>
          <w:lang w:eastAsia="en-AU"/>
        </w:rPr>
      </w:pPr>
      <w:hyperlink w:anchor="_Toc415529400" w:history="1">
        <w:r w:rsidRPr="004E0182">
          <w:rPr>
            <w:rStyle w:val="Hyperlink"/>
            <w:noProof/>
          </w:rPr>
          <w:t>Internal review</w:t>
        </w:r>
        <w:r>
          <w:rPr>
            <w:noProof/>
            <w:webHidden/>
          </w:rPr>
          <w:tab/>
        </w:r>
        <w:r>
          <w:rPr>
            <w:noProof/>
            <w:webHidden/>
          </w:rPr>
          <w:fldChar w:fldCharType="begin"/>
        </w:r>
        <w:r>
          <w:rPr>
            <w:noProof/>
            <w:webHidden/>
          </w:rPr>
          <w:instrText xml:space="preserve"> PAGEREF _Toc415529400 \h </w:instrText>
        </w:r>
        <w:r>
          <w:rPr>
            <w:noProof/>
            <w:webHidden/>
          </w:rPr>
        </w:r>
        <w:r>
          <w:rPr>
            <w:noProof/>
            <w:webHidden/>
          </w:rPr>
          <w:fldChar w:fldCharType="separate"/>
        </w:r>
        <w:r>
          <w:rPr>
            <w:noProof/>
            <w:webHidden/>
          </w:rPr>
          <w:t>4</w:t>
        </w:r>
        <w:r>
          <w:rPr>
            <w:noProof/>
            <w:webHidden/>
          </w:rPr>
          <w:fldChar w:fldCharType="end"/>
        </w:r>
      </w:hyperlink>
    </w:p>
    <w:p w14:paraId="6D5A52E1" w14:textId="77777777" w:rsidR="00F100E9" w:rsidRDefault="00F100E9" w:rsidP="00F100E9">
      <w:pPr>
        <w:pStyle w:val="TOC2"/>
        <w:tabs>
          <w:tab w:val="right" w:leader="dot" w:pos="10762"/>
        </w:tabs>
        <w:spacing w:before="60" w:after="60"/>
        <w:rPr>
          <w:rFonts w:asciiTheme="minorHAnsi" w:eastAsiaTheme="minorEastAsia" w:hAnsiTheme="minorHAnsi"/>
          <w:noProof/>
          <w:lang w:eastAsia="en-AU"/>
        </w:rPr>
      </w:pPr>
      <w:hyperlink w:anchor="_Toc415529401" w:history="1">
        <w:r w:rsidRPr="004E0182">
          <w:rPr>
            <w:rStyle w:val="Hyperlink"/>
            <w:noProof/>
          </w:rPr>
          <w:t>External review</w:t>
        </w:r>
        <w:r>
          <w:rPr>
            <w:noProof/>
            <w:webHidden/>
          </w:rPr>
          <w:tab/>
        </w:r>
        <w:r>
          <w:rPr>
            <w:noProof/>
            <w:webHidden/>
          </w:rPr>
          <w:fldChar w:fldCharType="begin"/>
        </w:r>
        <w:r>
          <w:rPr>
            <w:noProof/>
            <w:webHidden/>
          </w:rPr>
          <w:instrText xml:space="preserve"> PAGEREF _Toc415529401 \h </w:instrText>
        </w:r>
        <w:r>
          <w:rPr>
            <w:noProof/>
            <w:webHidden/>
          </w:rPr>
        </w:r>
        <w:r>
          <w:rPr>
            <w:noProof/>
            <w:webHidden/>
          </w:rPr>
          <w:fldChar w:fldCharType="separate"/>
        </w:r>
        <w:r>
          <w:rPr>
            <w:noProof/>
            <w:webHidden/>
          </w:rPr>
          <w:t>5</w:t>
        </w:r>
        <w:r>
          <w:rPr>
            <w:noProof/>
            <w:webHidden/>
          </w:rPr>
          <w:fldChar w:fldCharType="end"/>
        </w:r>
      </w:hyperlink>
    </w:p>
    <w:p w14:paraId="3D2A7EB8" w14:textId="77777777" w:rsidR="00F100E9" w:rsidRDefault="00F100E9" w:rsidP="00F100E9">
      <w:pPr>
        <w:pStyle w:val="TOC1"/>
        <w:tabs>
          <w:tab w:val="right" w:leader="dot" w:pos="10762"/>
        </w:tabs>
        <w:spacing w:before="60" w:after="60"/>
        <w:rPr>
          <w:rFonts w:asciiTheme="minorHAnsi" w:eastAsiaTheme="minorEastAsia" w:hAnsiTheme="minorHAnsi"/>
          <w:noProof/>
          <w:lang w:eastAsia="en-AU"/>
        </w:rPr>
      </w:pPr>
      <w:hyperlink w:anchor="_Toc415529402" w:history="1">
        <w:r w:rsidRPr="004E0182">
          <w:rPr>
            <w:rStyle w:val="Hyperlink"/>
            <w:noProof/>
          </w:rPr>
          <w:t>Further information</w:t>
        </w:r>
        <w:r>
          <w:rPr>
            <w:noProof/>
            <w:webHidden/>
          </w:rPr>
          <w:tab/>
        </w:r>
        <w:r>
          <w:rPr>
            <w:noProof/>
            <w:webHidden/>
          </w:rPr>
          <w:fldChar w:fldCharType="begin"/>
        </w:r>
        <w:r>
          <w:rPr>
            <w:noProof/>
            <w:webHidden/>
          </w:rPr>
          <w:instrText xml:space="preserve"> PAGEREF _Toc415529402 \h </w:instrText>
        </w:r>
        <w:r>
          <w:rPr>
            <w:noProof/>
            <w:webHidden/>
          </w:rPr>
        </w:r>
        <w:r>
          <w:rPr>
            <w:noProof/>
            <w:webHidden/>
          </w:rPr>
          <w:fldChar w:fldCharType="separate"/>
        </w:r>
        <w:r>
          <w:rPr>
            <w:noProof/>
            <w:webHidden/>
          </w:rPr>
          <w:t>5</w:t>
        </w:r>
        <w:r>
          <w:rPr>
            <w:noProof/>
            <w:webHidden/>
          </w:rPr>
          <w:fldChar w:fldCharType="end"/>
        </w:r>
      </w:hyperlink>
    </w:p>
    <w:p w14:paraId="224C31C9" w14:textId="77777777" w:rsidR="00F100E9" w:rsidRDefault="00F100E9" w:rsidP="00F100E9">
      <w:pPr>
        <w:pStyle w:val="TOC2"/>
        <w:tabs>
          <w:tab w:val="right" w:leader="dot" w:pos="10762"/>
        </w:tabs>
        <w:spacing w:before="60" w:after="60"/>
        <w:rPr>
          <w:rFonts w:asciiTheme="minorHAnsi" w:eastAsiaTheme="minorEastAsia" w:hAnsiTheme="minorHAnsi"/>
          <w:noProof/>
          <w:lang w:eastAsia="en-AU"/>
        </w:rPr>
      </w:pPr>
      <w:hyperlink w:anchor="_Toc415529403" w:history="1">
        <w:r w:rsidRPr="004E0182">
          <w:rPr>
            <w:rStyle w:val="Hyperlink"/>
            <w:noProof/>
          </w:rPr>
          <w:t>Legislation</w:t>
        </w:r>
        <w:r>
          <w:rPr>
            <w:noProof/>
            <w:webHidden/>
          </w:rPr>
          <w:tab/>
        </w:r>
        <w:r>
          <w:rPr>
            <w:noProof/>
            <w:webHidden/>
          </w:rPr>
          <w:fldChar w:fldCharType="begin"/>
        </w:r>
        <w:r>
          <w:rPr>
            <w:noProof/>
            <w:webHidden/>
          </w:rPr>
          <w:instrText xml:space="preserve"> PAGEREF _Toc415529403 \h </w:instrText>
        </w:r>
        <w:r>
          <w:rPr>
            <w:noProof/>
            <w:webHidden/>
          </w:rPr>
        </w:r>
        <w:r>
          <w:rPr>
            <w:noProof/>
            <w:webHidden/>
          </w:rPr>
          <w:fldChar w:fldCharType="separate"/>
        </w:r>
        <w:r>
          <w:rPr>
            <w:noProof/>
            <w:webHidden/>
          </w:rPr>
          <w:t>5</w:t>
        </w:r>
        <w:r>
          <w:rPr>
            <w:noProof/>
            <w:webHidden/>
          </w:rPr>
          <w:fldChar w:fldCharType="end"/>
        </w:r>
      </w:hyperlink>
    </w:p>
    <w:p w14:paraId="601EB6CC" w14:textId="77777777" w:rsidR="00F100E9" w:rsidRDefault="00F100E9" w:rsidP="00F100E9">
      <w:pPr>
        <w:pStyle w:val="TOC2"/>
        <w:tabs>
          <w:tab w:val="right" w:leader="dot" w:pos="10762"/>
        </w:tabs>
        <w:spacing w:before="60" w:after="60"/>
        <w:rPr>
          <w:rFonts w:asciiTheme="minorHAnsi" w:eastAsiaTheme="minorEastAsia" w:hAnsiTheme="minorHAnsi"/>
          <w:noProof/>
          <w:lang w:eastAsia="en-AU"/>
        </w:rPr>
      </w:pPr>
      <w:hyperlink w:anchor="_Toc415529404" w:history="1">
        <w:r w:rsidRPr="004E0182">
          <w:rPr>
            <w:rStyle w:val="Hyperlink"/>
            <w:noProof/>
          </w:rPr>
          <w:t>List of jurisdiction contacts</w:t>
        </w:r>
        <w:r>
          <w:rPr>
            <w:noProof/>
            <w:webHidden/>
          </w:rPr>
          <w:tab/>
        </w:r>
        <w:r>
          <w:rPr>
            <w:noProof/>
            <w:webHidden/>
          </w:rPr>
          <w:fldChar w:fldCharType="begin"/>
        </w:r>
        <w:r>
          <w:rPr>
            <w:noProof/>
            <w:webHidden/>
          </w:rPr>
          <w:instrText xml:space="preserve"> PAGEREF _Toc415529404 \h </w:instrText>
        </w:r>
        <w:r>
          <w:rPr>
            <w:noProof/>
            <w:webHidden/>
          </w:rPr>
        </w:r>
        <w:r>
          <w:rPr>
            <w:noProof/>
            <w:webHidden/>
          </w:rPr>
          <w:fldChar w:fldCharType="separate"/>
        </w:r>
        <w:r>
          <w:rPr>
            <w:noProof/>
            <w:webHidden/>
          </w:rPr>
          <w:t>5</w:t>
        </w:r>
        <w:r>
          <w:rPr>
            <w:noProof/>
            <w:webHidden/>
          </w:rPr>
          <w:fldChar w:fldCharType="end"/>
        </w:r>
      </w:hyperlink>
    </w:p>
    <w:p w14:paraId="15579497" w14:textId="77777777" w:rsidR="00F100E9" w:rsidRDefault="00F100E9" w:rsidP="00F100E9">
      <w:pPr>
        <w:pStyle w:val="TOC1"/>
        <w:tabs>
          <w:tab w:val="right" w:leader="dot" w:pos="10762"/>
        </w:tabs>
        <w:spacing w:before="60" w:after="60"/>
        <w:rPr>
          <w:rFonts w:asciiTheme="minorHAnsi" w:eastAsiaTheme="minorEastAsia" w:hAnsiTheme="minorHAnsi"/>
          <w:noProof/>
          <w:lang w:eastAsia="en-AU"/>
        </w:rPr>
      </w:pPr>
      <w:hyperlink w:anchor="_Toc415529405" w:history="1">
        <w:r w:rsidRPr="004E0182">
          <w:rPr>
            <w:rStyle w:val="Hyperlink"/>
            <w:noProof/>
          </w:rPr>
          <w:t>Contact us</w:t>
        </w:r>
        <w:r>
          <w:rPr>
            <w:noProof/>
            <w:webHidden/>
          </w:rPr>
          <w:tab/>
        </w:r>
        <w:r>
          <w:rPr>
            <w:noProof/>
            <w:webHidden/>
          </w:rPr>
          <w:fldChar w:fldCharType="begin"/>
        </w:r>
        <w:r>
          <w:rPr>
            <w:noProof/>
            <w:webHidden/>
          </w:rPr>
          <w:instrText xml:space="preserve"> PAGEREF _Toc415529405 \h </w:instrText>
        </w:r>
        <w:r>
          <w:rPr>
            <w:noProof/>
            <w:webHidden/>
          </w:rPr>
        </w:r>
        <w:r>
          <w:rPr>
            <w:noProof/>
            <w:webHidden/>
          </w:rPr>
          <w:fldChar w:fldCharType="separate"/>
        </w:r>
        <w:r>
          <w:rPr>
            <w:noProof/>
            <w:webHidden/>
          </w:rPr>
          <w:t>5</w:t>
        </w:r>
        <w:r>
          <w:rPr>
            <w:noProof/>
            <w:webHidden/>
          </w:rPr>
          <w:fldChar w:fldCharType="end"/>
        </w:r>
      </w:hyperlink>
    </w:p>
    <w:p w14:paraId="5BEC2E95" w14:textId="77777777" w:rsidR="00F100E9" w:rsidRPr="000412D0" w:rsidRDefault="00F100E9" w:rsidP="00F100E9">
      <w:pPr>
        <w:pStyle w:val="Heading1"/>
        <w:spacing w:before="240" w:after="60"/>
      </w:pPr>
      <w:r>
        <w:fldChar w:fldCharType="end"/>
      </w:r>
      <w:bookmarkStart w:id="1" w:name="_Toc415529387"/>
      <w:r w:rsidRPr="000412D0">
        <w:t>Introduction</w:t>
      </w:r>
      <w:bookmarkEnd w:id="1"/>
    </w:p>
    <w:p w14:paraId="0EC40025" w14:textId="77777777" w:rsidR="00F100E9" w:rsidRPr="00475FA6" w:rsidRDefault="00F100E9" w:rsidP="00F100E9">
      <w:pPr>
        <w:rPr>
          <w:lang w:eastAsia="en-AU"/>
        </w:rPr>
      </w:pPr>
      <w:r w:rsidRPr="00475FA6">
        <w:rPr>
          <w:lang w:eastAsia="en-AU"/>
        </w:rPr>
        <w:t xml:space="preserve">The </w:t>
      </w:r>
      <w:r w:rsidRPr="00732ACB">
        <w:rPr>
          <w:lang w:eastAsia="en-AU"/>
        </w:rPr>
        <w:t>Work Health and Safety (National Uniform Legislation) Regulations – the WHS (NUL) Regulations –</w:t>
      </w:r>
      <w:r>
        <w:rPr>
          <w:i/>
          <w:lang w:eastAsia="en-AU"/>
        </w:rPr>
        <w:t xml:space="preserve"> </w:t>
      </w:r>
      <w:r w:rsidRPr="00732ACB">
        <w:rPr>
          <w:lang w:eastAsia="en-AU"/>
        </w:rPr>
        <w:t>provides</w:t>
      </w:r>
      <w:r>
        <w:rPr>
          <w:i/>
          <w:lang w:eastAsia="en-AU"/>
        </w:rPr>
        <w:t xml:space="preserve"> </w:t>
      </w:r>
      <w:r w:rsidRPr="00475FA6">
        <w:rPr>
          <w:lang w:eastAsia="en-AU"/>
        </w:rPr>
        <w:t xml:space="preserve">that a person conducting a business or undertaking (PCBU) must not use, handle or store, or direct or allow a worker at the workplace to use, handle or store a prohibited or restricted carcinogen unless the </w:t>
      </w:r>
      <w:r>
        <w:rPr>
          <w:lang w:eastAsia="en-AU"/>
        </w:rPr>
        <w:t>Regulator</w:t>
      </w:r>
      <w:r w:rsidRPr="00475FA6">
        <w:rPr>
          <w:lang w:eastAsia="en-AU"/>
        </w:rPr>
        <w:t xml:space="preserve"> has authorised that use, handling or storage under Regulation 38</w:t>
      </w:r>
      <w:r>
        <w:rPr>
          <w:lang w:eastAsia="en-AU"/>
        </w:rPr>
        <w:t>4</w:t>
      </w:r>
      <w:r w:rsidRPr="00475FA6">
        <w:rPr>
          <w:lang w:eastAsia="en-AU"/>
        </w:rPr>
        <w:t xml:space="preserve"> (and in the case of a prohibited carcinogen, is used for genuine research or analysis).</w:t>
      </w:r>
    </w:p>
    <w:p w14:paraId="10464224" w14:textId="77777777" w:rsidR="00F100E9" w:rsidRPr="00475FA6" w:rsidRDefault="00F100E9" w:rsidP="00F100E9">
      <w:pPr>
        <w:rPr>
          <w:lang w:eastAsia="en-AU"/>
        </w:rPr>
      </w:pPr>
      <w:r w:rsidRPr="00475FA6">
        <w:rPr>
          <w:lang w:eastAsia="en-AU"/>
        </w:rPr>
        <w:t xml:space="preserve">Under Section 43 of the </w:t>
      </w:r>
      <w:r w:rsidRPr="00B032D6">
        <w:rPr>
          <w:i/>
          <w:lang w:eastAsia="en-AU"/>
        </w:rPr>
        <w:t xml:space="preserve">Work Health and Safety (National Uniform Legislation) Act </w:t>
      </w:r>
      <w:r w:rsidRPr="00732ACB">
        <w:rPr>
          <w:lang w:eastAsia="en-AU"/>
        </w:rPr>
        <w:t>–</w:t>
      </w:r>
      <w:r>
        <w:rPr>
          <w:i/>
          <w:lang w:eastAsia="en-AU"/>
        </w:rPr>
        <w:t xml:space="preserve"> </w:t>
      </w:r>
      <w:r w:rsidRPr="00732ACB">
        <w:rPr>
          <w:lang w:eastAsia="en-AU"/>
        </w:rPr>
        <w:t>the WHS (NUL) Act –</w:t>
      </w:r>
      <w:r>
        <w:rPr>
          <w:i/>
          <w:lang w:eastAsia="en-AU"/>
        </w:rPr>
        <w:t xml:space="preserve"> </w:t>
      </w:r>
      <w:r w:rsidRPr="00475FA6">
        <w:rPr>
          <w:lang w:eastAsia="en-AU"/>
        </w:rPr>
        <w:t>it is an offence to carry out work if the regulations require the person carrying out the work to be authorised and the person is not so authorised.</w:t>
      </w:r>
    </w:p>
    <w:p w14:paraId="7264297B" w14:textId="77777777" w:rsidR="00F100E9" w:rsidRDefault="00F100E9" w:rsidP="00F100E9">
      <w:r w:rsidRPr="00475FA6">
        <w:rPr>
          <w:lang w:eastAsia="en-AU"/>
        </w:rPr>
        <w:t xml:space="preserve">The purpose of authorisations in work health and safety is to control work activities and the use of substances that are high risk and to provide risk based information to the </w:t>
      </w:r>
      <w:r>
        <w:rPr>
          <w:lang w:eastAsia="en-AU"/>
        </w:rPr>
        <w:t>Regulator</w:t>
      </w:r>
      <w:r w:rsidRPr="00475FA6">
        <w:rPr>
          <w:lang w:eastAsia="en-AU"/>
        </w:rPr>
        <w:t xml:space="preserve"> so resources and target compliance and enforcement actions </w:t>
      </w:r>
      <w:r>
        <w:rPr>
          <w:lang w:eastAsia="en-AU"/>
        </w:rPr>
        <w:t xml:space="preserve">can be applied </w:t>
      </w:r>
      <w:r w:rsidRPr="00475FA6">
        <w:rPr>
          <w:lang w:eastAsia="en-AU"/>
        </w:rPr>
        <w:t>to areas of greatest risk to health and safety.</w:t>
      </w:r>
    </w:p>
    <w:p w14:paraId="07983BB0" w14:textId="77777777" w:rsidR="00F100E9" w:rsidRDefault="00F100E9" w:rsidP="00F100E9">
      <w:pPr>
        <w:pStyle w:val="Heading2"/>
      </w:pPr>
      <w:bookmarkStart w:id="2" w:name="_Toc415529388"/>
      <w:r w:rsidRPr="000412D0">
        <w:lastRenderedPageBreak/>
        <w:t>Scope</w:t>
      </w:r>
      <w:bookmarkEnd w:id="2"/>
    </w:p>
    <w:p w14:paraId="763686E8" w14:textId="77777777" w:rsidR="00F100E9" w:rsidRPr="00475FA6" w:rsidRDefault="00F100E9" w:rsidP="00F100E9">
      <w:pPr>
        <w:spacing w:after="0"/>
        <w:rPr>
          <w:lang w:eastAsia="en-AU"/>
        </w:rPr>
      </w:pPr>
      <w:r w:rsidRPr="00475FA6">
        <w:rPr>
          <w:lang w:eastAsia="en-AU"/>
        </w:rPr>
        <w:t>Authorisation is required:</w:t>
      </w:r>
    </w:p>
    <w:p w14:paraId="24E2666C" w14:textId="77777777" w:rsidR="00F100E9" w:rsidRDefault="00F100E9" w:rsidP="00F100E9">
      <w:pPr>
        <w:pStyle w:val="ListParagraph"/>
        <w:numPr>
          <w:ilvl w:val="0"/>
          <w:numId w:val="14"/>
        </w:numPr>
      </w:pPr>
      <w:r w:rsidRPr="00475FA6">
        <w:t>To use handle or store a prohibited carcinogen referred to in Schedule 10, Table 1</w:t>
      </w:r>
      <w:r>
        <w:t>0.1 of the WHS (NUL) Regulations, and</w:t>
      </w:r>
    </w:p>
    <w:p w14:paraId="1C8005B1" w14:textId="77777777" w:rsidR="00F100E9" w:rsidRPr="00475FA6" w:rsidRDefault="00F100E9" w:rsidP="00F100E9">
      <w:pPr>
        <w:pStyle w:val="ListParagraph"/>
        <w:numPr>
          <w:ilvl w:val="0"/>
          <w:numId w:val="14"/>
        </w:numPr>
      </w:pPr>
      <w:r w:rsidRPr="00475FA6">
        <w:t>To use handle or store a restricted carcinogen referred to in Sch</w:t>
      </w:r>
      <w:r>
        <w:t xml:space="preserve">edule 10, Table 10.2 of the WHS (NUL) </w:t>
      </w:r>
      <w:r w:rsidRPr="00475FA6">
        <w:t>Regulations.</w:t>
      </w:r>
    </w:p>
    <w:p w14:paraId="76672393" w14:textId="77777777" w:rsidR="00F100E9" w:rsidRDefault="00F100E9" w:rsidP="00F100E9">
      <w:pPr>
        <w:rPr>
          <w:lang w:eastAsia="en-AU"/>
        </w:rPr>
      </w:pPr>
      <w:r>
        <w:rPr>
          <w:lang w:eastAsia="en-AU"/>
        </w:rPr>
        <w:t>Regulations 380 and 381</w:t>
      </w:r>
    </w:p>
    <w:p w14:paraId="6DCCBB28" w14:textId="77777777" w:rsidR="00F100E9" w:rsidRPr="00A46503" w:rsidRDefault="00F100E9" w:rsidP="00F100E9">
      <w:pPr>
        <w:pStyle w:val="Heading1"/>
      </w:pPr>
      <w:bookmarkStart w:id="3" w:name="_Toc301523360"/>
      <w:bookmarkStart w:id="4" w:name="_Toc313874998"/>
      <w:bookmarkStart w:id="5" w:name="_Toc415529389"/>
      <w:r w:rsidRPr="00A46503">
        <w:t>Who may apply for an authorisation</w:t>
      </w:r>
      <w:bookmarkEnd w:id="3"/>
      <w:bookmarkEnd w:id="4"/>
      <w:bookmarkEnd w:id="5"/>
      <w:r w:rsidRPr="00A46503">
        <w:t xml:space="preserve"> </w:t>
      </w:r>
    </w:p>
    <w:p w14:paraId="6234D801" w14:textId="77777777" w:rsidR="00F100E9" w:rsidRPr="00475FA6" w:rsidRDefault="00F100E9" w:rsidP="00F100E9">
      <w:pPr>
        <w:rPr>
          <w:lang w:eastAsia="en-AU"/>
        </w:rPr>
      </w:pPr>
      <w:r w:rsidRPr="00475FA6">
        <w:rPr>
          <w:lang w:eastAsia="en-AU"/>
        </w:rPr>
        <w:t xml:space="preserve">A </w:t>
      </w:r>
      <w:r>
        <w:rPr>
          <w:lang w:eastAsia="en-AU"/>
        </w:rPr>
        <w:t>PCBU</w:t>
      </w:r>
      <w:r w:rsidRPr="00475FA6">
        <w:rPr>
          <w:lang w:eastAsia="en-AU"/>
        </w:rPr>
        <w:t xml:space="preserve"> at a workplace who intends to use handle or store a prohibited or restricted carcinogen may apply for authorisation</w:t>
      </w:r>
      <w:r w:rsidRPr="00732ACB">
        <w:rPr>
          <w:lang w:eastAsia="en-AU"/>
        </w:rPr>
        <w:t xml:space="preserve"> –</w:t>
      </w:r>
      <w:r>
        <w:rPr>
          <w:i/>
          <w:lang w:eastAsia="en-AU"/>
        </w:rPr>
        <w:t xml:space="preserve"> </w:t>
      </w:r>
      <w:r>
        <w:rPr>
          <w:lang w:eastAsia="en-AU"/>
        </w:rPr>
        <w:t>Regulation 383(1)</w:t>
      </w:r>
      <w:r w:rsidRPr="00475FA6">
        <w:rPr>
          <w:lang w:eastAsia="en-AU"/>
        </w:rPr>
        <w:t xml:space="preserve">. “Person conducting a business or undertaking” is defined in Section 5 of the WHS </w:t>
      </w:r>
      <w:r>
        <w:rPr>
          <w:lang w:eastAsia="en-AU"/>
        </w:rPr>
        <w:t xml:space="preserve">(NUL) </w:t>
      </w:r>
      <w:r w:rsidRPr="00475FA6">
        <w:rPr>
          <w:lang w:eastAsia="en-AU"/>
        </w:rPr>
        <w:t>Act.</w:t>
      </w:r>
    </w:p>
    <w:p w14:paraId="204F7C8D" w14:textId="77777777" w:rsidR="00F100E9" w:rsidRDefault="00F100E9" w:rsidP="00F100E9">
      <w:pPr>
        <w:rPr>
          <w:lang w:eastAsia="en-AU"/>
        </w:rPr>
      </w:pPr>
      <w:r w:rsidRPr="00475FA6">
        <w:rPr>
          <w:lang w:eastAsia="en-AU"/>
        </w:rPr>
        <w:t xml:space="preserve">A </w:t>
      </w:r>
      <w:r>
        <w:rPr>
          <w:lang w:eastAsia="en-AU"/>
        </w:rPr>
        <w:t>PCBU</w:t>
      </w:r>
      <w:r w:rsidRPr="00475FA6">
        <w:rPr>
          <w:lang w:eastAsia="en-AU"/>
        </w:rPr>
        <w:t xml:space="preserve"> may be an individual, a body corporate, a government agency, a partnership or an unincorporated association.</w:t>
      </w:r>
    </w:p>
    <w:p w14:paraId="2469ED10" w14:textId="77777777" w:rsidR="00F100E9" w:rsidRPr="00823A26" w:rsidRDefault="00F100E9" w:rsidP="00F100E9">
      <w:pPr>
        <w:pStyle w:val="Heading1"/>
      </w:pPr>
      <w:bookmarkStart w:id="6" w:name="_Toc301523361"/>
      <w:bookmarkStart w:id="7" w:name="_Toc313874999"/>
      <w:bookmarkStart w:id="8" w:name="_Toc415529390"/>
      <w:r w:rsidRPr="00823A26">
        <w:t>Duration of authorisation</w:t>
      </w:r>
      <w:bookmarkEnd w:id="6"/>
      <w:bookmarkEnd w:id="7"/>
      <w:bookmarkEnd w:id="8"/>
    </w:p>
    <w:p w14:paraId="0EB84F5D" w14:textId="77777777" w:rsidR="00F100E9" w:rsidRPr="00475FA6" w:rsidRDefault="00F100E9" w:rsidP="00F100E9">
      <w:pPr>
        <w:rPr>
          <w:lang w:eastAsia="en-AU"/>
        </w:rPr>
      </w:pPr>
      <w:r w:rsidRPr="00475FA6">
        <w:rPr>
          <w:lang w:eastAsia="en-AU"/>
        </w:rPr>
        <w:t xml:space="preserve">The authorisation is of unlimited duration unless cancelled by the </w:t>
      </w:r>
      <w:r>
        <w:rPr>
          <w:lang w:eastAsia="en-AU"/>
        </w:rPr>
        <w:t>Regulator</w:t>
      </w:r>
      <w:r w:rsidRPr="00475FA6">
        <w:rPr>
          <w:lang w:eastAsia="en-AU"/>
        </w:rPr>
        <w:t xml:space="preserve">. </w:t>
      </w:r>
    </w:p>
    <w:p w14:paraId="4FC96060" w14:textId="77777777" w:rsidR="00F100E9" w:rsidRDefault="00F100E9" w:rsidP="00F100E9">
      <w:pPr>
        <w:rPr>
          <w:lang w:eastAsia="en-AU"/>
        </w:rPr>
      </w:pPr>
      <w:r w:rsidRPr="00475FA6">
        <w:rPr>
          <w:lang w:eastAsia="en-AU"/>
        </w:rPr>
        <w:t>A decision to cancel an authorisation to use, handle or store a prohibited or restricted carcinogen is a reviewable decision</w:t>
      </w:r>
      <w:r w:rsidRPr="00732ACB">
        <w:rPr>
          <w:lang w:eastAsia="en-AU"/>
        </w:rPr>
        <w:t xml:space="preserve"> –</w:t>
      </w:r>
      <w:r>
        <w:rPr>
          <w:i/>
          <w:lang w:eastAsia="en-AU"/>
        </w:rPr>
        <w:t xml:space="preserve"> </w:t>
      </w:r>
      <w:r>
        <w:rPr>
          <w:lang w:eastAsia="en-AU"/>
        </w:rPr>
        <w:t>Regulation 386</w:t>
      </w:r>
      <w:r w:rsidRPr="00475FA6">
        <w:rPr>
          <w:lang w:eastAsia="en-AU"/>
        </w:rPr>
        <w:t>.</w:t>
      </w:r>
    </w:p>
    <w:p w14:paraId="7B83288D" w14:textId="77777777" w:rsidR="00F100E9" w:rsidRPr="00823A26" w:rsidRDefault="00F100E9" w:rsidP="00F100E9">
      <w:pPr>
        <w:pStyle w:val="Heading1"/>
      </w:pPr>
      <w:bookmarkStart w:id="9" w:name="_Toc301523362"/>
      <w:bookmarkStart w:id="10" w:name="_Toc313875000"/>
      <w:bookmarkStart w:id="11" w:name="_Toc415529391"/>
      <w:r w:rsidRPr="00823A26">
        <w:t>How to apply for an authorisation</w:t>
      </w:r>
      <w:bookmarkEnd w:id="9"/>
      <w:bookmarkEnd w:id="10"/>
      <w:bookmarkEnd w:id="11"/>
      <w:r w:rsidRPr="00823A26">
        <w:t xml:space="preserve"> </w:t>
      </w:r>
    </w:p>
    <w:p w14:paraId="71B795B7" w14:textId="77777777" w:rsidR="00F100E9" w:rsidRDefault="00F100E9" w:rsidP="00F100E9">
      <w:r w:rsidRPr="00475FA6">
        <w:rPr>
          <w:lang w:eastAsia="en-AU"/>
        </w:rPr>
        <w:t xml:space="preserve">An application for authorisation is to be made to the </w:t>
      </w:r>
      <w:r>
        <w:rPr>
          <w:lang w:eastAsia="en-AU"/>
        </w:rPr>
        <w:t>Regulator</w:t>
      </w:r>
      <w:r w:rsidRPr="00475FA6">
        <w:rPr>
          <w:lang w:eastAsia="en-AU"/>
        </w:rPr>
        <w:t xml:space="preserve"> in the State or Territory or the Commonwealth in which the workplace that uses handles or stores a prohibited or restricted carcinogen is located. Application forms are available on NT </w:t>
      </w:r>
      <w:proofErr w:type="spellStart"/>
      <w:r w:rsidRPr="00475FA6">
        <w:rPr>
          <w:lang w:eastAsia="en-AU"/>
        </w:rPr>
        <w:t>WorkSafe’s</w:t>
      </w:r>
      <w:proofErr w:type="spellEnd"/>
      <w:r w:rsidRPr="00475FA6">
        <w:rPr>
          <w:lang w:eastAsia="en-AU"/>
        </w:rPr>
        <w:t xml:space="preserve"> website </w:t>
      </w:r>
      <w:r w:rsidRPr="00475FA6">
        <w:t>www.worksafe.nt.gov.au</w:t>
      </w:r>
    </w:p>
    <w:p w14:paraId="2AF78E49" w14:textId="77777777" w:rsidR="00F100E9" w:rsidRPr="00823A26" w:rsidRDefault="00F100E9" w:rsidP="00F100E9">
      <w:pPr>
        <w:pStyle w:val="Heading2"/>
      </w:pPr>
      <w:bookmarkStart w:id="12" w:name="_Toc301523363"/>
      <w:bookmarkStart w:id="13" w:name="_Toc313875001"/>
      <w:bookmarkStart w:id="14" w:name="_Toc415529392"/>
      <w:r w:rsidRPr="00823A26">
        <w:t>Fees</w:t>
      </w:r>
      <w:bookmarkEnd w:id="12"/>
      <w:bookmarkEnd w:id="13"/>
      <w:bookmarkEnd w:id="14"/>
    </w:p>
    <w:p w14:paraId="761A4349" w14:textId="77777777" w:rsidR="00F100E9" w:rsidRDefault="00F100E9" w:rsidP="00F100E9">
      <w:pPr>
        <w:rPr>
          <w:lang w:eastAsia="en-AU"/>
        </w:rPr>
      </w:pPr>
      <w:r w:rsidRPr="00475FA6">
        <w:rPr>
          <w:lang w:eastAsia="en-AU"/>
        </w:rPr>
        <w:t>There is no fee for the authorisation to use, handle or store a prohibited or restricted carcinogen</w:t>
      </w:r>
      <w:r>
        <w:rPr>
          <w:lang w:eastAsia="en-AU"/>
        </w:rPr>
        <w:t>.</w:t>
      </w:r>
    </w:p>
    <w:p w14:paraId="68942D45" w14:textId="77777777" w:rsidR="00F100E9" w:rsidRDefault="00F100E9" w:rsidP="00F100E9">
      <w:pPr>
        <w:pStyle w:val="Heading1"/>
      </w:pPr>
      <w:bookmarkStart w:id="15" w:name="_Toc415529393"/>
      <w:r w:rsidRPr="00823A26">
        <w:t>Granting</w:t>
      </w:r>
      <w:r>
        <w:t xml:space="preserve"> </w:t>
      </w:r>
      <w:r w:rsidRPr="00823A26">
        <w:t>/</w:t>
      </w:r>
      <w:r>
        <w:t xml:space="preserve"> </w:t>
      </w:r>
      <w:r w:rsidRPr="00823A26">
        <w:t>refusing</w:t>
      </w:r>
      <w:bookmarkEnd w:id="15"/>
    </w:p>
    <w:p w14:paraId="1799A3AF" w14:textId="77777777" w:rsidR="00F100E9" w:rsidRPr="00823A26" w:rsidRDefault="00F100E9" w:rsidP="00F100E9">
      <w:pPr>
        <w:pStyle w:val="Heading2"/>
        <w:spacing w:before="240"/>
      </w:pPr>
      <w:bookmarkStart w:id="16" w:name="_Toc301523365"/>
      <w:bookmarkStart w:id="17" w:name="_Toc313875003"/>
      <w:bookmarkStart w:id="18" w:name="_Toc415529394"/>
      <w:r w:rsidRPr="00823A26">
        <w:t xml:space="preserve">What does the </w:t>
      </w:r>
      <w:r>
        <w:t>R</w:t>
      </w:r>
      <w:r w:rsidRPr="00823A26">
        <w:t>egulator take into account when deciding whether to grant an authorisation</w:t>
      </w:r>
      <w:bookmarkEnd w:id="16"/>
      <w:bookmarkEnd w:id="17"/>
      <w:bookmarkEnd w:id="18"/>
    </w:p>
    <w:p w14:paraId="7C292E76" w14:textId="77777777" w:rsidR="00F100E9" w:rsidRPr="00475FA6" w:rsidRDefault="00F100E9" w:rsidP="00F100E9">
      <w:pPr>
        <w:rPr>
          <w:lang w:eastAsia="en-AU"/>
        </w:rPr>
      </w:pPr>
      <w:r w:rsidRPr="00475FA6">
        <w:rPr>
          <w:lang w:eastAsia="en-AU"/>
        </w:rPr>
        <w:t xml:space="preserve">The </w:t>
      </w:r>
      <w:r>
        <w:rPr>
          <w:lang w:eastAsia="en-AU"/>
        </w:rPr>
        <w:t>Regulator</w:t>
      </w:r>
      <w:r w:rsidRPr="00475FA6">
        <w:rPr>
          <w:lang w:eastAsia="en-AU"/>
        </w:rPr>
        <w:t xml:space="preserve"> will consider the following in making a decision to grant authorisation: </w:t>
      </w:r>
    </w:p>
    <w:p w14:paraId="52E8666B" w14:textId="77777777" w:rsidR="00F100E9" w:rsidRPr="00F6727F" w:rsidRDefault="00F100E9" w:rsidP="00F100E9">
      <w:pPr>
        <w:pStyle w:val="ListParagraph"/>
        <w:numPr>
          <w:ilvl w:val="0"/>
          <w:numId w:val="15"/>
        </w:numPr>
        <w:spacing w:after="120"/>
        <w:ind w:left="714" w:hanging="357"/>
        <w:contextualSpacing w:val="0"/>
      </w:pPr>
      <w:r w:rsidRPr="00F6727F">
        <w:t>Whether a prohibited carcinogen is used handled or stored fo</w:t>
      </w:r>
      <w:r>
        <w:t xml:space="preserve">r genuine research or </w:t>
      </w:r>
      <w:r w:rsidRPr="00732ACB">
        <w:t>analysis</w:t>
      </w:r>
      <w:r w:rsidRPr="00732ACB">
        <w:rPr>
          <w:lang w:eastAsia="en-AU"/>
        </w:rPr>
        <w:t xml:space="preserve"> –</w:t>
      </w:r>
      <w:r>
        <w:rPr>
          <w:i/>
          <w:lang w:eastAsia="en-AU"/>
        </w:rPr>
        <w:t xml:space="preserve"> </w:t>
      </w:r>
      <w:r w:rsidRPr="00F6727F">
        <w:t>Regulations 3</w:t>
      </w:r>
      <w:r>
        <w:t>83(2)(g) and 384(2),</w:t>
      </w:r>
      <w:r w:rsidRPr="00F6727F">
        <w:t xml:space="preserve"> or</w:t>
      </w:r>
    </w:p>
    <w:p w14:paraId="38ADF2F5" w14:textId="77777777" w:rsidR="00F100E9" w:rsidRPr="00F6727F" w:rsidRDefault="00F100E9" w:rsidP="00F100E9">
      <w:pPr>
        <w:pStyle w:val="ListParagraph"/>
        <w:numPr>
          <w:ilvl w:val="0"/>
          <w:numId w:val="15"/>
        </w:numPr>
        <w:spacing w:after="120"/>
        <w:ind w:left="714" w:hanging="357"/>
        <w:contextualSpacing w:val="0"/>
      </w:pPr>
      <w:r w:rsidRPr="00F6727F">
        <w:t xml:space="preserve">Whether a restricted carcinogen is used handled or stored for a purpose referred to in table 10.2 of Schedule 10 of the WHS </w:t>
      </w:r>
      <w:r>
        <w:t xml:space="preserve">(NUL) </w:t>
      </w:r>
      <w:r w:rsidRPr="00F6727F">
        <w:t>Regulations</w:t>
      </w:r>
      <w:r w:rsidRPr="00732ACB">
        <w:rPr>
          <w:lang w:eastAsia="en-AU"/>
        </w:rPr>
        <w:t xml:space="preserve"> –</w:t>
      </w:r>
      <w:r>
        <w:rPr>
          <w:i/>
          <w:lang w:eastAsia="en-AU"/>
        </w:rPr>
        <w:t xml:space="preserve"> </w:t>
      </w:r>
      <w:r w:rsidRPr="00F6727F">
        <w:t>Regulations 382 and 384(3)</w:t>
      </w:r>
      <w:r>
        <w:t>,</w:t>
      </w:r>
      <w:r w:rsidRPr="00F6727F">
        <w:t xml:space="preserve"> and</w:t>
      </w:r>
    </w:p>
    <w:p w14:paraId="044E83EA" w14:textId="77777777" w:rsidR="00F100E9" w:rsidRPr="00F6727F" w:rsidRDefault="00F100E9" w:rsidP="00F100E9">
      <w:pPr>
        <w:pStyle w:val="ListParagraph"/>
        <w:numPr>
          <w:ilvl w:val="0"/>
          <w:numId w:val="15"/>
        </w:numPr>
        <w:spacing w:after="120"/>
        <w:ind w:left="714" w:hanging="357"/>
        <w:contextualSpacing w:val="0"/>
      </w:pPr>
      <w:r w:rsidRPr="00F6727F">
        <w:t>The quantity of carcinogen to be used handled or stored at the workplace each year</w:t>
      </w:r>
      <w:r w:rsidRPr="00732ACB">
        <w:rPr>
          <w:lang w:eastAsia="en-AU"/>
        </w:rPr>
        <w:t xml:space="preserve"> –</w:t>
      </w:r>
      <w:r>
        <w:rPr>
          <w:i/>
          <w:lang w:eastAsia="en-AU"/>
        </w:rPr>
        <w:t xml:space="preserve"> </w:t>
      </w:r>
      <w:r>
        <w:t>Regulation 383(2)(f),</w:t>
      </w:r>
      <w:r w:rsidRPr="00F6727F">
        <w:t xml:space="preserve"> and</w:t>
      </w:r>
    </w:p>
    <w:p w14:paraId="5327527E" w14:textId="77777777" w:rsidR="00F100E9" w:rsidRPr="00F6727F" w:rsidRDefault="00F100E9" w:rsidP="00F100E9">
      <w:pPr>
        <w:pStyle w:val="ListParagraph"/>
        <w:numPr>
          <w:ilvl w:val="0"/>
          <w:numId w:val="15"/>
        </w:numPr>
        <w:spacing w:after="120"/>
        <w:ind w:left="714" w:hanging="357"/>
        <w:contextualSpacing w:val="0"/>
      </w:pPr>
      <w:r w:rsidRPr="00F6727F">
        <w:t>Number of workers that may be exposed to the carcinogen</w:t>
      </w:r>
      <w:r w:rsidRPr="00732ACB">
        <w:rPr>
          <w:lang w:eastAsia="en-AU"/>
        </w:rPr>
        <w:t xml:space="preserve"> –</w:t>
      </w:r>
      <w:r>
        <w:rPr>
          <w:i/>
          <w:lang w:eastAsia="en-AU"/>
        </w:rPr>
        <w:t xml:space="preserve"> </w:t>
      </w:r>
      <w:r>
        <w:t>Regulation 383(2)(h),</w:t>
      </w:r>
      <w:r w:rsidRPr="00F6727F">
        <w:t xml:space="preserve"> and</w:t>
      </w:r>
    </w:p>
    <w:p w14:paraId="2694853D" w14:textId="77777777" w:rsidR="00F100E9" w:rsidRDefault="00F100E9" w:rsidP="00F100E9">
      <w:pPr>
        <w:pStyle w:val="ListParagraph"/>
        <w:numPr>
          <w:ilvl w:val="0"/>
          <w:numId w:val="15"/>
        </w:numPr>
        <w:spacing w:after="120"/>
        <w:ind w:left="714" w:hanging="357"/>
        <w:contextualSpacing w:val="0"/>
      </w:pPr>
      <w:r w:rsidRPr="00F6727F">
        <w:t xml:space="preserve">The risk management procedure that contains hazard identification, risk control </w:t>
      </w:r>
      <w:r>
        <w:t xml:space="preserve">measures </w:t>
      </w:r>
      <w:r w:rsidRPr="00F6727F">
        <w:t>and if elimination or substitution of the carcinogen is not reasonably practicable the reason why.</w:t>
      </w:r>
    </w:p>
    <w:p w14:paraId="2AC84A5B" w14:textId="77777777" w:rsidR="00F100E9" w:rsidRPr="00475FA6" w:rsidRDefault="00F100E9" w:rsidP="00F100E9">
      <w:pPr>
        <w:keepNext/>
        <w:keepLines/>
        <w:rPr>
          <w:lang w:eastAsia="en-AU"/>
        </w:rPr>
      </w:pPr>
      <w:r w:rsidRPr="00475FA6">
        <w:rPr>
          <w:lang w:eastAsia="en-AU"/>
        </w:rPr>
        <w:lastRenderedPageBreak/>
        <w:t xml:space="preserve">The </w:t>
      </w:r>
      <w:r>
        <w:rPr>
          <w:lang w:eastAsia="en-AU"/>
        </w:rPr>
        <w:t>Regulator</w:t>
      </w:r>
      <w:r w:rsidRPr="00475FA6">
        <w:rPr>
          <w:lang w:eastAsia="en-AU"/>
        </w:rPr>
        <w:t xml:space="preserve"> requires that the risk management procedure should also include:</w:t>
      </w:r>
    </w:p>
    <w:p w14:paraId="60D94CB0" w14:textId="77777777" w:rsidR="00F100E9" w:rsidRDefault="00F100E9" w:rsidP="00F100E9">
      <w:pPr>
        <w:pStyle w:val="ListParagraph"/>
        <w:keepNext/>
        <w:keepLines/>
        <w:numPr>
          <w:ilvl w:val="0"/>
          <w:numId w:val="16"/>
        </w:numPr>
      </w:pPr>
      <w:r w:rsidRPr="00F6727F">
        <w:t>Storage details</w:t>
      </w:r>
    </w:p>
    <w:p w14:paraId="0B5FEEA8" w14:textId="77777777" w:rsidR="00F100E9" w:rsidRDefault="00F100E9" w:rsidP="00F100E9">
      <w:pPr>
        <w:pStyle w:val="ListParagraph"/>
        <w:keepNext/>
        <w:keepLines/>
        <w:numPr>
          <w:ilvl w:val="0"/>
          <w:numId w:val="16"/>
        </w:numPr>
      </w:pPr>
      <w:r w:rsidRPr="00F6727F">
        <w:t>Process description</w:t>
      </w:r>
    </w:p>
    <w:p w14:paraId="7A535A06" w14:textId="77777777" w:rsidR="00F100E9" w:rsidRDefault="00F100E9" w:rsidP="00F100E9">
      <w:pPr>
        <w:pStyle w:val="ListParagraph"/>
        <w:keepNext/>
        <w:keepLines/>
        <w:numPr>
          <w:ilvl w:val="0"/>
          <w:numId w:val="16"/>
        </w:numPr>
      </w:pPr>
      <w:r w:rsidRPr="00F6727F">
        <w:t>Control measures to prevent exposure</w:t>
      </w:r>
    </w:p>
    <w:p w14:paraId="6AB1A4D1" w14:textId="77777777" w:rsidR="00F100E9" w:rsidRDefault="00F100E9" w:rsidP="00F100E9">
      <w:pPr>
        <w:pStyle w:val="ListParagraph"/>
        <w:keepNext/>
        <w:keepLines/>
        <w:numPr>
          <w:ilvl w:val="0"/>
          <w:numId w:val="16"/>
        </w:numPr>
      </w:pPr>
      <w:r w:rsidRPr="00F6727F">
        <w:t>Maintenance and testing procedures for control measures</w:t>
      </w:r>
    </w:p>
    <w:p w14:paraId="3C0CE3E1" w14:textId="77777777" w:rsidR="00F100E9" w:rsidRDefault="00F100E9" w:rsidP="00F100E9">
      <w:pPr>
        <w:pStyle w:val="ListParagraph"/>
        <w:keepNext/>
        <w:keepLines/>
        <w:numPr>
          <w:ilvl w:val="0"/>
          <w:numId w:val="16"/>
        </w:numPr>
      </w:pPr>
      <w:r w:rsidRPr="00F6727F">
        <w:t>Atmospheric monitoring</w:t>
      </w:r>
    </w:p>
    <w:p w14:paraId="558F158A" w14:textId="77777777" w:rsidR="00F100E9" w:rsidRDefault="00F100E9" w:rsidP="00F100E9">
      <w:pPr>
        <w:pStyle w:val="ListParagraph"/>
        <w:keepNext/>
        <w:keepLines/>
        <w:numPr>
          <w:ilvl w:val="0"/>
          <w:numId w:val="16"/>
        </w:numPr>
      </w:pPr>
      <w:r w:rsidRPr="00F6727F">
        <w:t>Biological monitoring</w:t>
      </w:r>
    </w:p>
    <w:p w14:paraId="6D3A3110" w14:textId="77777777" w:rsidR="00F100E9" w:rsidRDefault="00F100E9" w:rsidP="00F100E9">
      <w:pPr>
        <w:pStyle w:val="ListParagraph"/>
        <w:keepNext/>
        <w:keepLines/>
        <w:numPr>
          <w:ilvl w:val="0"/>
          <w:numId w:val="16"/>
        </w:numPr>
      </w:pPr>
      <w:r w:rsidRPr="00F6727F">
        <w:t>Health surveillance program</w:t>
      </w:r>
    </w:p>
    <w:p w14:paraId="6C791C29" w14:textId="77777777" w:rsidR="00F100E9" w:rsidRDefault="00F100E9" w:rsidP="00F100E9">
      <w:pPr>
        <w:pStyle w:val="ListParagraph"/>
        <w:keepNext/>
        <w:keepLines/>
        <w:numPr>
          <w:ilvl w:val="0"/>
          <w:numId w:val="16"/>
        </w:numPr>
      </w:pPr>
      <w:r w:rsidRPr="00F6727F">
        <w:t>Spill and emergency procedures</w:t>
      </w:r>
    </w:p>
    <w:p w14:paraId="7D3A39B7" w14:textId="77777777" w:rsidR="00F100E9" w:rsidRDefault="00F100E9" w:rsidP="00F100E9">
      <w:pPr>
        <w:pStyle w:val="ListParagraph"/>
        <w:keepNext/>
        <w:keepLines/>
        <w:numPr>
          <w:ilvl w:val="0"/>
          <w:numId w:val="16"/>
        </w:numPr>
      </w:pPr>
      <w:r w:rsidRPr="00F6727F">
        <w:t>Employee training and information</w:t>
      </w:r>
    </w:p>
    <w:p w14:paraId="3DC5262E" w14:textId="77777777" w:rsidR="00F100E9" w:rsidRPr="00F6727F" w:rsidRDefault="00F100E9" w:rsidP="00F100E9">
      <w:pPr>
        <w:pStyle w:val="ListParagraph"/>
        <w:keepNext/>
        <w:keepLines/>
        <w:numPr>
          <w:ilvl w:val="0"/>
          <w:numId w:val="16"/>
        </w:numPr>
        <w:spacing w:after="120"/>
        <w:ind w:left="714" w:hanging="357"/>
      </w:pPr>
      <w:r w:rsidRPr="00F6727F">
        <w:t>Decontamination and waste disposal.</w:t>
      </w:r>
    </w:p>
    <w:p w14:paraId="4F568090" w14:textId="77777777" w:rsidR="00F100E9" w:rsidRPr="00475FA6" w:rsidRDefault="00F100E9" w:rsidP="00F100E9">
      <w:pPr>
        <w:rPr>
          <w:lang w:eastAsia="en-AU"/>
        </w:rPr>
      </w:pPr>
      <w:r>
        <w:rPr>
          <w:lang w:eastAsia="en-AU"/>
        </w:rPr>
        <w:t>Regulation 383(2</w:t>
      </w:r>
      <w:proofErr w:type="gramStart"/>
      <w:r>
        <w:rPr>
          <w:lang w:eastAsia="en-AU"/>
        </w:rPr>
        <w:t>)(</w:t>
      </w:r>
      <w:proofErr w:type="spellStart"/>
      <w:proofErr w:type="gramEnd"/>
      <w:r>
        <w:rPr>
          <w:lang w:eastAsia="en-AU"/>
        </w:rPr>
        <w:t>i</w:t>
      </w:r>
      <w:proofErr w:type="spellEnd"/>
      <w:r>
        <w:rPr>
          <w:lang w:eastAsia="en-AU"/>
        </w:rPr>
        <w:t>)</w:t>
      </w:r>
    </w:p>
    <w:p w14:paraId="448EE396" w14:textId="77777777" w:rsidR="00F100E9" w:rsidRDefault="00F100E9" w:rsidP="00F100E9">
      <w:pPr>
        <w:rPr>
          <w:lang w:eastAsia="en-AU"/>
        </w:rPr>
      </w:pPr>
      <w:r w:rsidRPr="00475FA6">
        <w:rPr>
          <w:lang w:eastAsia="en-AU"/>
        </w:rPr>
        <w:t xml:space="preserve">The </w:t>
      </w:r>
      <w:r>
        <w:rPr>
          <w:lang w:eastAsia="en-AU"/>
        </w:rPr>
        <w:t>Regulator</w:t>
      </w:r>
      <w:r w:rsidRPr="00475FA6">
        <w:rPr>
          <w:lang w:eastAsia="en-AU"/>
        </w:rPr>
        <w:t xml:space="preserve"> may request additional information to assist in the decision process</w:t>
      </w:r>
      <w:r w:rsidRPr="00732ACB">
        <w:rPr>
          <w:lang w:eastAsia="en-AU"/>
        </w:rPr>
        <w:t xml:space="preserve"> –</w:t>
      </w:r>
      <w:r>
        <w:rPr>
          <w:i/>
          <w:lang w:eastAsia="en-AU"/>
        </w:rPr>
        <w:t xml:space="preserve"> </w:t>
      </w:r>
      <w:r>
        <w:rPr>
          <w:lang w:eastAsia="en-AU"/>
        </w:rPr>
        <w:t>Regulation 383(2</w:t>
      </w:r>
      <w:proofErr w:type="gramStart"/>
      <w:r>
        <w:rPr>
          <w:lang w:eastAsia="en-AU"/>
        </w:rPr>
        <w:t>)(</w:t>
      </w:r>
      <w:proofErr w:type="gramEnd"/>
      <w:r>
        <w:rPr>
          <w:lang w:eastAsia="en-AU"/>
        </w:rPr>
        <w:t>j).</w:t>
      </w:r>
    </w:p>
    <w:p w14:paraId="38BDD213" w14:textId="77777777" w:rsidR="00F100E9" w:rsidRPr="00823A26" w:rsidRDefault="00F100E9" w:rsidP="00F100E9">
      <w:pPr>
        <w:pStyle w:val="Heading2"/>
      </w:pPr>
      <w:bookmarkStart w:id="19" w:name="_Toc294801579"/>
      <w:bookmarkStart w:id="20" w:name="_Toc301523366"/>
      <w:bookmarkStart w:id="21" w:name="_Toc313875004"/>
      <w:bookmarkStart w:id="22" w:name="_Toc415529395"/>
      <w:r w:rsidRPr="00823A26">
        <w:t xml:space="preserve">Granting of a conditional </w:t>
      </w:r>
      <w:bookmarkEnd w:id="19"/>
      <w:r w:rsidRPr="00823A26">
        <w:t>authorisation</w:t>
      </w:r>
      <w:bookmarkEnd w:id="20"/>
      <w:bookmarkEnd w:id="21"/>
      <w:bookmarkEnd w:id="22"/>
    </w:p>
    <w:p w14:paraId="653101E9" w14:textId="77777777" w:rsidR="00F100E9" w:rsidRDefault="00F100E9" w:rsidP="00F100E9">
      <w:pPr>
        <w:rPr>
          <w:lang w:eastAsia="en-AU"/>
        </w:rPr>
      </w:pPr>
      <w:r w:rsidRPr="00475FA6">
        <w:rPr>
          <w:lang w:eastAsia="en-AU"/>
        </w:rPr>
        <w:t xml:space="preserve">The </w:t>
      </w:r>
      <w:r>
        <w:rPr>
          <w:lang w:eastAsia="en-AU"/>
        </w:rPr>
        <w:t>Regulator</w:t>
      </w:r>
      <w:r w:rsidRPr="00475FA6">
        <w:rPr>
          <w:lang w:eastAsia="en-AU"/>
        </w:rPr>
        <w:t xml:space="preserve"> may impose any condition it considers necessary on an authorisation to achieve the objectives of the WHS </w:t>
      </w:r>
      <w:r>
        <w:rPr>
          <w:lang w:eastAsia="en-AU"/>
        </w:rPr>
        <w:t xml:space="preserve">(NUL) </w:t>
      </w:r>
      <w:r w:rsidRPr="00475FA6">
        <w:rPr>
          <w:lang w:eastAsia="en-AU"/>
        </w:rPr>
        <w:t>Act or Regulations</w:t>
      </w:r>
      <w:r w:rsidRPr="00732ACB">
        <w:rPr>
          <w:lang w:eastAsia="en-AU"/>
        </w:rPr>
        <w:t xml:space="preserve"> –</w:t>
      </w:r>
      <w:r>
        <w:rPr>
          <w:i/>
          <w:lang w:eastAsia="en-AU"/>
        </w:rPr>
        <w:t xml:space="preserve"> </w:t>
      </w:r>
      <w:r>
        <w:rPr>
          <w:lang w:eastAsia="en-AU"/>
        </w:rPr>
        <w:t>Regulation 384(4)</w:t>
      </w:r>
      <w:r w:rsidRPr="00475FA6">
        <w:rPr>
          <w:lang w:eastAsia="en-AU"/>
        </w:rPr>
        <w:t>.</w:t>
      </w:r>
    </w:p>
    <w:p w14:paraId="24232DC6" w14:textId="77777777" w:rsidR="00F100E9" w:rsidRPr="00823A26" w:rsidRDefault="00F100E9" w:rsidP="00F100E9">
      <w:pPr>
        <w:pStyle w:val="Heading2"/>
      </w:pPr>
      <w:bookmarkStart w:id="23" w:name="_Toc294801580"/>
      <w:bookmarkStart w:id="24" w:name="_Toc301523367"/>
      <w:bookmarkStart w:id="25" w:name="_Toc313875005"/>
      <w:bookmarkStart w:id="26" w:name="_Toc415529396"/>
      <w:r w:rsidRPr="00823A26">
        <w:t xml:space="preserve">Refusing to grant </w:t>
      </w:r>
      <w:bookmarkEnd w:id="23"/>
      <w:r w:rsidRPr="00823A26">
        <w:t>an authorisation</w:t>
      </w:r>
      <w:bookmarkEnd w:id="24"/>
      <w:bookmarkEnd w:id="25"/>
      <w:bookmarkEnd w:id="26"/>
    </w:p>
    <w:p w14:paraId="749FCE82" w14:textId="77777777" w:rsidR="00F100E9" w:rsidRDefault="00F100E9" w:rsidP="00F100E9">
      <w:pPr>
        <w:rPr>
          <w:lang w:eastAsia="en-AU"/>
        </w:rPr>
      </w:pPr>
      <w:r w:rsidRPr="00475FA6">
        <w:rPr>
          <w:lang w:eastAsia="en-AU"/>
        </w:rPr>
        <w:t xml:space="preserve">The </w:t>
      </w:r>
      <w:r>
        <w:rPr>
          <w:lang w:eastAsia="en-AU"/>
        </w:rPr>
        <w:t>Regulator</w:t>
      </w:r>
      <w:r w:rsidRPr="00475FA6">
        <w:rPr>
          <w:lang w:eastAsia="en-AU"/>
        </w:rPr>
        <w:t xml:space="preserve"> must refuse to authorise the use, handling or storage of a restricted or prohibited carcinogen for a use not referred to in the WHS </w:t>
      </w:r>
      <w:r>
        <w:rPr>
          <w:lang w:eastAsia="en-AU"/>
        </w:rPr>
        <w:t xml:space="preserve">(NUL) </w:t>
      </w:r>
      <w:r w:rsidRPr="00475FA6">
        <w:rPr>
          <w:lang w:eastAsia="en-AU"/>
        </w:rPr>
        <w:t>Regulations</w:t>
      </w:r>
      <w:r w:rsidRPr="00732ACB">
        <w:rPr>
          <w:lang w:eastAsia="en-AU"/>
        </w:rPr>
        <w:t xml:space="preserve"> –</w:t>
      </w:r>
      <w:r>
        <w:rPr>
          <w:i/>
          <w:lang w:eastAsia="en-AU"/>
        </w:rPr>
        <w:t xml:space="preserve"> </w:t>
      </w:r>
      <w:r w:rsidRPr="00475FA6">
        <w:rPr>
          <w:lang w:eastAsia="en-AU"/>
        </w:rPr>
        <w:t>R</w:t>
      </w:r>
      <w:r>
        <w:rPr>
          <w:lang w:eastAsia="en-AU"/>
        </w:rPr>
        <w:t>egulation 384(5)</w:t>
      </w:r>
      <w:r w:rsidRPr="00475FA6">
        <w:rPr>
          <w:lang w:eastAsia="en-AU"/>
        </w:rPr>
        <w:t>.</w:t>
      </w:r>
    </w:p>
    <w:p w14:paraId="31C2394E" w14:textId="77777777" w:rsidR="00F100E9" w:rsidRPr="00475FA6" w:rsidRDefault="00F100E9" w:rsidP="00F100E9">
      <w:pPr>
        <w:rPr>
          <w:lang w:eastAsia="en-AU"/>
        </w:rPr>
      </w:pPr>
      <w:r w:rsidRPr="00475FA6">
        <w:rPr>
          <w:lang w:eastAsia="en-AU"/>
        </w:rPr>
        <w:t xml:space="preserve">The </w:t>
      </w:r>
      <w:r>
        <w:rPr>
          <w:lang w:eastAsia="en-AU"/>
        </w:rPr>
        <w:t xml:space="preserve">Regulator </w:t>
      </w:r>
      <w:r w:rsidRPr="00475FA6">
        <w:rPr>
          <w:lang w:eastAsia="en-AU"/>
        </w:rPr>
        <w:t>may authorise the person to use, handling or store a prohibited carcinogen only if it is to be used handled or stored for genuine research or analysis (Mandatory refusal)</w:t>
      </w:r>
      <w:r w:rsidRPr="00732ACB">
        <w:rPr>
          <w:lang w:eastAsia="en-AU"/>
        </w:rPr>
        <w:t xml:space="preserve"> –</w:t>
      </w:r>
      <w:r>
        <w:rPr>
          <w:i/>
          <w:lang w:eastAsia="en-AU"/>
        </w:rPr>
        <w:t xml:space="preserve"> </w:t>
      </w:r>
      <w:r>
        <w:rPr>
          <w:lang w:eastAsia="en-AU"/>
        </w:rPr>
        <w:t>Regulation 384(2)</w:t>
      </w:r>
      <w:r w:rsidRPr="00475FA6">
        <w:rPr>
          <w:lang w:eastAsia="en-AU"/>
        </w:rPr>
        <w:t>.</w:t>
      </w:r>
    </w:p>
    <w:p w14:paraId="031D245B" w14:textId="77777777" w:rsidR="00F100E9" w:rsidRPr="00475FA6" w:rsidRDefault="00F100E9" w:rsidP="00F100E9">
      <w:pPr>
        <w:rPr>
          <w:lang w:eastAsia="en-AU"/>
        </w:rPr>
      </w:pPr>
      <w:r w:rsidRPr="00475FA6">
        <w:rPr>
          <w:lang w:eastAsia="en-AU"/>
        </w:rPr>
        <w:t xml:space="preserve">The </w:t>
      </w:r>
      <w:r>
        <w:rPr>
          <w:lang w:eastAsia="en-AU"/>
        </w:rPr>
        <w:t>Regulator</w:t>
      </w:r>
      <w:r w:rsidRPr="00475FA6">
        <w:rPr>
          <w:lang w:eastAsia="en-AU"/>
        </w:rPr>
        <w:t xml:space="preserve"> may only authorise the person to use, handling or store a restricted carcinogen if it is to be used handled or stored for a purpose described in Table 10.2 of the WHS </w:t>
      </w:r>
      <w:r>
        <w:rPr>
          <w:lang w:eastAsia="en-AU"/>
        </w:rPr>
        <w:t xml:space="preserve">(NUL) </w:t>
      </w:r>
      <w:r w:rsidRPr="00475FA6">
        <w:rPr>
          <w:lang w:eastAsia="en-AU"/>
        </w:rPr>
        <w:t>Regulations (Mandatory refusal)</w:t>
      </w:r>
      <w:r w:rsidRPr="00732ACB">
        <w:rPr>
          <w:lang w:eastAsia="en-AU"/>
        </w:rPr>
        <w:t xml:space="preserve"> –</w:t>
      </w:r>
      <w:r>
        <w:rPr>
          <w:i/>
          <w:lang w:eastAsia="en-AU"/>
        </w:rPr>
        <w:t xml:space="preserve"> </w:t>
      </w:r>
      <w:r>
        <w:rPr>
          <w:lang w:eastAsia="en-AU"/>
        </w:rPr>
        <w:t>Regulation 384(3)</w:t>
      </w:r>
      <w:r w:rsidRPr="00475FA6">
        <w:rPr>
          <w:lang w:eastAsia="en-AU"/>
        </w:rPr>
        <w:t>.</w:t>
      </w:r>
    </w:p>
    <w:p w14:paraId="10086152" w14:textId="77777777" w:rsidR="00F100E9" w:rsidRDefault="00F100E9" w:rsidP="00F100E9">
      <w:pPr>
        <w:rPr>
          <w:lang w:eastAsia="en-AU"/>
        </w:rPr>
      </w:pPr>
      <w:r w:rsidRPr="00475FA6">
        <w:rPr>
          <w:lang w:eastAsia="en-AU"/>
        </w:rPr>
        <w:t>A decision to refuse to grant an authorisation to use, handle or store a prohibited or restricted carcinogen is a reviewable decision</w:t>
      </w:r>
      <w:r w:rsidRPr="00732ACB">
        <w:rPr>
          <w:lang w:eastAsia="en-AU"/>
        </w:rPr>
        <w:t xml:space="preserve"> –</w:t>
      </w:r>
      <w:r>
        <w:rPr>
          <w:i/>
          <w:lang w:eastAsia="en-AU"/>
        </w:rPr>
        <w:t xml:space="preserve"> </w:t>
      </w:r>
      <w:r>
        <w:rPr>
          <w:lang w:eastAsia="en-AU"/>
        </w:rPr>
        <w:t>Regulation 384</w:t>
      </w:r>
      <w:r w:rsidRPr="00475FA6">
        <w:rPr>
          <w:lang w:eastAsia="en-AU"/>
        </w:rPr>
        <w:t>.</w:t>
      </w:r>
    </w:p>
    <w:p w14:paraId="2C8A4B5A" w14:textId="77777777" w:rsidR="00F100E9" w:rsidRDefault="00F100E9" w:rsidP="00F100E9">
      <w:pPr>
        <w:pStyle w:val="Heading1"/>
      </w:pPr>
      <w:bookmarkStart w:id="27" w:name="_Toc301523368"/>
      <w:bookmarkStart w:id="28" w:name="_Toc313875006"/>
      <w:bookmarkStart w:id="29" w:name="_Toc415529397"/>
      <w:r w:rsidRPr="00823A26">
        <w:t>Obligations</w:t>
      </w:r>
      <w:bookmarkEnd w:id="27"/>
      <w:bookmarkEnd w:id="28"/>
      <w:bookmarkEnd w:id="29"/>
    </w:p>
    <w:p w14:paraId="50798DE4" w14:textId="77777777" w:rsidR="00F100E9" w:rsidRPr="00823A26" w:rsidRDefault="00F100E9" w:rsidP="00F100E9">
      <w:pPr>
        <w:pStyle w:val="Heading2"/>
      </w:pPr>
      <w:r w:rsidRPr="00823A26">
        <w:t>Change of details</w:t>
      </w:r>
    </w:p>
    <w:p w14:paraId="624547A1" w14:textId="77777777" w:rsidR="00F100E9" w:rsidRDefault="00F100E9" w:rsidP="00F100E9">
      <w:pPr>
        <w:rPr>
          <w:lang w:eastAsia="en-AU"/>
        </w:rPr>
      </w:pPr>
      <w:r w:rsidRPr="00475FA6">
        <w:rPr>
          <w:lang w:eastAsia="en-AU"/>
        </w:rPr>
        <w:t xml:space="preserve">A person who applies for authorisation to use handle or store a prohibited or restricted carcinogen must advise the </w:t>
      </w:r>
      <w:r>
        <w:rPr>
          <w:lang w:eastAsia="en-AU"/>
        </w:rPr>
        <w:t>Regulator</w:t>
      </w:r>
      <w:r w:rsidRPr="00475FA6">
        <w:rPr>
          <w:lang w:eastAsia="en-AU"/>
        </w:rPr>
        <w:t xml:space="preserve"> in writing of any change in the information given in the application for authorisation before the change or as soon as reasonably practicable after the pers</w:t>
      </w:r>
      <w:r>
        <w:rPr>
          <w:lang w:eastAsia="en-AU"/>
        </w:rPr>
        <w:t>on becomes aware of the change</w:t>
      </w:r>
      <w:r w:rsidRPr="00732ACB">
        <w:rPr>
          <w:lang w:eastAsia="en-AU"/>
        </w:rPr>
        <w:t xml:space="preserve"> –</w:t>
      </w:r>
      <w:r>
        <w:rPr>
          <w:i/>
          <w:lang w:eastAsia="en-AU"/>
        </w:rPr>
        <w:t xml:space="preserve"> </w:t>
      </w:r>
      <w:r>
        <w:rPr>
          <w:lang w:eastAsia="en-AU"/>
        </w:rPr>
        <w:t>Regulation 385</w:t>
      </w:r>
      <w:r w:rsidRPr="00475FA6">
        <w:rPr>
          <w:lang w:eastAsia="en-AU"/>
        </w:rPr>
        <w:t>.</w:t>
      </w:r>
    </w:p>
    <w:p w14:paraId="16D9E998" w14:textId="77777777" w:rsidR="00F100E9" w:rsidRPr="00823A26" w:rsidRDefault="00F100E9" w:rsidP="00F100E9">
      <w:pPr>
        <w:pStyle w:val="Heading2"/>
      </w:pPr>
      <w:r w:rsidRPr="00823A26">
        <w:t>Records to be kept</w:t>
      </w:r>
    </w:p>
    <w:p w14:paraId="40E33A98" w14:textId="77777777" w:rsidR="00F100E9" w:rsidRPr="00475FA6" w:rsidRDefault="00F100E9" w:rsidP="00F100E9">
      <w:pPr>
        <w:rPr>
          <w:lang w:eastAsia="en-AU"/>
        </w:rPr>
      </w:pPr>
      <w:r w:rsidRPr="00475FA6">
        <w:rPr>
          <w:lang w:eastAsia="en-AU"/>
        </w:rPr>
        <w:t>The person authorised to use handle or store prohibited or restricted carcinogens must keep the following records for 30 years after the authorisation ends:</w:t>
      </w:r>
    </w:p>
    <w:p w14:paraId="684BB2E8" w14:textId="77777777" w:rsidR="00F100E9" w:rsidRPr="00F6727F" w:rsidRDefault="00F100E9" w:rsidP="00F100E9">
      <w:pPr>
        <w:pStyle w:val="ListParagraph"/>
        <w:numPr>
          <w:ilvl w:val="0"/>
          <w:numId w:val="17"/>
        </w:numPr>
      </w:pPr>
      <w:r w:rsidRPr="00F6727F">
        <w:t>A copy of the authorisation including any conditions imposed</w:t>
      </w:r>
      <w:r>
        <w:t xml:space="preserve">, </w:t>
      </w:r>
      <w:r w:rsidRPr="00F6727F">
        <w:t xml:space="preserve">and </w:t>
      </w:r>
    </w:p>
    <w:p w14:paraId="3B1B5861" w14:textId="77777777" w:rsidR="00F100E9" w:rsidRPr="00F6727F" w:rsidRDefault="00F100E9" w:rsidP="00F100E9">
      <w:pPr>
        <w:pStyle w:val="ListParagraph"/>
        <w:numPr>
          <w:ilvl w:val="0"/>
          <w:numId w:val="17"/>
        </w:numPr>
        <w:spacing w:after="120"/>
        <w:ind w:left="714" w:hanging="357"/>
      </w:pPr>
      <w:r w:rsidRPr="00F6727F">
        <w:t>The full name, date of birth and address of any worker likely to be exposed during the period of the authorisation.</w:t>
      </w:r>
    </w:p>
    <w:p w14:paraId="231A62DF" w14:textId="77777777" w:rsidR="00F100E9" w:rsidRDefault="00F100E9" w:rsidP="00F100E9">
      <w:pPr>
        <w:rPr>
          <w:lang w:eastAsia="en-AU"/>
        </w:rPr>
      </w:pPr>
      <w:r>
        <w:rPr>
          <w:lang w:eastAsia="en-AU"/>
        </w:rPr>
        <w:t>Regulation 388</w:t>
      </w:r>
    </w:p>
    <w:p w14:paraId="464FD27D" w14:textId="77777777" w:rsidR="00F100E9" w:rsidRPr="00823A26" w:rsidRDefault="00F100E9" w:rsidP="00F100E9">
      <w:pPr>
        <w:pStyle w:val="Heading2"/>
      </w:pPr>
      <w:r w:rsidRPr="00823A26">
        <w:lastRenderedPageBreak/>
        <w:t>Statement of exposure</w:t>
      </w:r>
    </w:p>
    <w:p w14:paraId="7F4AD834" w14:textId="77777777" w:rsidR="00F100E9" w:rsidRPr="00475FA6" w:rsidRDefault="00F100E9" w:rsidP="00F100E9">
      <w:pPr>
        <w:spacing w:after="120"/>
        <w:rPr>
          <w:lang w:eastAsia="en-AU"/>
        </w:rPr>
      </w:pPr>
      <w:r w:rsidRPr="00475FA6">
        <w:rPr>
          <w:lang w:eastAsia="en-AU"/>
        </w:rPr>
        <w:t>The person authorised to use handle or store prohibited or restricted carcinogens must give to the worker, at the end of the workers employment by that person, a written statement of the following:</w:t>
      </w:r>
    </w:p>
    <w:p w14:paraId="75553813" w14:textId="77777777" w:rsidR="00F100E9" w:rsidRPr="00F6727F" w:rsidRDefault="00F100E9" w:rsidP="00F100E9">
      <w:pPr>
        <w:pStyle w:val="ListParagraph"/>
        <w:numPr>
          <w:ilvl w:val="0"/>
          <w:numId w:val="18"/>
        </w:numPr>
        <w:spacing w:after="120"/>
      </w:pPr>
      <w:r w:rsidRPr="00F6727F">
        <w:t>Name of the prohibited or restricted carcinogen to which the workers may have been exposed during their engagement</w:t>
      </w:r>
    </w:p>
    <w:p w14:paraId="61553466" w14:textId="77777777" w:rsidR="00F100E9" w:rsidRPr="00F6727F" w:rsidRDefault="00F100E9" w:rsidP="00F100E9">
      <w:pPr>
        <w:pStyle w:val="ListParagraph"/>
        <w:numPr>
          <w:ilvl w:val="0"/>
          <w:numId w:val="18"/>
        </w:numPr>
        <w:spacing w:after="120"/>
      </w:pPr>
      <w:r w:rsidRPr="00F6727F">
        <w:t>The time the worker may have been exposed</w:t>
      </w:r>
    </w:p>
    <w:p w14:paraId="1CC824DE" w14:textId="77777777" w:rsidR="00F100E9" w:rsidRPr="00F6727F" w:rsidRDefault="00F100E9" w:rsidP="00F100E9">
      <w:pPr>
        <w:pStyle w:val="ListParagraph"/>
        <w:numPr>
          <w:ilvl w:val="0"/>
          <w:numId w:val="18"/>
        </w:numPr>
        <w:spacing w:after="120"/>
      </w:pPr>
      <w:r w:rsidRPr="00F6727F">
        <w:t>How and where the worker may obtain records of the possible exposure</w:t>
      </w:r>
    </w:p>
    <w:p w14:paraId="453B1D22" w14:textId="77777777" w:rsidR="00F100E9" w:rsidRPr="00F6727F" w:rsidRDefault="00F100E9" w:rsidP="00F100E9">
      <w:pPr>
        <w:pStyle w:val="ListParagraph"/>
        <w:numPr>
          <w:ilvl w:val="0"/>
          <w:numId w:val="18"/>
        </w:numPr>
        <w:spacing w:after="120"/>
      </w:pPr>
      <w:r w:rsidRPr="00F6727F">
        <w:t>Whether the worker should undertake regular health assessments, and the relevant tests to undertake.</w:t>
      </w:r>
    </w:p>
    <w:p w14:paraId="07D97BF2" w14:textId="77777777" w:rsidR="00F100E9" w:rsidRDefault="00F100E9" w:rsidP="00F100E9">
      <w:pPr>
        <w:spacing w:after="120"/>
        <w:rPr>
          <w:lang w:eastAsia="en-AU"/>
        </w:rPr>
      </w:pPr>
      <w:r>
        <w:rPr>
          <w:lang w:eastAsia="en-AU"/>
        </w:rPr>
        <w:t>Regulation 387</w:t>
      </w:r>
    </w:p>
    <w:p w14:paraId="3D74972E" w14:textId="77777777" w:rsidR="00F100E9" w:rsidRPr="00823A26" w:rsidRDefault="00F100E9" w:rsidP="00F100E9">
      <w:pPr>
        <w:pStyle w:val="Heading2"/>
        <w:spacing w:before="240"/>
      </w:pPr>
      <w:bookmarkStart w:id="30" w:name="_Toc301523369"/>
      <w:bookmarkStart w:id="31" w:name="_Toc313875007"/>
      <w:bookmarkStart w:id="32" w:name="_Toc415529398"/>
      <w:r w:rsidRPr="00823A26">
        <w:t>Cancellation</w:t>
      </w:r>
      <w:bookmarkEnd w:id="30"/>
      <w:bookmarkEnd w:id="31"/>
      <w:bookmarkEnd w:id="32"/>
      <w:r w:rsidRPr="00823A26">
        <w:t xml:space="preserve"> </w:t>
      </w:r>
    </w:p>
    <w:p w14:paraId="3CD89641" w14:textId="77777777" w:rsidR="00F100E9" w:rsidRPr="00475FA6" w:rsidRDefault="00F100E9" w:rsidP="00F100E9">
      <w:pPr>
        <w:spacing w:after="120"/>
        <w:rPr>
          <w:lang w:eastAsia="en-AU"/>
        </w:rPr>
      </w:pPr>
      <w:r w:rsidRPr="00475FA6">
        <w:rPr>
          <w:lang w:eastAsia="en-AU"/>
        </w:rPr>
        <w:t xml:space="preserve">The </w:t>
      </w:r>
      <w:r>
        <w:rPr>
          <w:lang w:eastAsia="en-AU"/>
        </w:rPr>
        <w:t>Regulator</w:t>
      </w:r>
      <w:r w:rsidRPr="00475FA6">
        <w:rPr>
          <w:lang w:eastAsia="en-AU"/>
        </w:rPr>
        <w:t xml:space="preserve"> may cancel an authorisation to use, handle or store a prohibited or restricted carcinogen if satisfied that:</w:t>
      </w:r>
    </w:p>
    <w:p w14:paraId="5C090D95" w14:textId="77777777" w:rsidR="00F100E9" w:rsidRPr="00F6727F" w:rsidRDefault="00F100E9" w:rsidP="00F100E9">
      <w:pPr>
        <w:pStyle w:val="ListParagraph"/>
        <w:numPr>
          <w:ilvl w:val="0"/>
          <w:numId w:val="19"/>
        </w:numPr>
        <w:spacing w:after="120"/>
      </w:pPr>
      <w:r w:rsidRPr="00F6727F">
        <w:t>the person given the authorisation has not complied with a condition of the authorisation</w:t>
      </w:r>
      <w:r>
        <w:t>,</w:t>
      </w:r>
      <w:r w:rsidRPr="00F6727F">
        <w:t xml:space="preserve"> or</w:t>
      </w:r>
    </w:p>
    <w:p w14:paraId="625B0264" w14:textId="77777777" w:rsidR="00F100E9" w:rsidRPr="00F6727F" w:rsidRDefault="00F100E9" w:rsidP="00F100E9">
      <w:pPr>
        <w:pStyle w:val="ListParagraph"/>
        <w:numPr>
          <w:ilvl w:val="0"/>
          <w:numId w:val="19"/>
        </w:numPr>
        <w:spacing w:after="120"/>
      </w:pPr>
      <w:proofErr w:type="gramStart"/>
      <w:r w:rsidRPr="00F6727F">
        <w:t>the</w:t>
      </w:r>
      <w:proofErr w:type="gramEnd"/>
      <w:r w:rsidRPr="00F6727F">
        <w:t xml:space="preserve"> risk to health and safety of a worker using, handling or storing a prohibited or restricted carcinogen has changed since the authorisation was granted</w:t>
      </w:r>
      <w:r w:rsidRPr="00732ACB">
        <w:rPr>
          <w:lang w:eastAsia="en-AU"/>
        </w:rPr>
        <w:t xml:space="preserve"> –</w:t>
      </w:r>
      <w:r>
        <w:rPr>
          <w:i/>
          <w:lang w:eastAsia="en-AU"/>
        </w:rPr>
        <w:t xml:space="preserve"> </w:t>
      </w:r>
      <w:r>
        <w:t>Regulation 386.</w:t>
      </w:r>
    </w:p>
    <w:p w14:paraId="58779A6E" w14:textId="77777777" w:rsidR="00F100E9" w:rsidRPr="002540D8" w:rsidRDefault="00F100E9" w:rsidP="00F100E9">
      <w:pPr>
        <w:spacing w:after="120"/>
      </w:pPr>
      <w:r w:rsidRPr="00475FA6">
        <w:rPr>
          <w:lang w:eastAsia="en-AU"/>
        </w:rPr>
        <w:t>The decision to cancel an authorisation to use, handle or store a prohibited or restricted carcinogen is a reviewable decision</w:t>
      </w:r>
      <w:r w:rsidRPr="00732ACB">
        <w:rPr>
          <w:lang w:eastAsia="en-AU"/>
        </w:rPr>
        <w:t xml:space="preserve"> –</w:t>
      </w:r>
      <w:r>
        <w:rPr>
          <w:i/>
          <w:lang w:eastAsia="en-AU"/>
        </w:rPr>
        <w:t xml:space="preserve"> </w:t>
      </w:r>
      <w:r>
        <w:rPr>
          <w:lang w:eastAsia="en-AU"/>
        </w:rPr>
        <w:t>Regulation 386.</w:t>
      </w:r>
    </w:p>
    <w:p w14:paraId="7F6C6192" w14:textId="77777777" w:rsidR="00F100E9" w:rsidRDefault="00F100E9" w:rsidP="00F100E9">
      <w:pPr>
        <w:pStyle w:val="Heading1"/>
        <w:spacing w:before="240"/>
      </w:pPr>
      <w:bookmarkStart w:id="33" w:name="_Toc301523370"/>
      <w:bookmarkStart w:id="34" w:name="_Toc313875008"/>
      <w:bookmarkStart w:id="35" w:name="_Toc415529399"/>
      <w:r w:rsidRPr="00F92B3C">
        <w:t>Application for review of decision</w:t>
      </w:r>
      <w:bookmarkEnd w:id="33"/>
      <w:bookmarkEnd w:id="34"/>
      <w:bookmarkEnd w:id="35"/>
    </w:p>
    <w:p w14:paraId="7BE828A7" w14:textId="77777777" w:rsidR="00F100E9" w:rsidRPr="00475FA6" w:rsidRDefault="00F100E9" w:rsidP="00F100E9">
      <w:pPr>
        <w:spacing w:after="120"/>
        <w:rPr>
          <w:lang w:eastAsia="en-AU"/>
        </w:rPr>
      </w:pPr>
      <w:r w:rsidRPr="00475FA6">
        <w:rPr>
          <w:lang w:eastAsia="en-AU"/>
        </w:rPr>
        <w:t>The table in Regulation 676 sets out decisions that are reviewable (reviewable decisions) and who is eligible (eligible person) to apply for the review of a reviewable decision.</w:t>
      </w:r>
    </w:p>
    <w:p w14:paraId="146C905F" w14:textId="77777777" w:rsidR="00F100E9" w:rsidRPr="00475FA6" w:rsidRDefault="00F100E9" w:rsidP="00F100E9">
      <w:pPr>
        <w:spacing w:after="120"/>
        <w:rPr>
          <w:lang w:eastAsia="en-AU"/>
        </w:rPr>
      </w:pPr>
      <w:r w:rsidRPr="00475FA6">
        <w:rPr>
          <w:lang w:eastAsia="en-AU"/>
        </w:rPr>
        <w:t>The applicant is the eligible person to request a review of a decision to refuse to grant an authorisation to use handle or store a prohibited or restricted carcinogen</w:t>
      </w:r>
      <w:r w:rsidRPr="00732ACB">
        <w:rPr>
          <w:lang w:eastAsia="en-AU"/>
        </w:rPr>
        <w:t xml:space="preserve"> –</w:t>
      </w:r>
      <w:r>
        <w:rPr>
          <w:i/>
          <w:lang w:eastAsia="en-AU"/>
        </w:rPr>
        <w:t xml:space="preserve"> </w:t>
      </w:r>
      <w:r>
        <w:rPr>
          <w:lang w:eastAsia="en-AU"/>
        </w:rPr>
        <w:t>Regulation 384</w:t>
      </w:r>
      <w:r w:rsidRPr="00475FA6">
        <w:rPr>
          <w:lang w:eastAsia="en-AU"/>
        </w:rPr>
        <w:t xml:space="preserve">. </w:t>
      </w:r>
    </w:p>
    <w:p w14:paraId="23EB502D" w14:textId="77777777" w:rsidR="00F100E9" w:rsidRDefault="00F100E9" w:rsidP="00F100E9">
      <w:pPr>
        <w:spacing w:after="120"/>
        <w:rPr>
          <w:lang w:eastAsia="en-AU"/>
        </w:rPr>
      </w:pPr>
      <w:r w:rsidRPr="00475FA6">
        <w:rPr>
          <w:lang w:eastAsia="en-AU"/>
        </w:rPr>
        <w:t>The authorisation holder is the eligible person to request a review of the decision to cancel an authorisation to use, handle or store a prohibited or restricted carcinogen</w:t>
      </w:r>
      <w:r w:rsidRPr="00732ACB">
        <w:rPr>
          <w:lang w:eastAsia="en-AU"/>
        </w:rPr>
        <w:t xml:space="preserve"> –</w:t>
      </w:r>
      <w:r>
        <w:rPr>
          <w:i/>
          <w:lang w:eastAsia="en-AU"/>
        </w:rPr>
        <w:t xml:space="preserve"> </w:t>
      </w:r>
      <w:r>
        <w:rPr>
          <w:lang w:eastAsia="en-AU"/>
        </w:rPr>
        <w:t>Regulation 386</w:t>
      </w:r>
      <w:r w:rsidRPr="00475FA6">
        <w:rPr>
          <w:lang w:eastAsia="en-AU"/>
        </w:rPr>
        <w:t>.</w:t>
      </w:r>
    </w:p>
    <w:p w14:paraId="156F82A7" w14:textId="77777777" w:rsidR="00F100E9" w:rsidRPr="00823A26" w:rsidRDefault="00F100E9" w:rsidP="00F100E9">
      <w:pPr>
        <w:pStyle w:val="Heading2"/>
        <w:spacing w:before="240"/>
      </w:pPr>
      <w:bookmarkStart w:id="36" w:name="_Toc287516690"/>
      <w:bookmarkStart w:id="37" w:name="_Toc301523371"/>
      <w:bookmarkStart w:id="38" w:name="_Toc313875009"/>
      <w:bookmarkStart w:id="39" w:name="_Toc415529400"/>
      <w:r w:rsidRPr="00823A26">
        <w:t>Internal review</w:t>
      </w:r>
      <w:bookmarkEnd w:id="36"/>
      <w:bookmarkEnd w:id="37"/>
      <w:bookmarkEnd w:id="38"/>
      <w:bookmarkEnd w:id="39"/>
    </w:p>
    <w:p w14:paraId="71F3EBE6" w14:textId="77777777" w:rsidR="00F100E9" w:rsidRPr="00475FA6" w:rsidRDefault="00F100E9" w:rsidP="00F100E9">
      <w:pPr>
        <w:spacing w:after="120"/>
        <w:rPr>
          <w:lang w:eastAsia="en-AU"/>
        </w:rPr>
      </w:pPr>
      <w:r w:rsidRPr="00475FA6">
        <w:rPr>
          <w:lang w:eastAsia="en-AU"/>
        </w:rPr>
        <w:t xml:space="preserve">An application for internal review allows the </w:t>
      </w:r>
      <w:r>
        <w:rPr>
          <w:lang w:eastAsia="en-AU"/>
        </w:rPr>
        <w:t>Regulator</w:t>
      </w:r>
      <w:r w:rsidRPr="00475FA6">
        <w:rPr>
          <w:lang w:eastAsia="en-AU"/>
        </w:rPr>
        <w:t xml:space="preserve">’s decision to be reviewed and possibly changed by a person who was not involved in the original decision. A written application for the internal review of a reviewable decision is made using the application form provided by </w:t>
      </w:r>
      <w:r>
        <w:rPr>
          <w:lang w:eastAsia="en-AU"/>
        </w:rPr>
        <w:t>the Regulator. The </w:t>
      </w:r>
      <w:r w:rsidRPr="00475FA6">
        <w:rPr>
          <w:lang w:eastAsia="en-AU"/>
        </w:rPr>
        <w:t xml:space="preserve">application must be lodged with 28 days of the day on which the decision first came to the eligible person’s notice or such longer period as the </w:t>
      </w:r>
      <w:r>
        <w:rPr>
          <w:lang w:eastAsia="en-AU"/>
        </w:rPr>
        <w:t>Regulator</w:t>
      </w:r>
      <w:r w:rsidRPr="00475FA6">
        <w:rPr>
          <w:lang w:eastAsia="en-AU"/>
        </w:rPr>
        <w:t xml:space="preserve"> allows</w:t>
      </w:r>
      <w:r w:rsidRPr="00732ACB">
        <w:rPr>
          <w:lang w:eastAsia="en-AU"/>
        </w:rPr>
        <w:t xml:space="preserve"> –</w:t>
      </w:r>
      <w:r>
        <w:rPr>
          <w:i/>
          <w:lang w:eastAsia="en-AU"/>
        </w:rPr>
        <w:t xml:space="preserve"> </w:t>
      </w:r>
      <w:r>
        <w:rPr>
          <w:lang w:eastAsia="en-AU"/>
        </w:rPr>
        <w:t>Regulation 678(1)</w:t>
      </w:r>
      <w:r w:rsidRPr="00475FA6">
        <w:rPr>
          <w:lang w:eastAsia="en-AU"/>
        </w:rPr>
        <w:t>.</w:t>
      </w:r>
    </w:p>
    <w:p w14:paraId="35ADCF57" w14:textId="77777777" w:rsidR="00F100E9" w:rsidRPr="00475FA6" w:rsidRDefault="00F100E9" w:rsidP="00F100E9">
      <w:pPr>
        <w:spacing w:after="120"/>
        <w:rPr>
          <w:lang w:eastAsia="en-AU"/>
        </w:rPr>
      </w:pPr>
      <w:r w:rsidRPr="00475FA6">
        <w:rPr>
          <w:lang w:eastAsia="en-AU"/>
        </w:rPr>
        <w:t>The internal reviewer may:</w:t>
      </w:r>
    </w:p>
    <w:p w14:paraId="67F80EF3" w14:textId="77777777" w:rsidR="00F100E9" w:rsidRPr="00F6727F" w:rsidRDefault="00F100E9" w:rsidP="00F100E9">
      <w:pPr>
        <w:pStyle w:val="ListParagraph"/>
        <w:numPr>
          <w:ilvl w:val="0"/>
          <w:numId w:val="20"/>
        </w:numPr>
        <w:spacing w:after="120"/>
      </w:pPr>
      <w:r w:rsidRPr="00F6727F">
        <w:t>confirm or vary the reviewable decision</w:t>
      </w:r>
      <w:r>
        <w:t>,</w:t>
      </w:r>
      <w:r w:rsidRPr="00F6727F">
        <w:t xml:space="preserve"> or</w:t>
      </w:r>
    </w:p>
    <w:p w14:paraId="32627205" w14:textId="77777777" w:rsidR="00F100E9" w:rsidRPr="00F6727F" w:rsidRDefault="00F100E9" w:rsidP="00F100E9">
      <w:pPr>
        <w:pStyle w:val="ListParagraph"/>
        <w:numPr>
          <w:ilvl w:val="0"/>
          <w:numId w:val="20"/>
        </w:numPr>
        <w:spacing w:after="120"/>
      </w:pPr>
      <w:proofErr w:type="gramStart"/>
      <w:r w:rsidRPr="00F6727F">
        <w:t>set</w:t>
      </w:r>
      <w:proofErr w:type="gramEnd"/>
      <w:r w:rsidRPr="00F6727F">
        <w:t xml:space="preserve"> aside the reviewable decision and substitute another decision that the internal reviewer considers appropriate. </w:t>
      </w:r>
    </w:p>
    <w:p w14:paraId="05BCF952" w14:textId="77777777" w:rsidR="00F100E9" w:rsidRPr="00475FA6" w:rsidRDefault="00F100E9" w:rsidP="00F100E9">
      <w:pPr>
        <w:spacing w:after="120"/>
        <w:rPr>
          <w:lang w:eastAsia="en-AU"/>
        </w:rPr>
      </w:pPr>
      <w:r w:rsidRPr="00475FA6">
        <w:rPr>
          <w:lang w:eastAsia="en-AU"/>
        </w:rPr>
        <w:t xml:space="preserve">Regulation </w:t>
      </w:r>
      <w:r>
        <w:rPr>
          <w:lang w:eastAsia="en-AU"/>
        </w:rPr>
        <w:t>680(2)</w:t>
      </w:r>
    </w:p>
    <w:p w14:paraId="3DB5678D" w14:textId="77777777" w:rsidR="00F100E9" w:rsidRPr="00475FA6" w:rsidRDefault="00F100E9" w:rsidP="00F100E9">
      <w:pPr>
        <w:spacing w:after="120"/>
        <w:rPr>
          <w:lang w:eastAsia="en-AU"/>
        </w:rPr>
      </w:pPr>
      <w:r w:rsidRPr="00475FA6">
        <w:rPr>
          <w:lang w:eastAsia="en-AU"/>
        </w:rPr>
        <w:t>If the reviewable decision is not varied or set aside within the 14 day period the internal decision is taken to have been confirmed [Regulation 680(6)].</w:t>
      </w:r>
    </w:p>
    <w:p w14:paraId="73525EDE" w14:textId="77777777" w:rsidR="00F100E9" w:rsidRPr="00475FA6" w:rsidRDefault="00F100E9" w:rsidP="00F100E9">
      <w:pPr>
        <w:spacing w:after="120"/>
        <w:rPr>
          <w:lang w:eastAsia="en-AU"/>
        </w:rPr>
      </w:pPr>
      <w:r w:rsidRPr="00475FA6">
        <w:rPr>
          <w:lang w:eastAsia="en-AU"/>
        </w:rPr>
        <w:t xml:space="preserve">The </w:t>
      </w:r>
      <w:r>
        <w:rPr>
          <w:lang w:eastAsia="en-AU"/>
        </w:rPr>
        <w:t>Regulator</w:t>
      </w:r>
      <w:r w:rsidRPr="00475FA6">
        <w:rPr>
          <w:lang w:eastAsia="en-AU"/>
        </w:rPr>
        <w:t xml:space="preserve"> will give the applicant written notice of the decision on the internal review and reasons for the decision within 14 days of making the decision</w:t>
      </w:r>
      <w:r w:rsidRPr="00732ACB">
        <w:rPr>
          <w:lang w:eastAsia="en-AU"/>
        </w:rPr>
        <w:t xml:space="preserve"> –</w:t>
      </w:r>
      <w:r>
        <w:rPr>
          <w:i/>
          <w:lang w:eastAsia="en-AU"/>
        </w:rPr>
        <w:t xml:space="preserve"> </w:t>
      </w:r>
      <w:r>
        <w:rPr>
          <w:lang w:eastAsia="en-AU"/>
        </w:rPr>
        <w:t>Regulation 681</w:t>
      </w:r>
      <w:r w:rsidRPr="00475FA6">
        <w:rPr>
          <w:lang w:eastAsia="en-AU"/>
        </w:rPr>
        <w:t>.</w:t>
      </w:r>
    </w:p>
    <w:p w14:paraId="3A0E51E6" w14:textId="77777777" w:rsidR="00F100E9" w:rsidRDefault="00F100E9" w:rsidP="00F100E9">
      <w:pPr>
        <w:spacing w:after="120"/>
        <w:rPr>
          <w:lang w:eastAsia="en-AU"/>
        </w:rPr>
      </w:pPr>
      <w:r w:rsidRPr="00475FA6">
        <w:rPr>
          <w:lang w:eastAsia="en-AU"/>
        </w:rPr>
        <w:t xml:space="preserve">An application for an internal review does not affect the operation of the original decision or prevent the taking of any lawful action to implement or enforce the decision, though once the decision on internal review is made if a new decision is substituted then that new decision takes </w:t>
      </w:r>
      <w:r w:rsidRPr="00732ACB">
        <w:rPr>
          <w:lang w:eastAsia="en-AU"/>
        </w:rPr>
        <w:t>–</w:t>
      </w:r>
      <w:r>
        <w:rPr>
          <w:i/>
          <w:lang w:eastAsia="en-AU"/>
        </w:rPr>
        <w:t xml:space="preserve"> </w:t>
      </w:r>
      <w:r>
        <w:rPr>
          <w:lang w:eastAsia="en-AU"/>
        </w:rPr>
        <w:t>Regulation 682</w:t>
      </w:r>
      <w:r w:rsidRPr="00475FA6">
        <w:rPr>
          <w:lang w:eastAsia="en-AU"/>
        </w:rPr>
        <w:t>.</w:t>
      </w:r>
    </w:p>
    <w:p w14:paraId="5268CA15" w14:textId="77777777" w:rsidR="00F100E9" w:rsidRPr="00823A26" w:rsidRDefault="00F100E9" w:rsidP="00F100E9">
      <w:pPr>
        <w:pStyle w:val="Heading2"/>
      </w:pPr>
      <w:bookmarkStart w:id="40" w:name="_Toc301523372"/>
      <w:bookmarkStart w:id="41" w:name="_Toc313875010"/>
      <w:bookmarkStart w:id="42" w:name="_Toc415529401"/>
      <w:r w:rsidRPr="00823A26">
        <w:lastRenderedPageBreak/>
        <w:t>External review</w:t>
      </w:r>
      <w:bookmarkEnd w:id="40"/>
      <w:bookmarkEnd w:id="41"/>
      <w:bookmarkEnd w:id="42"/>
    </w:p>
    <w:p w14:paraId="191D6631" w14:textId="77777777" w:rsidR="00F100E9" w:rsidRDefault="00F100E9" w:rsidP="00F100E9">
      <w:pPr>
        <w:rPr>
          <w:lang w:eastAsia="en-AU"/>
        </w:rPr>
      </w:pPr>
      <w:r w:rsidRPr="00475FA6">
        <w:rPr>
          <w:lang w:eastAsia="en-AU"/>
        </w:rPr>
        <w:t>If the applicant or authorisation holder is not satisfied with the decision on internal review, they can apply to the Work Health Court.</w:t>
      </w:r>
    </w:p>
    <w:p w14:paraId="17E6221F" w14:textId="77777777" w:rsidR="00F100E9" w:rsidRPr="00823A26" w:rsidRDefault="00F100E9" w:rsidP="00F100E9">
      <w:pPr>
        <w:pStyle w:val="Heading1"/>
      </w:pPr>
      <w:bookmarkStart w:id="43" w:name="_Toc287516692"/>
      <w:bookmarkStart w:id="44" w:name="_Toc301523373"/>
      <w:bookmarkStart w:id="45" w:name="_Toc313875011"/>
      <w:bookmarkStart w:id="46" w:name="_Toc415529402"/>
      <w:r w:rsidRPr="00823A26">
        <w:t>Further information</w:t>
      </w:r>
      <w:bookmarkEnd w:id="43"/>
      <w:bookmarkEnd w:id="44"/>
      <w:bookmarkEnd w:id="45"/>
      <w:bookmarkEnd w:id="46"/>
    </w:p>
    <w:p w14:paraId="72B7BB34" w14:textId="77777777" w:rsidR="00F100E9" w:rsidRPr="00823A26" w:rsidRDefault="00F100E9" w:rsidP="00F100E9">
      <w:pPr>
        <w:pStyle w:val="Heading2"/>
      </w:pPr>
      <w:bookmarkStart w:id="47" w:name="_Toc301523374"/>
      <w:bookmarkStart w:id="48" w:name="_Toc313875012"/>
      <w:bookmarkStart w:id="49" w:name="_Toc415529403"/>
      <w:r w:rsidRPr="00823A26">
        <w:t>Legislation</w:t>
      </w:r>
      <w:bookmarkEnd w:id="47"/>
      <w:bookmarkEnd w:id="48"/>
      <w:bookmarkEnd w:id="49"/>
    </w:p>
    <w:p w14:paraId="0D959FB9" w14:textId="77777777" w:rsidR="00F100E9" w:rsidRPr="005E4124" w:rsidRDefault="00F100E9" w:rsidP="00F100E9">
      <w:pPr>
        <w:rPr>
          <w:rStyle w:val="Hyperlink"/>
          <w:color w:val="auto"/>
          <w:lang w:eastAsia="en-AU"/>
        </w:rPr>
      </w:pPr>
      <w:r w:rsidRPr="005E4124">
        <w:rPr>
          <w:lang w:eastAsia="en-AU"/>
        </w:rPr>
        <w:t xml:space="preserve">The </w:t>
      </w:r>
      <w:r w:rsidRPr="005E4124">
        <w:rPr>
          <w:i/>
          <w:lang w:eastAsia="en-AU"/>
        </w:rPr>
        <w:t xml:space="preserve">Work Health and Safety (National Uniform Legislation) Act </w:t>
      </w:r>
      <w:r w:rsidRPr="005E4124">
        <w:rPr>
          <w:lang w:eastAsia="en-AU"/>
        </w:rPr>
        <w:t xml:space="preserve">and Work Health and Safety (National Uniform Legislation) Regulations are available on NT </w:t>
      </w:r>
      <w:proofErr w:type="spellStart"/>
      <w:r w:rsidRPr="005E4124">
        <w:rPr>
          <w:lang w:eastAsia="en-AU"/>
        </w:rPr>
        <w:t>WorkSafe’s</w:t>
      </w:r>
      <w:proofErr w:type="spellEnd"/>
      <w:r w:rsidRPr="005E4124">
        <w:rPr>
          <w:lang w:eastAsia="en-AU"/>
        </w:rPr>
        <w:t xml:space="preserve"> website www.worksafe.nt.gov.au</w:t>
      </w:r>
    </w:p>
    <w:p w14:paraId="401D29FD" w14:textId="77777777" w:rsidR="00F100E9" w:rsidRDefault="00F100E9" w:rsidP="00F100E9">
      <w:pPr>
        <w:pStyle w:val="Heading2"/>
      </w:pPr>
      <w:bookmarkStart w:id="50" w:name="_Toc415423927"/>
      <w:bookmarkStart w:id="51" w:name="_Toc415514155"/>
      <w:bookmarkStart w:id="52" w:name="_Toc415529404"/>
      <w:r w:rsidRPr="00CC2EE0">
        <w:t>List of jurisdiction contacts</w:t>
      </w:r>
      <w:bookmarkEnd w:id="50"/>
      <w:bookmarkEnd w:id="51"/>
      <w:bookmarkEnd w:id="52"/>
    </w:p>
    <w:tbl>
      <w:tblPr>
        <w:tblStyle w:val="TableGrid"/>
        <w:tblW w:w="10738" w:type="dxa"/>
        <w:tblInd w:w="108" w:type="dxa"/>
        <w:tblLook w:val="04A0" w:firstRow="1" w:lastRow="0" w:firstColumn="1" w:lastColumn="0" w:noHBand="0" w:noVBand="1"/>
        <w:tblDescription w:val="4 column Table laying out the Jurisdiction, the name of the Regulator, the phone number contact and then the website address"/>
      </w:tblPr>
      <w:tblGrid>
        <w:gridCol w:w="2501"/>
        <w:gridCol w:w="2470"/>
        <w:gridCol w:w="2432"/>
        <w:gridCol w:w="3335"/>
      </w:tblGrid>
      <w:tr w:rsidR="00F100E9" w:rsidRPr="001053FA" w14:paraId="00FBC122" w14:textId="77777777" w:rsidTr="00A51BDA">
        <w:trPr>
          <w:tblHeader/>
        </w:trPr>
        <w:tc>
          <w:tcPr>
            <w:tcW w:w="2501" w:type="dxa"/>
            <w:shd w:val="clear" w:color="auto" w:fill="D9D9D9" w:themeFill="background1" w:themeFillShade="D9"/>
          </w:tcPr>
          <w:p w14:paraId="39E0A813" w14:textId="77777777" w:rsidR="00F100E9" w:rsidRPr="001053FA" w:rsidRDefault="00F100E9" w:rsidP="00A51BDA">
            <w:pPr>
              <w:spacing w:before="60" w:after="60"/>
              <w:rPr>
                <w:b/>
              </w:rPr>
            </w:pPr>
            <w:r w:rsidRPr="001053FA">
              <w:rPr>
                <w:b/>
                <w:lang w:eastAsia="en-AU"/>
              </w:rPr>
              <w:t>Jurisdiction</w:t>
            </w:r>
          </w:p>
        </w:tc>
        <w:tc>
          <w:tcPr>
            <w:tcW w:w="2470" w:type="dxa"/>
            <w:shd w:val="clear" w:color="auto" w:fill="D9D9D9" w:themeFill="background1" w:themeFillShade="D9"/>
          </w:tcPr>
          <w:p w14:paraId="7A9CC095" w14:textId="77777777" w:rsidR="00F100E9" w:rsidRPr="001053FA" w:rsidRDefault="00F100E9" w:rsidP="00A51BDA">
            <w:pPr>
              <w:spacing w:before="60" w:after="60"/>
              <w:rPr>
                <w:b/>
              </w:rPr>
            </w:pPr>
            <w:r>
              <w:rPr>
                <w:b/>
                <w:lang w:eastAsia="en-AU"/>
              </w:rPr>
              <w:t>Name of R</w:t>
            </w:r>
            <w:r w:rsidRPr="001053FA">
              <w:rPr>
                <w:b/>
                <w:lang w:eastAsia="en-AU"/>
              </w:rPr>
              <w:t>egulator</w:t>
            </w:r>
          </w:p>
        </w:tc>
        <w:tc>
          <w:tcPr>
            <w:tcW w:w="2432" w:type="dxa"/>
            <w:shd w:val="clear" w:color="auto" w:fill="D9D9D9" w:themeFill="background1" w:themeFillShade="D9"/>
          </w:tcPr>
          <w:p w14:paraId="6A95129B" w14:textId="77777777" w:rsidR="00F100E9" w:rsidRPr="001053FA" w:rsidRDefault="00F100E9" w:rsidP="00A51BDA">
            <w:pPr>
              <w:spacing w:before="60" w:after="60"/>
              <w:rPr>
                <w:b/>
              </w:rPr>
            </w:pPr>
            <w:r w:rsidRPr="001053FA">
              <w:rPr>
                <w:b/>
                <w:lang w:eastAsia="en-AU"/>
              </w:rPr>
              <w:t>Telephone</w:t>
            </w:r>
          </w:p>
        </w:tc>
        <w:tc>
          <w:tcPr>
            <w:tcW w:w="3335" w:type="dxa"/>
            <w:shd w:val="clear" w:color="auto" w:fill="D9D9D9" w:themeFill="background1" w:themeFillShade="D9"/>
          </w:tcPr>
          <w:p w14:paraId="73F7B586" w14:textId="77777777" w:rsidR="00F100E9" w:rsidRPr="001053FA" w:rsidRDefault="00F100E9" w:rsidP="00A51BDA">
            <w:pPr>
              <w:spacing w:before="60" w:after="60"/>
              <w:rPr>
                <w:b/>
              </w:rPr>
            </w:pPr>
            <w:r w:rsidRPr="001053FA">
              <w:rPr>
                <w:b/>
                <w:lang w:eastAsia="en-AU"/>
              </w:rPr>
              <w:t>Web site</w:t>
            </w:r>
          </w:p>
        </w:tc>
      </w:tr>
      <w:tr w:rsidR="00F100E9" w:rsidRPr="001053FA" w14:paraId="17DF8229" w14:textId="77777777" w:rsidTr="00A51BDA">
        <w:tc>
          <w:tcPr>
            <w:tcW w:w="2501" w:type="dxa"/>
          </w:tcPr>
          <w:p w14:paraId="552CD4BF" w14:textId="77777777" w:rsidR="00F100E9" w:rsidRPr="001053FA" w:rsidRDefault="00F100E9" w:rsidP="00A51BDA">
            <w:pPr>
              <w:spacing w:before="60" w:after="60"/>
            </w:pPr>
            <w:r w:rsidRPr="00B8492F">
              <w:rPr>
                <w:lang w:eastAsia="en-AU"/>
              </w:rPr>
              <w:t xml:space="preserve">Commonwealth </w:t>
            </w:r>
          </w:p>
        </w:tc>
        <w:tc>
          <w:tcPr>
            <w:tcW w:w="2470" w:type="dxa"/>
          </w:tcPr>
          <w:p w14:paraId="33EA8159" w14:textId="77777777" w:rsidR="00F100E9" w:rsidRPr="001053FA" w:rsidRDefault="00F100E9" w:rsidP="00A51BDA">
            <w:pPr>
              <w:spacing w:before="60" w:after="60"/>
            </w:pPr>
            <w:proofErr w:type="spellStart"/>
            <w:r w:rsidRPr="00B8492F">
              <w:t>Comcare</w:t>
            </w:r>
            <w:proofErr w:type="spellEnd"/>
          </w:p>
        </w:tc>
        <w:tc>
          <w:tcPr>
            <w:tcW w:w="2432" w:type="dxa"/>
          </w:tcPr>
          <w:p w14:paraId="46711018" w14:textId="77777777" w:rsidR="00F100E9" w:rsidRPr="001053FA" w:rsidRDefault="00F100E9" w:rsidP="00A51BDA">
            <w:pPr>
              <w:spacing w:before="60" w:after="60"/>
            </w:pPr>
            <w:r w:rsidRPr="00B8492F">
              <w:t>1300 366 979</w:t>
            </w:r>
          </w:p>
        </w:tc>
        <w:tc>
          <w:tcPr>
            <w:tcW w:w="3335" w:type="dxa"/>
          </w:tcPr>
          <w:p w14:paraId="7A833D9C" w14:textId="77777777" w:rsidR="00F100E9" w:rsidRPr="001053FA" w:rsidRDefault="00F100E9" w:rsidP="00A51BDA">
            <w:pPr>
              <w:spacing w:before="60" w:after="60"/>
            </w:pPr>
            <w:r w:rsidRPr="001053FA">
              <w:rPr>
                <w:szCs w:val="20"/>
              </w:rPr>
              <w:t>www.comcare.gov.au</w:t>
            </w:r>
            <w:r>
              <w:t xml:space="preserve"> </w:t>
            </w:r>
          </w:p>
        </w:tc>
      </w:tr>
      <w:tr w:rsidR="00F100E9" w:rsidRPr="001053FA" w14:paraId="7239E1AA" w14:textId="77777777" w:rsidTr="00A51BDA">
        <w:tc>
          <w:tcPr>
            <w:tcW w:w="2501" w:type="dxa"/>
          </w:tcPr>
          <w:p w14:paraId="7491155D" w14:textId="77777777" w:rsidR="00F100E9" w:rsidRPr="001053FA" w:rsidRDefault="00F100E9" w:rsidP="00A51BDA">
            <w:pPr>
              <w:spacing w:before="60" w:after="60"/>
            </w:pPr>
            <w:r w:rsidRPr="00B8492F">
              <w:rPr>
                <w:lang w:eastAsia="en-AU"/>
              </w:rPr>
              <w:t>New South Wales</w:t>
            </w:r>
          </w:p>
        </w:tc>
        <w:tc>
          <w:tcPr>
            <w:tcW w:w="2470" w:type="dxa"/>
          </w:tcPr>
          <w:p w14:paraId="7CED9302" w14:textId="77777777" w:rsidR="00F100E9" w:rsidRPr="001053FA" w:rsidRDefault="00F100E9" w:rsidP="00A51BDA">
            <w:pPr>
              <w:spacing w:before="60" w:after="60"/>
            </w:pPr>
            <w:r w:rsidRPr="00B8492F">
              <w:t>WorkCover NSW</w:t>
            </w:r>
          </w:p>
        </w:tc>
        <w:tc>
          <w:tcPr>
            <w:tcW w:w="2432" w:type="dxa"/>
          </w:tcPr>
          <w:p w14:paraId="412DA83E" w14:textId="77777777" w:rsidR="00F100E9" w:rsidRPr="001053FA" w:rsidRDefault="00F100E9" w:rsidP="00A51BDA">
            <w:pPr>
              <w:spacing w:before="60" w:after="60"/>
            </w:pPr>
            <w:r w:rsidRPr="00B8492F">
              <w:t>13 10 50</w:t>
            </w:r>
          </w:p>
        </w:tc>
        <w:tc>
          <w:tcPr>
            <w:tcW w:w="3335" w:type="dxa"/>
          </w:tcPr>
          <w:p w14:paraId="0F9C1763" w14:textId="77777777" w:rsidR="00F100E9" w:rsidRPr="001053FA" w:rsidRDefault="00F100E9" w:rsidP="00A51BDA">
            <w:pPr>
              <w:spacing w:before="60" w:after="60"/>
            </w:pPr>
            <w:r w:rsidRPr="001053FA">
              <w:rPr>
                <w:szCs w:val="20"/>
              </w:rPr>
              <w:t>www.workcover.nsw.gov.au</w:t>
            </w:r>
          </w:p>
        </w:tc>
      </w:tr>
      <w:tr w:rsidR="00F100E9" w:rsidRPr="001053FA" w14:paraId="546C38EF" w14:textId="77777777" w:rsidTr="00A51BDA">
        <w:tc>
          <w:tcPr>
            <w:tcW w:w="2501" w:type="dxa"/>
          </w:tcPr>
          <w:p w14:paraId="31933982" w14:textId="77777777" w:rsidR="00F100E9" w:rsidRPr="001053FA" w:rsidRDefault="00F100E9" w:rsidP="00A51BDA">
            <w:pPr>
              <w:spacing w:before="60" w:after="60"/>
            </w:pPr>
            <w:r w:rsidRPr="00B8492F">
              <w:rPr>
                <w:lang w:eastAsia="en-AU"/>
              </w:rPr>
              <w:t>Victoria</w:t>
            </w:r>
          </w:p>
        </w:tc>
        <w:tc>
          <w:tcPr>
            <w:tcW w:w="2470" w:type="dxa"/>
          </w:tcPr>
          <w:p w14:paraId="781208B7" w14:textId="77777777" w:rsidR="00F100E9" w:rsidRPr="001053FA" w:rsidRDefault="00F100E9" w:rsidP="00A51BDA">
            <w:pPr>
              <w:spacing w:before="60" w:after="60"/>
            </w:pPr>
            <w:r w:rsidRPr="00B8492F">
              <w:t>WorkSafe Victoria</w:t>
            </w:r>
          </w:p>
        </w:tc>
        <w:tc>
          <w:tcPr>
            <w:tcW w:w="2432" w:type="dxa"/>
          </w:tcPr>
          <w:p w14:paraId="66E5422C" w14:textId="77777777" w:rsidR="00F100E9" w:rsidRDefault="00F100E9" w:rsidP="00A51BDA">
            <w:pPr>
              <w:spacing w:before="60" w:after="60"/>
            </w:pPr>
            <w:r w:rsidRPr="00B8492F">
              <w:t>1800 136 089</w:t>
            </w:r>
            <w:r>
              <w:t xml:space="preserve"> or</w:t>
            </w:r>
          </w:p>
          <w:p w14:paraId="04288F32" w14:textId="77777777" w:rsidR="00F100E9" w:rsidRPr="001053FA" w:rsidRDefault="00F100E9" w:rsidP="00A51BDA">
            <w:pPr>
              <w:spacing w:before="60" w:after="60"/>
            </w:pPr>
            <w:r>
              <w:t>(03) 9641 1444</w:t>
            </w:r>
          </w:p>
        </w:tc>
        <w:tc>
          <w:tcPr>
            <w:tcW w:w="3335" w:type="dxa"/>
          </w:tcPr>
          <w:p w14:paraId="230A1249" w14:textId="77777777" w:rsidR="00F100E9" w:rsidRPr="001053FA" w:rsidRDefault="00F100E9" w:rsidP="00A51BDA">
            <w:pPr>
              <w:spacing w:before="60" w:after="60"/>
            </w:pPr>
            <w:r w:rsidRPr="001053FA">
              <w:rPr>
                <w:szCs w:val="20"/>
              </w:rPr>
              <w:t>www.worksafe.vic.gov.au</w:t>
            </w:r>
          </w:p>
        </w:tc>
      </w:tr>
      <w:tr w:rsidR="00F100E9" w:rsidRPr="001053FA" w14:paraId="43EDF66B" w14:textId="77777777" w:rsidTr="00A51BDA">
        <w:tc>
          <w:tcPr>
            <w:tcW w:w="2501" w:type="dxa"/>
          </w:tcPr>
          <w:p w14:paraId="56D10E6D" w14:textId="77777777" w:rsidR="00F100E9" w:rsidRPr="001053FA" w:rsidRDefault="00F100E9" w:rsidP="00A51BDA">
            <w:pPr>
              <w:spacing w:before="60" w:after="60"/>
            </w:pPr>
            <w:r w:rsidRPr="00B8492F">
              <w:rPr>
                <w:lang w:eastAsia="en-AU"/>
              </w:rPr>
              <w:t>Queensland</w:t>
            </w:r>
          </w:p>
        </w:tc>
        <w:tc>
          <w:tcPr>
            <w:tcW w:w="2470" w:type="dxa"/>
          </w:tcPr>
          <w:p w14:paraId="2D235121" w14:textId="77777777" w:rsidR="00F100E9" w:rsidRPr="001053FA" w:rsidRDefault="00F100E9" w:rsidP="00A51BDA">
            <w:pPr>
              <w:spacing w:before="60" w:after="60"/>
            </w:pPr>
            <w:r w:rsidRPr="00B8492F">
              <w:t>Workplace Health and Safety Qld</w:t>
            </w:r>
          </w:p>
        </w:tc>
        <w:tc>
          <w:tcPr>
            <w:tcW w:w="2432" w:type="dxa"/>
          </w:tcPr>
          <w:p w14:paraId="3EEC172F" w14:textId="77777777" w:rsidR="00F100E9" w:rsidRPr="001053FA" w:rsidRDefault="00F100E9" w:rsidP="00A51BDA">
            <w:pPr>
              <w:spacing w:before="60" w:after="60"/>
            </w:pPr>
            <w:r w:rsidRPr="00B8492F">
              <w:t xml:space="preserve">1300 </w:t>
            </w:r>
            <w:r>
              <w:t>362 128</w:t>
            </w:r>
          </w:p>
        </w:tc>
        <w:tc>
          <w:tcPr>
            <w:tcW w:w="3335" w:type="dxa"/>
          </w:tcPr>
          <w:p w14:paraId="024248C2" w14:textId="77777777" w:rsidR="00F100E9" w:rsidRPr="001053FA" w:rsidRDefault="00F100E9" w:rsidP="00A51BDA">
            <w:pPr>
              <w:spacing w:before="60" w:after="60"/>
            </w:pPr>
            <w:r w:rsidRPr="001053FA">
              <w:rPr>
                <w:szCs w:val="20"/>
              </w:rPr>
              <w:t>www.</w:t>
            </w:r>
            <w:r>
              <w:rPr>
                <w:szCs w:val="20"/>
              </w:rPr>
              <w:t>worksafe</w:t>
            </w:r>
            <w:r w:rsidRPr="001053FA">
              <w:rPr>
                <w:szCs w:val="20"/>
              </w:rPr>
              <w:t>.qld.gov.au</w:t>
            </w:r>
          </w:p>
        </w:tc>
      </w:tr>
      <w:tr w:rsidR="00F100E9" w:rsidRPr="001053FA" w14:paraId="14E02693" w14:textId="77777777" w:rsidTr="00A51BDA">
        <w:tc>
          <w:tcPr>
            <w:tcW w:w="2501" w:type="dxa"/>
          </w:tcPr>
          <w:p w14:paraId="1B134CB4" w14:textId="77777777" w:rsidR="00F100E9" w:rsidRPr="001053FA" w:rsidRDefault="00F100E9" w:rsidP="00A51BDA">
            <w:pPr>
              <w:spacing w:before="60" w:after="60"/>
            </w:pPr>
            <w:r w:rsidRPr="00B8492F">
              <w:rPr>
                <w:lang w:eastAsia="en-AU"/>
              </w:rPr>
              <w:t>South Australia</w:t>
            </w:r>
          </w:p>
        </w:tc>
        <w:tc>
          <w:tcPr>
            <w:tcW w:w="2470" w:type="dxa"/>
          </w:tcPr>
          <w:p w14:paraId="4E725A19" w14:textId="77777777" w:rsidR="00F100E9" w:rsidRPr="001053FA" w:rsidRDefault="00F100E9" w:rsidP="00A51BDA">
            <w:pPr>
              <w:spacing w:before="60" w:after="60"/>
            </w:pPr>
            <w:proofErr w:type="spellStart"/>
            <w:r w:rsidRPr="00B8492F">
              <w:t>SafeWork</w:t>
            </w:r>
            <w:proofErr w:type="spellEnd"/>
            <w:r w:rsidRPr="00B8492F">
              <w:t xml:space="preserve"> SA</w:t>
            </w:r>
          </w:p>
        </w:tc>
        <w:tc>
          <w:tcPr>
            <w:tcW w:w="2432" w:type="dxa"/>
          </w:tcPr>
          <w:p w14:paraId="13F76094" w14:textId="77777777" w:rsidR="00F100E9" w:rsidRPr="001053FA" w:rsidRDefault="00F100E9" w:rsidP="00A51BDA">
            <w:pPr>
              <w:spacing w:before="60" w:after="60"/>
            </w:pPr>
            <w:r w:rsidRPr="00B8492F">
              <w:t>1300 365 255</w:t>
            </w:r>
          </w:p>
        </w:tc>
        <w:tc>
          <w:tcPr>
            <w:tcW w:w="3335" w:type="dxa"/>
          </w:tcPr>
          <w:p w14:paraId="1440CC09" w14:textId="77777777" w:rsidR="00F100E9" w:rsidRPr="001053FA" w:rsidRDefault="00F100E9" w:rsidP="00A51BDA">
            <w:pPr>
              <w:spacing w:before="60" w:after="60"/>
            </w:pPr>
            <w:r w:rsidRPr="001053FA">
              <w:rPr>
                <w:szCs w:val="20"/>
              </w:rPr>
              <w:t>www.safework.sa.gov.au</w:t>
            </w:r>
          </w:p>
        </w:tc>
      </w:tr>
      <w:tr w:rsidR="00F100E9" w:rsidRPr="001053FA" w14:paraId="4C0A5D8B" w14:textId="77777777" w:rsidTr="00A51BDA">
        <w:tc>
          <w:tcPr>
            <w:tcW w:w="2501" w:type="dxa"/>
          </w:tcPr>
          <w:p w14:paraId="76349CCE" w14:textId="77777777" w:rsidR="00F100E9" w:rsidRPr="001053FA" w:rsidRDefault="00F100E9" w:rsidP="00A51BDA">
            <w:pPr>
              <w:spacing w:before="60" w:after="60"/>
            </w:pPr>
            <w:r w:rsidRPr="00B8492F">
              <w:rPr>
                <w:lang w:eastAsia="en-AU"/>
              </w:rPr>
              <w:t>Western Australia</w:t>
            </w:r>
          </w:p>
        </w:tc>
        <w:tc>
          <w:tcPr>
            <w:tcW w:w="2470" w:type="dxa"/>
          </w:tcPr>
          <w:p w14:paraId="5B708F02" w14:textId="77777777" w:rsidR="00F100E9" w:rsidRPr="001053FA" w:rsidRDefault="00F100E9" w:rsidP="00A51BDA">
            <w:pPr>
              <w:spacing w:before="60" w:after="60"/>
            </w:pPr>
            <w:r w:rsidRPr="00B8492F">
              <w:t>WorkSafe WA</w:t>
            </w:r>
          </w:p>
        </w:tc>
        <w:tc>
          <w:tcPr>
            <w:tcW w:w="2432" w:type="dxa"/>
          </w:tcPr>
          <w:p w14:paraId="082B2974" w14:textId="77777777" w:rsidR="00F100E9" w:rsidRPr="001053FA" w:rsidRDefault="00F100E9" w:rsidP="00A51BDA">
            <w:pPr>
              <w:spacing w:before="60" w:after="60"/>
            </w:pPr>
            <w:r w:rsidRPr="00B8492F">
              <w:t>1300 307 877</w:t>
            </w:r>
          </w:p>
        </w:tc>
        <w:tc>
          <w:tcPr>
            <w:tcW w:w="3335" w:type="dxa"/>
          </w:tcPr>
          <w:p w14:paraId="7AE205ED" w14:textId="77777777" w:rsidR="00F100E9" w:rsidRPr="001053FA" w:rsidRDefault="00F100E9" w:rsidP="00A51BDA">
            <w:pPr>
              <w:spacing w:before="60" w:after="60"/>
            </w:pPr>
            <w:r w:rsidRPr="001053FA">
              <w:rPr>
                <w:szCs w:val="20"/>
              </w:rPr>
              <w:t>www.worksafe.wa.gov.au</w:t>
            </w:r>
          </w:p>
        </w:tc>
      </w:tr>
      <w:tr w:rsidR="00F100E9" w:rsidRPr="001053FA" w14:paraId="0379105F" w14:textId="77777777" w:rsidTr="00A51BDA">
        <w:tc>
          <w:tcPr>
            <w:tcW w:w="2501" w:type="dxa"/>
          </w:tcPr>
          <w:p w14:paraId="44B36E7E" w14:textId="77777777" w:rsidR="00F100E9" w:rsidRPr="001053FA" w:rsidRDefault="00F100E9" w:rsidP="00A51BDA">
            <w:pPr>
              <w:spacing w:before="60" w:after="60"/>
            </w:pPr>
            <w:r w:rsidRPr="00B8492F">
              <w:rPr>
                <w:lang w:eastAsia="en-AU"/>
              </w:rPr>
              <w:t>Australian Capital Territory</w:t>
            </w:r>
          </w:p>
        </w:tc>
        <w:tc>
          <w:tcPr>
            <w:tcW w:w="2470" w:type="dxa"/>
          </w:tcPr>
          <w:p w14:paraId="32A2BF2D" w14:textId="77777777" w:rsidR="00F100E9" w:rsidRPr="001053FA" w:rsidRDefault="00F100E9" w:rsidP="00A51BDA">
            <w:pPr>
              <w:spacing w:before="60" w:after="60"/>
            </w:pPr>
            <w:r w:rsidRPr="00B8492F">
              <w:t>WorkSafe ACT</w:t>
            </w:r>
          </w:p>
        </w:tc>
        <w:tc>
          <w:tcPr>
            <w:tcW w:w="2432" w:type="dxa"/>
          </w:tcPr>
          <w:p w14:paraId="288CEE4D" w14:textId="77777777" w:rsidR="00F100E9" w:rsidRPr="001053FA" w:rsidRDefault="00F100E9" w:rsidP="00A51BDA">
            <w:pPr>
              <w:spacing w:before="60" w:after="60"/>
            </w:pPr>
            <w:r w:rsidRPr="00B8492F">
              <w:t>(02) 6207 3000</w:t>
            </w:r>
          </w:p>
        </w:tc>
        <w:tc>
          <w:tcPr>
            <w:tcW w:w="3335" w:type="dxa"/>
          </w:tcPr>
          <w:p w14:paraId="419EC85B" w14:textId="77777777" w:rsidR="00F100E9" w:rsidRPr="001053FA" w:rsidRDefault="00F100E9" w:rsidP="00A51BDA">
            <w:pPr>
              <w:spacing w:before="60" w:after="60"/>
            </w:pPr>
            <w:r w:rsidRPr="001053FA">
              <w:rPr>
                <w:szCs w:val="20"/>
              </w:rPr>
              <w:t>www.worksafe.act.gov.au</w:t>
            </w:r>
          </w:p>
        </w:tc>
      </w:tr>
      <w:tr w:rsidR="00F100E9" w:rsidRPr="001053FA" w14:paraId="08822951" w14:textId="77777777" w:rsidTr="00A51BDA">
        <w:tc>
          <w:tcPr>
            <w:tcW w:w="2501" w:type="dxa"/>
          </w:tcPr>
          <w:p w14:paraId="5675C0A9" w14:textId="77777777" w:rsidR="00F100E9" w:rsidRPr="001053FA" w:rsidRDefault="00F100E9" w:rsidP="00A51BDA">
            <w:pPr>
              <w:spacing w:before="60" w:after="60"/>
            </w:pPr>
            <w:r w:rsidRPr="00B8492F">
              <w:rPr>
                <w:lang w:eastAsia="en-AU"/>
              </w:rPr>
              <w:t>Tasmania</w:t>
            </w:r>
          </w:p>
        </w:tc>
        <w:tc>
          <w:tcPr>
            <w:tcW w:w="2470" w:type="dxa"/>
          </w:tcPr>
          <w:p w14:paraId="7E6CFD6A" w14:textId="77777777" w:rsidR="00F100E9" w:rsidRPr="001053FA" w:rsidRDefault="00F100E9" w:rsidP="00A51BDA">
            <w:pPr>
              <w:spacing w:before="60" w:after="60"/>
            </w:pPr>
            <w:r>
              <w:t>WorkSafe Tasmania</w:t>
            </w:r>
          </w:p>
        </w:tc>
        <w:tc>
          <w:tcPr>
            <w:tcW w:w="2432" w:type="dxa"/>
          </w:tcPr>
          <w:p w14:paraId="3642CC89" w14:textId="77777777" w:rsidR="00F100E9" w:rsidRPr="001053FA" w:rsidRDefault="00F100E9" w:rsidP="00A51BDA">
            <w:pPr>
              <w:spacing w:before="60" w:after="60"/>
            </w:pPr>
            <w:r w:rsidRPr="00B8492F">
              <w:t xml:space="preserve">1300 366 322 </w:t>
            </w:r>
            <w:r>
              <w:br/>
            </w:r>
            <w:r w:rsidRPr="00B8492F">
              <w:t>(Inside Tasmania)</w:t>
            </w:r>
            <w:r w:rsidRPr="00B8492F">
              <w:br/>
              <w:t xml:space="preserve">(03) </w:t>
            </w:r>
            <w:r>
              <w:t>6166 4600</w:t>
            </w:r>
            <w:r w:rsidRPr="00B8492F">
              <w:t xml:space="preserve"> (Outside Tasmania)</w:t>
            </w:r>
          </w:p>
        </w:tc>
        <w:tc>
          <w:tcPr>
            <w:tcW w:w="3335" w:type="dxa"/>
          </w:tcPr>
          <w:p w14:paraId="3BAD7584" w14:textId="77777777" w:rsidR="00F100E9" w:rsidRPr="001053FA" w:rsidRDefault="00F100E9" w:rsidP="00A51BDA">
            <w:pPr>
              <w:spacing w:before="60" w:after="60"/>
            </w:pPr>
            <w:r w:rsidRPr="001053FA">
              <w:rPr>
                <w:szCs w:val="20"/>
              </w:rPr>
              <w:t>www.w</w:t>
            </w:r>
            <w:r>
              <w:rPr>
                <w:szCs w:val="20"/>
              </w:rPr>
              <w:t>orksafe</w:t>
            </w:r>
            <w:r w:rsidRPr="001053FA">
              <w:rPr>
                <w:szCs w:val="20"/>
              </w:rPr>
              <w:t>.tas.gov.au</w:t>
            </w:r>
          </w:p>
        </w:tc>
      </w:tr>
      <w:tr w:rsidR="00F100E9" w:rsidRPr="001053FA" w14:paraId="1B20DBBF" w14:textId="77777777" w:rsidTr="00A51BDA">
        <w:tc>
          <w:tcPr>
            <w:tcW w:w="2501" w:type="dxa"/>
          </w:tcPr>
          <w:p w14:paraId="0477AC2C" w14:textId="77777777" w:rsidR="00F100E9" w:rsidRPr="001053FA" w:rsidRDefault="00F100E9" w:rsidP="00A51BDA">
            <w:pPr>
              <w:spacing w:before="60" w:after="60"/>
            </w:pPr>
            <w:r w:rsidRPr="00B8492F">
              <w:rPr>
                <w:lang w:eastAsia="en-AU"/>
              </w:rPr>
              <w:t>Northern Territory</w:t>
            </w:r>
          </w:p>
        </w:tc>
        <w:tc>
          <w:tcPr>
            <w:tcW w:w="2470" w:type="dxa"/>
          </w:tcPr>
          <w:p w14:paraId="7E14B9BF" w14:textId="77777777" w:rsidR="00F100E9" w:rsidRPr="001053FA" w:rsidRDefault="00F100E9" w:rsidP="00A51BDA">
            <w:pPr>
              <w:spacing w:before="60" w:after="60"/>
            </w:pPr>
            <w:r w:rsidRPr="00B8492F">
              <w:t>NT WorkSafe</w:t>
            </w:r>
          </w:p>
        </w:tc>
        <w:tc>
          <w:tcPr>
            <w:tcW w:w="2432" w:type="dxa"/>
          </w:tcPr>
          <w:p w14:paraId="7C26C334" w14:textId="77777777" w:rsidR="00F100E9" w:rsidRPr="001053FA" w:rsidRDefault="00F100E9" w:rsidP="00A51BDA">
            <w:pPr>
              <w:spacing w:before="60" w:after="60"/>
            </w:pPr>
            <w:r w:rsidRPr="00B8492F">
              <w:t>1800 019 115</w:t>
            </w:r>
          </w:p>
        </w:tc>
        <w:tc>
          <w:tcPr>
            <w:tcW w:w="3335" w:type="dxa"/>
          </w:tcPr>
          <w:p w14:paraId="761B949A" w14:textId="77777777" w:rsidR="00F100E9" w:rsidRPr="001053FA" w:rsidRDefault="00F100E9" w:rsidP="00A51BDA">
            <w:pPr>
              <w:spacing w:before="60" w:after="60"/>
            </w:pPr>
            <w:r w:rsidRPr="001053FA">
              <w:rPr>
                <w:szCs w:val="20"/>
                <w:lang w:eastAsia="en-AU"/>
              </w:rPr>
              <w:t>www.worksafe.nt.gov.au</w:t>
            </w:r>
          </w:p>
        </w:tc>
      </w:tr>
    </w:tbl>
    <w:p w14:paraId="52A66982" w14:textId="76249787" w:rsidR="00A06A1E" w:rsidRPr="00FF5AE6" w:rsidRDefault="00A06A1E" w:rsidP="00F100E9">
      <w:pPr>
        <w:pStyle w:val="Heading1"/>
      </w:pPr>
      <w:r w:rsidRPr="00FF5AE6">
        <w:t>Contact us</w:t>
      </w:r>
    </w:p>
    <w:p w14:paraId="4F11E6A5" w14:textId="7A9B333F" w:rsidR="003478B9" w:rsidRDefault="00A06A1E" w:rsidP="00A06A1E">
      <w:pPr>
        <w:rPr>
          <w:rStyle w:val="Hyperlink"/>
        </w:rPr>
      </w:pPr>
      <w:r>
        <w:t xml:space="preserve">For further information please contact us on 1800 019 115, via email at </w:t>
      </w:r>
      <w:hyperlink r:id="rId11" w:history="1">
        <w:r w:rsidRPr="001D037A">
          <w:rPr>
            <w:rStyle w:val="Hyperlink"/>
          </w:rPr>
          <w:t>ntworksafe@nt.gov.au</w:t>
        </w:r>
      </w:hyperlink>
      <w:r>
        <w:t xml:space="preserve"> or go to the NT WorkSafe website at </w:t>
      </w:r>
      <w:hyperlink r:id="rId12" w:history="1">
        <w:r w:rsidR="003478B9" w:rsidRPr="0048326C">
          <w:rPr>
            <w:rStyle w:val="Hyperlink"/>
          </w:rPr>
          <w:t>www.worksafe.nt.gov.au</w:t>
        </w:r>
      </w:hyperlink>
      <w:r w:rsidR="00740C6B">
        <w:rPr>
          <w:rStyle w:val="Hyperlink"/>
        </w:rPr>
        <w:t>.</w:t>
      </w:r>
    </w:p>
    <w:p w14:paraId="08FCD5DA" w14:textId="77777777" w:rsidR="00F100E9" w:rsidRDefault="00F100E9" w:rsidP="00740C6B">
      <w:pPr>
        <w:rPr>
          <w:b/>
          <w:sz w:val="16"/>
          <w:szCs w:val="16"/>
        </w:rPr>
      </w:pPr>
    </w:p>
    <w:p w14:paraId="66A4C4EA" w14:textId="77777777" w:rsidR="00F100E9" w:rsidRDefault="00F100E9" w:rsidP="00740C6B">
      <w:pPr>
        <w:rPr>
          <w:b/>
          <w:sz w:val="16"/>
          <w:szCs w:val="16"/>
        </w:rPr>
      </w:pPr>
    </w:p>
    <w:p w14:paraId="5A23321A" w14:textId="77777777" w:rsidR="00F100E9" w:rsidRDefault="00F100E9" w:rsidP="00740C6B">
      <w:pPr>
        <w:rPr>
          <w:b/>
          <w:sz w:val="16"/>
          <w:szCs w:val="16"/>
        </w:rPr>
      </w:pPr>
    </w:p>
    <w:p w14:paraId="1345FB45" w14:textId="77777777" w:rsidR="00F100E9" w:rsidRDefault="00F100E9" w:rsidP="00740C6B">
      <w:pPr>
        <w:rPr>
          <w:b/>
          <w:sz w:val="16"/>
          <w:szCs w:val="16"/>
        </w:rPr>
      </w:pPr>
    </w:p>
    <w:p w14:paraId="7EC54826" w14:textId="77777777" w:rsidR="00F100E9" w:rsidRDefault="00F100E9" w:rsidP="00740C6B">
      <w:pPr>
        <w:rPr>
          <w:b/>
          <w:sz w:val="16"/>
          <w:szCs w:val="16"/>
        </w:rPr>
      </w:pPr>
    </w:p>
    <w:p w14:paraId="716DE1F2" w14:textId="77777777" w:rsidR="00F100E9" w:rsidRDefault="00F100E9" w:rsidP="00740C6B">
      <w:pPr>
        <w:rPr>
          <w:b/>
          <w:sz w:val="16"/>
          <w:szCs w:val="16"/>
        </w:rPr>
      </w:pPr>
    </w:p>
    <w:p w14:paraId="2F09E13D" w14:textId="77777777" w:rsidR="00740C6B" w:rsidRPr="001053FA" w:rsidRDefault="00740C6B" w:rsidP="00740C6B">
      <w:pPr>
        <w:rPr>
          <w:rFonts w:cs="Arial"/>
          <w:b/>
          <w:color w:val="000000"/>
          <w:sz w:val="16"/>
          <w:szCs w:val="16"/>
        </w:rPr>
      </w:pPr>
      <w:r w:rsidRPr="001053FA">
        <w:rPr>
          <w:b/>
          <w:sz w:val="16"/>
          <w:szCs w:val="16"/>
        </w:rPr>
        <w:t>DISCLAIMER</w:t>
      </w:r>
    </w:p>
    <w:p w14:paraId="0A97BF86" w14:textId="732C8CE4" w:rsidR="00740C6B" w:rsidRDefault="00740C6B" w:rsidP="00A06A1E">
      <w:r w:rsidRPr="001053FA">
        <w:rPr>
          <w:rFonts w:cs="Arial"/>
          <w:sz w:val="16"/>
          <w:szCs w:val="16"/>
        </w:rPr>
        <w:t xml:space="preserve">This publication contains information regarding work health and safety. It includes some of your obligations under the </w:t>
      </w:r>
      <w:r w:rsidRPr="001053FA">
        <w:rPr>
          <w:rFonts w:cs="Arial"/>
          <w:i/>
          <w:sz w:val="16"/>
          <w:szCs w:val="16"/>
        </w:rPr>
        <w:t>Work Health and Safety (National Uniform Legislation) Act</w:t>
      </w:r>
      <w:r w:rsidRPr="001053FA">
        <w:rPr>
          <w:rFonts w:cs="Arial"/>
          <w:sz w:val="16"/>
          <w:szCs w:val="16"/>
        </w:rPr>
        <w:t xml:space="preserve"> </w:t>
      </w:r>
      <w:r>
        <w:rPr>
          <w:rFonts w:cs="Arial"/>
          <w:sz w:val="16"/>
          <w:szCs w:val="16"/>
        </w:rPr>
        <w:t xml:space="preserve">– the WHS (NUL) Act – </w:t>
      </w:r>
      <w:r w:rsidRPr="001053FA">
        <w:rPr>
          <w:rFonts w:cs="Arial"/>
          <w:sz w:val="16"/>
          <w:szCs w:val="16"/>
        </w:rPr>
        <w:t>that NT WorkSafe administers. The information provided is a guide only and must be read in conjunction with the appropriate legislation to ensure you understand and comply with your legal obligations. NT WorkSafe does not warrant the information in this publication is complete or up-to-date and does not accept any liability for the information in this report or as to its use.</w:t>
      </w:r>
    </w:p>
    <w:sectPr w:rsidR="00740C6B" w:rsidSect="00E73B01">
      <w:headerReference w:type="even" r:id="rId13"/>
      <w:headerReference w:type="default" r:id="rId14"/>
      <w:footerReference w:type="default" r:id="rId15"/>
      <w:headerReference w:type="first" r:id="rId16"/>
      <w:footerReference w:type="first" r:id="rId17"/>
      <w:type w:val="continuous"/>
      <w:pgSz w:w="11906" w:h="16838" w:code="9"/>
      <w:pgMar w:top="1701" w:right="567" w:bottom="907" w:left="567"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ED3972" w14:textId="77777777" w:rsidR="00487B02" w:rsidRDefault="00487B02" w:rsidP="00E73B01">
      <w:r>
        <w:separator/>
      </w:r>
    </w:p>
  </w:endnote>
  <w:endnote w:type="continuationSeparator" w:id="0">
    <w:p w14:paraId="1D666CBF" w14:textId="77777777" w:rsidR="00487B02" w:rsidRDefault="00487B02" w:rsidP="00E73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6945472"/>
      <w:docPartObj>
        <w:docPartGallery w:val="Page Numbers (Bottom of Page)"/>
        <w:docPartUnique/>
      </w:docPartObj>
    </w:sdtPr>
    <w:sdtEndPr/>
    <w:sdtContent>
      <w:p w14:paraId="480385AF" w14:textId="77777777" w:rsidR="00E27344" w:rsidRDefault="002F3E97" w:rsidP="00E73B01">
        <w:pPr>
          <w:pStyle w:val="Footer"/>
          <w:tabs>
            <w:tab w:val="clear" w:pos="4513"/>
            <w:tab w:val="clear" w:pos="9026"/>
            <w:tab w:val="right" w:pos="10773"/>
          </w:tabs>
          <w:ind w:left="-567"/>
        </w:pPr>
        <w:r>
          <w:rPr>
            <w:noProof/>
            <w:lang w:eastAsia="en-AU"/>
          </w:rPr>
          <w:drawing>
            <wp:inline distT="0" distB="0" distL="0" distR="0" wp14:anchorId="480385B8" wp14:editId="480385B9">
              <wp:extent cx="2246110" cy="190244"/>
              <wp:effectExtent l="0" t="0" r="1905" b="635"/>
              <wp:docPr id="8" name="Picture 8" descr="www.worksafe.n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Safe Footer 2nd.jpg"/>
                      <pic:cNvPicPr/>
                    </pic:nvPicPr>
                    <pic:blipFill>
                      <a:blip r:embed="rId1">
                        <a:extLst>
                          <a:ext uri="{28A0092B-C50C-407E-A947-70E740481C1C}">
                            <a14:useLocalDpi xmlns:a14="http://schemas.microsoft.com/office/drawing/2010/main" val="0"/>
                          </a:ext>
                        </a:extLst>
                      </a:blip>
                      <a:stretch>
                        <a:fillRect/>
                      </a:stretch>
                    </pic:blipFill>
                    <pic:spPr>
                      <a:xfrm>
                        <a:off x="0" y="0"/>
                        <a:ext cx="2246110" cy="190244"/>
                      </a:xfrm>
                      <a:prstGeom prst="rect">
                        <a:avLst/>
                      </a:prstGeom>
                    </pic:spPr>
                  </pic:pic>
                </a:graphicData>
              </a:graphic>
            </wp:inline>
          </w:drawing>
        </w:r>
        <w:r>
          <w:tab/>
        </w:r>
        <w:r w:rsidR="00FA5776" w:rsidRPr="007278C5">
          <w:fldChar w:fldCharType="begin"/>
        </w:r>
        <w:r w:rsidR="007278C5" w:rsidRPr="007278C5">
          <w:instrText xml:space="preserve"> PAGE   \* MERGEFORMAT </w:instrText>
        </w:r>
        <w:r w:rsidR="00FA5776" w:rsidRPr="007278C5">
          <w:fldChar w:fldCharType="separate"/>
        </w:r>
        <w:r w:rsidR="005A2778">
          <w:rPr>
            <w:noProof/>
          </w:rPr>
          <w:t>5</w:t>
        </w:r>
        <w:r w:rsidR="00FA5776" w:rsidRPr="007278C5">
          <w:fldChar w:fldCharType="end"/>
        </w:r>
      </w:p>
      <w:p w14:paraId="480385B0" w14:textId="52738DBA" w:rsidR="00A872D9" w:rsidRPr="00E27344" w:rsidRDefault="00E27344" w:rsidP="00DA5753">
        <w:pPr>
          <w:pStyle w:val="Footer"/>
          <w:tabs>
            <w:tab w:val="clear" w:pos="4513"/>
            <w:tab w:val="clear" w:pos="9026"/>
            <w:tab w:val="right" w:pos="10773"/>
          </w:tabs>
          <w:spacing w:after="240"/>
          <w:ind w:left="-567"/>
        </w:pPr>
        <w:r>
          <w:tab/>
        </w:r>
        <w:r w:rsidR="00F100E9">
          <w:rPr>
            <w:szCs w:val="20"/>
          </w:rPr>
          <w:t>G</w:t>
        </w:r>
        <w:r w:rsidR="00F100E9" w:rsidRPr="00732ACB">
          <w:rPr>
            <w:szCs w:val="20"/>
          </w:rPr>
          <w:t>uide</w:t>
        </w:r>
        <w:r w:rsidR="00F100E9">
          <w:rPr>
            <w:szCs w:val="20"/>
          </w:rPr>
          <w:t xml:space="preserve"> to </w:t>
        </w:r>
        <w:r w:rsidR="00F100E9" w:rsidRPr="00732ACB">
          <w:rPr>
            <w:szCs w:val="20"/>
          </w:rPr>
          <w:t>authorisation</w:t>
        </w:r>
        <w:r w:rsidR="00F100E9">
          <w:rPr>
            <w:szCs w:val="20"/>
          </w:rPr>
          <w:t xml:space="preserve"> </w:t>
        </w:r>
        <w:r w:rsidR="00F100E9" w:rsidRPr="00732ACB">
          <w:rPr>
            <w:szCs w:val="20"/>
          </w:rPr>
          <w:t>to</w:t>
        </w:r>
        <w:r w:rsidR="00F100E9">
          <w:rPr>
            <w:szCs w:val="20"/>
          </w:rPr>
          <w:t xml:space="preserve"> </w:t>
        </w:r>
        <w:r w:rsidR="00F100E9" w:rsidRPr="00732ACB">
          <w:rPr>
            <w:szCs w:val="20"/>
          </w:rPr>
          <w:t>use</w:t>
        </w:r>
        <w:r w:rsidR="00F100E9">
          <w:rPr>
            <w:szCs w:val="20"/>
          </w:rPr>
          <w:t xml:space="preserve">, </w:t>
        </w:r>
        <w:r w:rsidR="00F100E9" w:rsidRPr="00732ACB">
          <w:rPr>
            <w:szCs w:val="20"/>
          </w:rPr>
          <w:t>handle</w:t>
        </w:r>
        <w:r w:rsidR="00F100E9">
          <w:rPr>
            <w:szCs w:val="20"/>
          </w:rPr>
          <w:t xml:space="preserve"> </w:t>
        </w:r>
        <w:r w:rsidR="00F100E9" w:rsidRPr="00732ACB">
          <w:rPr>
            <w:szCs w:val="20"/>
          </w:rPr>
          <w:t>or</w:t>
        </w:r>
        <w:r w:rsidR="00F100E9">
          <w:rPr>
            <w:szCs w:val="20"/>
          </w:rPr>
          <w:t xml:space="preserve"> </w:t>
        </w:r>
        <w:r w:rsidR="00F100E9" w:rsidRPr="00732ACB">
          <w:rPr>
            <w:szCs w:val="20"/>
          </w:rPr>
          <w:t>store</w:t>
        </w:r>
        <w:r w:rsidR="00F100E9">
          <w:rPr>
            <w:szCs w:val="20"/>
          </w:rPr>
          <w:t xml:space="preserve"> </w:t>
        </w:r>
        <w:r w:rsidR="00F100E9" w:rsidRPr="00732ACB">
          <w:rPr>
            <w:szCs w:val="20"/>
          </w:rPr>
          <w:t>prohibited</w:t>
        </w:r>
        <w:r w:rsidR="00F100E9">
          <w:rPr>
            <w:szCs w:val="20"/>
          </w:rPr>
          <w:t xml:space="preserve"> </w:t>
        </w:r>
        <w:r w:rsidR="00F100E9" w:rsidRPr="00732ACB">
          <w:rPr>
            <w:szCs w:val="20"/>
          </w:rPr>
          <w:t>or</w:t>
        </w:r>
        <w:r w:rsidR="00F100E9">
          <w:rPr>
            <w:szCs w:val="20"/>
          </w:rPr>
          <w:t xml:space="preserve"> </w:t>
        </w:r>
        <w:r w:rsidR="00F100E9" w:rsidRPr="00732ACB">
          <w:rPr>
            <w:szCs w:val="20"/>
          </w:rPr>
          <w:t>restricted</w:t>
        </w:r>
        <w:r w:rsidR="00F100E9">
          <w:rPr>
            <w:szCs w:val="20"/>
          </w:rPr>
          <w:t xml:space="preserve"> </w:t>
        </w:r>
        <w:r w:rsidR="00F100E9" w:rsidRPr="00732ACB">
          <w:rPr>
            <w:szCs w:val="20"/>
          </w:rPr>
          <w:t xml:space="preserve">carcinogens </w:t>
        </w:r>
        <w:r w:rsidR="00B50196" w:rsidRPr="000E79D7">
          <w:rPr>
            <w:szCs w:val="20"/>
          </w:rPr>
          <w:t>(V</w:t>
        </w:r>
        <w:r w:rsidR="00F100E9">
          <w:rPr>
            <w:szCs w:val="20"/>
          </w:rPr>
          <w:t>1.2</w:t>
        </w:r>
        <w:r w:rsidR="00B50196" w:rsidRPr="000E79D7">
          <w:rPr>
            <w:szCs w:val="20"/>
          </w:rPr>
          <w:t xml:space="preserve"> – </w:t>
        </w:r>
        <w:r w:rsidR="00F100E9">
          <w:rPr>
            <w:szCs w:val="20"/>
          </w:rPr>
          <w:t>07 September 2018</w:t>
        </w:r>
        <w:r w:rsidR="00B50196" w:rsidRPr="000E79D7">
          <w:rPr>
            <w:szCs w:val="20"/>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385B3" w14:textId="77777777" w:rsidR="008901BF" w:rsidRPr="00550351" w:rsidRDefault="00550351" w:rsidP="00E73B01">
    <w:pPr>
      <w:pStyle w:val="Footer"/>
      <w:ind w:left="-567"/>
    </w:pPr>
    <w:r>
      <w:rPr>
        <w:noProof/>
        <w:lang w:eastAsia="en-AU"/>
      </w:rPr>
      <w:drawing>
        <wp:inline distT="0" distB="0" distL="0" distR="0" wp14:anchorId="480385BC" wp14:editId="643C86B9">
          <wp:extent cx="7577891" cy="818901"/>
          <wp:effectExtent l="0" t="0" r="4445"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Safe Footer 1s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7891" cy="81890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866253" w14:textId="77777777" w:rsidR="00487B02" w:rsidRDefault="00487B02" w:rsidP="00E73B01">
      <w:r>
        <w:separator/>
      </w:r>
    </w:p>
  </w:footnote>
  <w:footnote w:type="continuationSeparator" w:id="0">
    <w:p w14:paraId="52F8F142" w14:textId="77777777" w:rsidR="00487B02" w:rsidRDefault="00487B02" w:rsidP="00E73B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385AB" w14:textId="77777777" w:rsidR="00DF6EB7" w:rsidRDefault="00DF6EB7" w:rsidP="00E73B01">
    <w:pPr>
      <w:pStyle w:val="Header"/>
    </w:pPr>
    <w:r>
      <w:rPr>
        <w:noProof/>
        <w:lang w:eastAsia="en-AU"/>
      </w:rPr>
      <w:drawing>
        <wp:inline distT="0" distB="0" distL="0" distR="0" wp14:anchorId="480385B4" wp14:editId="480385B5">
          <wp:extent cx="7955650" cy="923925"/>
          <wp:effectExtent l="0" t="0" r="7620" b="0"/>
          <wp:docPr id="6" name="Picture 6" descr="NT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Safe Header 2nd.jpg"/>
                  <pic:cNvPicPr/>
                </pic:nvPicPr>
                <pic:blipFill>
                  <a:blip r:embed="rId1">
                    <a:extLst>
                      <a:ext uri="{28A0092B-C50C-407E-A947-70E740481C1C}">
                        <a14:useLocalDpi xmlns:a14="http://schemas.microsoft.com/office/drawing/2010/main" val="0"/>
                      </a:ext>
                    </a:extLst>
                  </a:blip>
                  <a:stretch>
                    <a:fillRect/>
                  </a:stretch>
                </pic:blipFill>
                <pic:spPr>
                  <a:xfrm>
                    <a:off x="0" y="0"/>
                    <a:ext cx="7995862" cy="928595"/>
                  </a:xfrm>
                  <a:prstGeom prst="rect">
                    <a:avLst/>
                  </a:prstGeom>
                </pic:spPr>
              </pic:pic>
            </a:graphicData>
          </a:graphic>
        </wp:inline>
      </w:drawing>
    </w:r>
  </w:p>
  <w:p w14:paraId="480385AC" w14:textId="77777777" w:rsidR="00DF6EB7" w:rsidRDefault="00DF6EB7" w:rsidP="00E73B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385AD" w14:textId="77777777" w:rsidR="00A872D9" w:rsidRDefault="002F3E97" w:rsidP="00E73B01">
    <w:pPr>
      <w:pStyle w:val="Header"/>
      <w:ind w:left="-567"/>
    </w:pPr>
    <w:r>
      <w:rPr>
        <w:noProof/>
        <w:lang w:eastAsia="en-AU"/>
      </w:rPr>
      <w:drawing>
        <wp:inline distT="0" distB="0" distL="0" distR="0" wp14:anchorId="480385B6" wp14:editId="480385B7">
          <wp:extent cx="7955650" cy="923925"/>
          <wp:effectExtent l="0" t="0" r="7620" b="0"/>
          <wp:docPr id="7" name="Picture 7" descr="NT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Safe Header 2nd.jpg"/>
                  <pic:cNvPicPr/>
                </pic:nvPicPr>
                <pic:blipFill>
                  <a:blip r:embed="rId1">
                    <a:extLst>
                      <a:ext uri="{28A0092B-C50C-407E-A947-70E740481C1C}">
                        <a14:useLocalDpi xmlns:a14="http://schemas.microsoft.com/office/drawing/2010/main" val="0"/>
                      </a:ext>
                    </a:extLst>
                  </a:blip>
                  <a:stretch>
                    <a:fillRect/>
                  </a:stretch>
                </pic:blipFill>
                <pic:spPr>
                  <a:xfrm>
                    <a:off x="0" y="0"/>
                    <a:ext cx="7995862" cy="92859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385B1" w14:textId="77777777" w:rsidR="008901BF" w:rsidRDefault="000606D9" w:rsidP="00E73B01">
    <w:pPr>
      <w:pStyle w:val="Header"/>
      <w:ind w:left="-567"/>
    </w:pPr>
    <w:r>
      <w:rPr>
        <w:noProof/>
        <w:lang w:eastAsia="en-AU"/>
      </w:rPr>
      <w:drawing>
        <wp:inline distT="0" distB="0" distL="0" distR="0" wp14:anchorId="480385BA" wp14:editId="480385BB">
          <wp:extent cx="7572375" cy="1628775"/>
          <wp:effectExtent l="0" t="0" r="0" b="9525"/>
          <wp:docPr id="9" name="Picture 9" descr="NT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Safe Header 1st.jpg"/>
                  <pic:cNvPicPr/>
                </pic:nvPicPr>
                <pic:blipFill>
                  <a:blip r:embed="rId1">
                    <a:extLst>
                      <a:ext uri="{28A0092B-C50C-407E-A947-70E740481C1C}">
                        <a14:useLocalDpi xmlns:a14="http://schemas.microsoft.com/office/drawing/2010/main" val="0"/>
                      </a:ext>
                    </a:extLst>
                  </a:blip>
                  <a:stretch>
                    <a:fillRect/>
                  </a:stretch>
                </pic:blipFill>
                <pic:spPr>
                  <a:xfrm>
                    <a:off x="0" y="0"/>
                    <a:ext cx="7574591" cy="1629252"/>
                  </a:xfrm>
                  <a:prstGeom prst="rect">
                    <a:avLst/>
                  </a:prstGeom>
                </pic:spPr>
              </pic:pic>
            </a:graphicData>
          </a:graphic>
        </wp:inline>
      </w:drawing>
    </w:r>
  </w:p>
  <w:p w14:paraId="480385B2" w14:textId="68616E52" w:rsidR="00550351" w:rsidRPr="00550351" w:rsidRDefault="00A868F6" w:rsidP="00A06A1E">
    <w:pPr>
      <w:pStyle w:val="Subtitle"/>
    </w:pPr>
    <w:r>
      <w:t>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D4DD0"/>
    <w:multiLevelType w:val="hybridMultilevel"/>
    <w:tmpl w:val="BF26AE98"/>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576153"/>
    <w:multiLevelType w:val="hybridMultilevel"/>
    <w:tmpl w:val="D56C4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7D7D14"/>
    <w:multiLevelType w:val="hybridMultilevel"/>
    <w:tmpl w:val="56BE495C"/>
    <w:lvl w:ilvl="0" w:tplc="1B9C9768">
      <w:start w:val="1"/>
      <w:numFmt w:val="bullet"/>
      <w:lvlText w:val=""/>
      <w:lvlJc w:val="left"/>
      <w:pPr>
        <w:tabs>
          <w:tab w:val="num" w:pos="720"/>
        </w:tabs>
        <w:ind w:left="720" w:hanging="363"/>
      </w:pPr>
      <w:rPr>
        <w:rFonts w:ascii="Symbol" w:hAnsi="Symbol" w:hint="default"/>
      </w:rPr>
    </w:lvl>
    <w:lvl w:ilvl="1" w:tplc="5188456A">
      <w:start w:val="1"/>
      <w:numFmt w:val="bullet"/>
      <w:lvlText w:val="­"/>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331C70"/>
    <w:multiLevelType w:val="hybridMultilevel"/>
    <w:tmpl w:val="6F9AC09E"/>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87024"/>
    <w:multiLevelType w:val="hybridMultilevel"/>
    <w:tmpl w:val="A11AEE66"/>
    <w:lvl w:ilvl="0" w:tplc="1B9C9768">
      <w:start w:val="1"/>
      <w:numFmt w:val="bullet"/>
      <w:lvlText w:val=""/>
      <w:lvlJc w:val="left"/>
      <w:pPr>
        <w:tabs>
          <w:tab w:val="num" w:pos="720"/>
        </w:tabs>
        <w:ind w:left="720" w:hanging="363"/>
      </w:pPr>
      <w:rPr>
        <w:rFonts w:ascii="Symbol" w:hAnsi="Symbol" w:hint="default"/>
      </w:rPr>
    </w:lvl>
    <w:lvl w:ilvl="1" w:tplc="5188456A">
      <w:start w:val="1"/>
      <w:numFmt w:val="bullet"/>
      <w:lvlText w:val="­"/>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BD4AEE"/>
    <w:multiLevelType w:val="hybridMultilevel"/>
    <w:tmpl w:val="A40AAFF2"/>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DB6FCB"/>
    <w:multiLevelType w:val="hybridMultilevel"/>
    <w:tmpl w:val="1C4E6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74B0594"/>
    <w:multiLevelType w:val="hybridMultilevel"/>
    <w:tmpl w:val="71A2A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9583608"/>
    <w:multiLevelType w:val="hybridMultilevel"/>
    <w:tmpl w:val="023C1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AD12245"/>
    <w:multiLevelType w:val="hybridMultilevel"/>
    <w:tmpl w:val="EC005A7E"/>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D36435"/>
    <w:multiLevelType w:val="hybridMultilevel"/>
    <w:tmpl w:val="436CD80C"/>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6646FD"/>
    <w:multiLevelType w:val="hybridMultilevel"/>
    <w:tmpl w:val="3CB8AB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90278B5"/>
    <w:multiLevelType w:val="hybridMultilevel"/>
    <w:tmpl w:val="765C319C"/>
    <w:lvl w:ilvl="0" w:tplc="1B9C9768">
      <w:start w:val="1"/>
      <w:numFmt w:val="bullet"/>
      <w:lvlText w:val=""/>
      <w:lvlJc w:val="left"/>
      <w:pPr>
        <w:tabs>
          <w:tab w:val="num" w:pos="720"/>
        </w:tabs>
        <w:ind w:left="720" w:hanging="363"/>
      </w:pPr>
      <w:rPr>
        <w:rFonts w:ascii="Symbol" w:hAnsi="Symbol" w:hint="default"/>
      </w:rPr>
    </w:lvl>
    <w:lvl w:ilvl="1" w:tplc="5188456A">
      <w:start w:val="1"/>
      <w:numFmt w:val="bullet"/>
      <w:lvlText w:val="­"/>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095AA1"/>
    <w:multiLevelType w:val="hybridMultilevel"/>
    <w:tmpl w:val="5162A132"/>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FB074A"/>
    <w:multiLevelType w:val="hybridMultilevel"/>
    <w:tmpl w:val="87B801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AD37903"/>
    <w:multiLevelType w:val="hybridMultilevel"/>
    <w:tmpl w:val="0C7407CC"/>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33022E"/>
    <w:multiLevelType w:val="hybridMultilevel"/>
    <w:tmpl w:val="759E9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8436654"/>
    <w:multiLevelType w:val="hybridMultilevel"/>
    <w:tmpl w:val="F86A8CF6"/>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AA5A39"/>
    <w:multiLevelType w:val="hybridMultilevel"/>
    <w:tmpl w:val="F454EE1E"/>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AE7DAF"/>
    <w:multiLevelType w:val="hybridMultilevel"/>
    <w:tmpl w:val="EBACB6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12"/>
  </w:num>
  <w:num w:numId="4">
    <w:abstractNumId w:val="18"/>
  </w:num>
  <w:num w:numId="5">
    <w:abstractNumId w:val="9"/>
  </w:num>
  <w:num w:numId="6">
    <w:abstractNumId w:val="3"/>
  </w:num>
  <w:num w:numId="7">
    <w:abstractNumId w:val="13"/>
  </w:num>
  <w:num w:numId="8">
    <w:abstractNumId w:val="10"/>
  </w:num>
  <w:num w:numId="9">
    <w:abstractNumId w:val="4"/>
  </w:num>
  <w:num w:numId="10">
    <w:abstractNumId w:val="2"/>
  </w:num>
  <w:num w:numId="11">
    <w:abstractNumId w:val="17"/>
  </w:num>
  <w:num w:numId="12">
    <w:abstractNumId w:val="5"/>
  </w:num>
  <w:num w:numId="13">
    <w:abstractNumId w:val="1"/>
  </w:num>
  <w:num w:numId="14">
    <w:abstractNumId w:val="7"/>
  </w:num>
  <w:num w:numId="15">
    <w:abstractNumId w:val="11"/>
  </w:num>
  <w:num w:numId="16">
    <w:abstractNumId w:val="6"/>
  </w:num>
  <w:num w:numId="17">
    <w:abstractNumId w:val="19"/>
  </w:num>
  <w:num w:numId="18">
    <w:abstractNumId w:val="14"/>
  </w:num>
  <w:num w:numId="19">
    <w:abstractNumId w:val="8"/>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EB7"/>
    <w:rsid w:val="00011823"/>
    <w:rsid w:val="000606D9"/>
    <w:rsid w:val="001F03BE"/>
    <w:rsid w:val="002408E3"/>
    <w:rsid w:val="002A41FB"/>
    <w:rsid w:val="002F3E97"/>
    <w:rsid w:val="00307B76"/>
    <w:rsid w:val="00307E70"/>
    <w:rsid w:val="00310ADC"/>
    <w:rsid w:val="003165E1"/>
    <w:rsid w:val="003478B9"/>
    <w:rsid w:val="003514FA"/>
    <w:rsid w:val="003D7C13"/>
    <w:rsid w:val="00487B02"/>
    <w:rsid w:val="004A1B2B"/>
    <w:rsid w:val="00507331"/>
    <w:rsid w:val="0053256B"/>
    <w:rsid w:val="00550351"/>
    <w:rsid w:val="00551407"/>
    <w:rsid w:val="005770AC"/>
    <w:rsid w:val="005A2778"/>
    <w:rsid w:val="005C5FB5"/>
    <w:rsid w:val="006370E6"/>
    <w:rsid w:val="0066252B"/>
    <w:rsid w:val="00685D69"/>
    <w:rsid w:val="0070276A"/>
    <w:rsid w:val="00727842"/>
    <w:rsid w:val="007278C5"/>
    <w:rsid w:val="00740C6B"/>
    <w:rsid w:val="007D47E0"/>
    <w:rsid w:val="007F6818"/>
    <w:rsid w:val="00852250"/>
    <w:rsid w:val="00856EB0"/>
    <w:rsid w:val="008901BF"/>
    <w:rsid w:val="008A7733"/>
    <w:rsid w:val="008C1BD8"/>
    <w:rsid w:val="008E160C"/>
    <w:rsid w:val="009559B8"/>
    <w:rsid w:val="00A06138"/>
    <w:rsid w:val="00A06A1E"/>
    <w:rsid w:val="00A42D1C"/>
    <w:rsid w:val="00A75DE9"/>
    <w:rsid w:val="00A868F6"/>
    <w:rsid w:val="00A872D9"/>
    <w:rsid w:val="00B50196"/>
    <w:rsid w:val="00B912DB"/>
    <w:rsid w:val="00C01F77"/>
    <w:rsid w:val="00CA3078"/>
    <w:rsid w:val="00CB480E"/>
    <w:rsid w:val="00CB793E"/>
    <w:rsid w:val="00CD3184"/>
    <w:rsid w:val="00CE5F78"/>
    <w:rsid w:val="00DA5753"/>
    <w:rsid w:val="00DF6EB7"/>
    <w:rsid w:val="00E1075C"/>
    <w:rsid w:val="00E27344"/>
    <w:rsid w:val="00E317B6"/>
    <w:rsid w:val="00E73B01"/>
    <w:rsid w:val="00E95DC3"/>
    <w:rsid w:val="00EA1072"/>
    <w:rsid w:val="00ED2575"/>
    <w:rsid w:val="00F100E9"/>
    <w:rsid w:val="00F34049"/>
    <w:rsid w:val="00FA5776"/>
    <w:rsid w:val="00FB0216"/>
    <w:rsid w:val="00FF5A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03859D"/>
  <w15:docId w15:val="{C8ADB120-13E9-404E-A991-4835BFA22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B01"/>
    <w:pPr>
      <w:spacing w:line="240" w:lineRule="auto"/>
    </w:pPr>
    <w:rPr>
      <w:rFonts w:ascii="Arial" w:hAnsi="Arial"/>
    </w:rPr>
  </w:style>
  <w:style w:type="paragraph" w:styleId="Heading1">
    <w:name w:val="heading 1"/>
    <w:basedOn w:val="Normal"/>
    <w:next w:val="Normal"/>
    <w:link w:val="Heading1Char"/>
    <w:uiPriority w:val="9"/>
    <w:qFormat/>
    <w:rsid w:val="00E73B01"/>
    <w:pPr>
      <w:keepNext/>
      <w:keepLines/>
      <w:spacing w:before="360" w:after="12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E73B01"/>
    <w:pPr>
      <w:keepNext/>
      <w:keepLines/>
      <w:spacing w:before="360" w:after="120"/>
      <w:outlineLvl w:val="1"/>
    </w:pPr>
    <w:rPr>
      <w:rFonts w:eastAsiaTheme="majorEastAsia" w:cstheme="majorBidi"/>
      <w:b/>
      <w:bCs/>
      <w:color w:val="808080" w:themeColor="background1" w:themeShade="80"/>
      <w:sz w:val="24"/>
      <w:szCs w:val="24"/>
    </w:rPr>
  </w:style>
  <w:style w:type="paragraph" w:styleId="Heading3">
    <w:name w:val="heading 3"/>
    <w:basedOn w:val="Normal"/>
    <w:next w:val="Normal"/>
    <w:link w:val="Heading3Char"/>
    <w:uiPriority w:val="9"/>
    <w:unhideWhenUsed/>
    <w:rsid w:val="00E73B01"/>
    <w:pPr>
      <w:keepNext/>
      <w:keepLines/>
      <w:spacing w:before="360" w:after="120"/>
      <w:outlineLvl w:val="2"/>
    </w:pPr>
    <w:rPr>
      <w:rFonts w:eastAsiaTheme="majorEastAsia" w:cstheme="majorBidi"/>
      <w:b/>
      <w:bCs/>
    </w:rPr>
  </w:style>
  <w:style w:type="paragraph" w:styleId="Heading4">
    <w:name w:val="heading 4"/>
    <w:basedOn w:val="Normal"/>
    <w:next w:val="Normal"/>
    <w:link w:val="Heading4Char"/>
    <w:uiPriority w:val="9"/>
    <w:semiHidden/>
    <w:unhideWhenUsed/>
    <w:rsid w:val="00E73B01"/>
    <w:pPr>
      <w:keepNext/>
      <w:keepLines/>
      <w:spacing w:before="360" w:after="120"/>
      <w:outlineLvl w:val="3"/>
    </w:pPr>
    <w:rPr>
      <w:rFonts w:eastAsiaTheme="majorEastAsia" w:cstheme="majorBidi"/>
      <w:b/>
      <w:bCs/>
      <w:iCs/>
      <w:color w:val="808080" w:themeColor="background1" w:themeShade="8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0351"/>
    <w:pPr>
      <w:tabs>
        <w:tab w:val="center" w:pos="4513"/>
        <w:tab w:val="right" w:pos="9026"/>
      </w:tabs>
      <w:spacing w:after="0"/>
      <w:ind w:right="-567"/>
    </w:pPr>
    <w:rPr>
      <w:b/>
      <w:color w:val="DB7310"/>
      <w:sz w:val="36"/>
      <w:szCs w:val="36"/>
    </w:rPr>
  </w:style>
  <w:style w:type="character" w:customStyle="1" w:styleId="HeaderChar">
    <w:name w:val="Header Char"/>
    <w:basedOn w:val="DefaultParagraphFont"/>
    <w:link w:val="Header"/>
    <w:uiPriority w:val="99"/>
    <w:rsid w:val="00550351"/>
    <w:rPr>
      <w:rFonts w:ascii="Arial" w:hAnsi="Arial"/>
      <w:b/>
      <w:color w:val="DB7310"/>
      <w:sz w:val="36"/>
      <w:szCs w:val="36"/>
      <w:lang w:val="en-US"/>
    </w:rPr>
  </w:style>
  <w:style w:type="paragraph" w:styleId="Footer">
    <w:name w:val="footer"/>
    <w:basedOn w:val="Normal"/>
    <w:link w:val="FooterChar"/>
    <w:uiPriority w:val="99"/>
    <w:unhideWhenUsed/>
    <w:rsid w:val="00E27344"/>
    <w:pPr>
      <w:tabs>
        <w:tab w:val="center" w:pos="4513"/>
        <w:tab w:val="right" w:pos="9026"/>
      </w:tabs>
      <w:spacing w:after="0"/>
    </w:pPr>
    <w:rPr>
      <w:sz w:val="20"/>
    </w:rPr>
  </w:style>
  <w:style w:type="character" w:customStyle="1" w:styleId="FooterChar">
    <w:name w:val="Footer Char"/>
    <w:basedOn w:val="DefaultParagraphFont"/>
    <w:link w:val="Footer"/>
    <w:uiPriority w:val="99"/>
    <w:rsid w:val="00E27344"/>
    <w:rPr>
      <w:rFonts w:ascii="Arial" w:hAnsi="Arial"/>
      <w:sz w:val="20"/>
    </w:rPr>
  </w:style>
  <w:style w:type="paragraph" w:styleId="BalloonText">
    <w:name w:val="Balloon Text"/>
    <w:basedOn w:val="Normal"/>
    <w:link w:val="BalloonTextChar"/>
    <w:uiPriority w:val="99"/>
    <w:semiHidden/>
    <w:unhideWhenUsed/>
    <w:rsid w:val="00A872D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2D9"/>
    <w:rPr>
      <w:rFonts w:ascii="Tahoma" w:hAnsi="Tahoma" w:cs="Tahoma"/>
      <w:sz w:val="16"/>
      <w:szCs w:val="16"/>
      <w:lang w:val="en-US"/>
    </w:rPr>
  </w:style>
  <w:style w:type="paragraph" w:styleId="NoSpacing">
    <w:name w:val="No Spacing"/>
    <w:uiPriority w:val="1"/>
    <w:rsid w:val="00E73B01"/>
    <w:pPr>
      <w:spacing w:after="0" w:line="240" w:lineRule="auto"/>
    </w:pPr>
    <w:rPr>
      <w:rFonts w:ascii="Arial" w:hAnsi="Arial"/>
    </w:rPr>
  </w:style>
  <w:style w:type="character" w:customStyle="1" w:styleId="Heading1Char">
    <w:name w:val="Heading 1 Char"/>
    <w:basedOn w:val="DefaultParagraphFont"/>
    <w:link w:val="Heading1"/>
    <w:uiPriority w:val="9"/>
    <w:rsid w:val="00E73B01"/>
    <w:rPr>
      <w:rFonts w:ascii="Arial" w:eastAsiaTheme="majorEastAsia" w:hAnsi="Arial" w:cstheme="majorBidi"/>
      <w:b/>
      <w:bCs/>
      <w:sz w:val="28"/>
      <w:szCs w:val="28"/>
      <w:lang w:val="en-US"/>
    </w:rPr>
  </w:style>
  <w:style w:type="character" w:customStyle="1" w:styleId="Heading2Char">
    <w:name w:val="Heading 2 Char"/>
    <w:basedOn w:val="DefaultParagraphFont"/>
    <w:link w:val="Heading2"/>
    <w:uiPriority w:val="9"/>
    <w:rsid w:val="00E73B01"/>
    <w:rPr>
      <w:rFonts w:ascii="Arial" w:eastAsiaTheme="majorEastAsia" w:hAnsi="Arial" w:cstheme="majorBidi"/>
      <w:b/>
      <w:bCs/>
      <w:color w:val="808080" w:themeColor="background1" w:themeShade="80"/>
      <w:sz w:val="24"/>
      <w:szCs w:val="24"/>
      <w:lang w:val="en-US"/>
    </w:rPr>
  </w:style>
  <w:style w:type="paragraph" w:styleId="Title">
    <w:name w:val="Title"/>
    <w:basedOn w:val="Normal"/>
    <w:next w:val="Normal"/>
    <w:link w:val="TitleChar"/>
    <w:uiPriority w:val="10"/>
    <w:qFormat/>
    <w:rsid w:val="00E73B01"/>
    <w:pPr>
      <w:numPr>
        <w:ilvl w:val="1"/>
      </w:numPr>
      <w:spacing w:before="240" w:after="120"/>
    </w:pPr>
    <w:rPr>
      <w:rFonts w:ascii="Arial Bold" w:eastAsiaTheme="majorEastAsia" w:hAnsi="Arial Bold" w:cstheme="majorBidi"/>
      <w:b/>
      <w:iCs/>
      <w:spacing w:val="15"/>
      <w:sz w:val="56"/>
      <w:szCs w:val="56"/>
    </w:rPr>
  </w:style>
  <w:style w:type="character" w:customStyle="1" w:styleId="TitleChar">
    <w:name w:val="Title Char"/>
    <w:basedOn w:val="DefaultParagraphFont"/>
    <w:link w:val="Title"/>
    <w:uiPriority w:val="10"/>
    <w:rsid w:val="00E73B01"/>
    <w:rPr>
      <w:rFonts w:ascii="Arial Bold" w:eastAsiaTheme="majorEastAsia" w:hAnsi="Arial Bold" w:cstheme="majorBidi"/>
      <w:b/>
      <w:iCs/>
      <w:spacing w:val="15"/>
      <w:sz w:val="56"/>
      <w:szCs w:val="56"/>
      <w:lang w:val="en-US"/>
    </w:rPr>
  </w:style>
  <w:style w:type="character" w:customStyle="1" w:styleId="Heading3Char">
    <w:name w:val="Heading 3 Char"/>
    <w:basedOn w:val="DefaultParagraphFont"/>
    <w:link w:val="Heading3"/>
    <w:uiPriority w:val="9"/>
    <w:rsid w:val="00E73B01"/>
    <w:rPr>
      <w:rFonts w:ascii="Arial" w:eastAsiaTheme="majorEastAsia" w:hAnsi="Arial" w:cstheme="majorBidi"/>
      <w:b/>
      <w:bCs/>
      <w:lang w:val="en-US"/>
    </w:rPr>
  </w:style>
  <w:style w:type="paragraph" w:styleId="Subtitle">
    <w:name w:val="Subtitle"/>
    <w:basedOn w:val="Normal"/>
    <w:next w:val="Normal"/>
    <w:link w:val="SubtitleChar"/>
    <w:uiPriority w:val="11"/>
    <w:qFormat/>
    <w:rsid w:val="00A06A1E"/>
    <w:pPr>
      <w:numPr>
        <w:ilvl w:val="1"/>
      </w:numPr>
      <w:spacing w:after="0"/>
    </w:pPr>
    <w:rPr>
      <w:rFonts w:ascii="Arial Bold" w:eastAsiaTheme="majorEastAsia" w:hAnsi="Arial Bold" w:cs="Arial"/>
      <w:b/>
      <w:iCs/>
      <w:color w:val="DB7310"/>
      <w:sz w:val="36"/>
      <w:szCs w:val="36"/>
    </w:rPr>
  </w:style>
  <w:style w:type="character" w:customStyle="1" w:styleId="SubtitleChar">
    <w:name w:val="Subtitle Char"/>
    <w:basedOn w:val="DefaultParagraphFont"/>
    <w:link w:val="Subtitle"/>
    <w:uiPriority w:val="11"/>
    <w:rsid w:val="00A06A1E"/>
    <w:rPr>
      <w:rFonts w:ascii="Arial Bold" w:eastAsiaTheme="majorEastAsia" w:hAnsi="Arial Bold" w:cs="Arial"/>
      <w:b/>
      <w:iCs/>
      <w:color w:val="DB7310"/>
      <w:sz w:val="36"/>
      <w:szCs w:val="36"/>
    </w:rPr>
  </w:style>
  <w:style w:type="character" w:customStyle="1" w:styleId="Heading4Char">
    <w:name w:val="Heading 4 Char"/>
    <w:basedOn w:val="DefaultParagraphFont"/>
    <w:link w:val="Heading4"/>
    <w:uiPriority w:val="9"/>
    <w:semiHidden/>
    <w:rsid w:val="00E73B01"/>
    <w:rPr>
      <w:rFonts w:ascii="Arial" w:eastAsiaTheme="majorEastAsia" w:hAnsi="Arial" w:cstheme="majorBidi"/>
      <w:b/>
      <w:bCs/>
      <w:iCs/>
      <w:color w:val="808080" w:themeColor="background1" w:themeShade="80"/>
      <w:sz w:val="20"/>
    </w:rPr>
  </w:style>
  <w:style w:type="paragraph" w:styleId="BodyText">
    <w:name w:val="Body Text"/>
    <w:basedOn w:val="Normal"/>
    <w:link w:val="BodyTextChar"/>
    <w:rsid w:val="00727842"/>
    <w:pPr>
      <w:spacing w:after="120"/>
    </w:pPr>
    <w:rPr>
      <w:rFonts w:eastAsia="Times New Roman" w:cs="Arial"/>
      <w:color w:val="3C3C3B"/>
      <w:lang w:val="en-US"/>
    </w:rPr>
  </w:style>
  <w:style w:type="character" w:customStyle="1" w:styleId="BodyTextChar">
    <w:name w:val="Body Text Char"/>
    <w:basedOn w:val="DefaultParagraphFont"/>
    <w:link w:val="BodyText"/>
    <w:rsid w:val="00727842"/>
    <w:rPr>
      <w:rFonts w:ascii="Arial" w:eastAsia="Times New Roman" w:hAnsi="Arial" w:cs="Arial"/>
      <w:color w:val="3C3C3B"/>
      <w:lang w:val="en-US"/>
    </w:rPr>
  </w:style>
  <w:style w:type="paragraph" w:customStyle="1" w:styleId="BulletinContent">
    <w:name w:val="Bulletin Content"/>
    <w:rsid w:val="00727842"/>
    <w:pPr>
      <w:spacing w:after="120" w:line="240" w:lineRule="auto"/>
    </w:pPr>
    <w:rPr>
      <w:rFonts w:ascii="Arial" w:eastAsia="Times New Roman" w:hAnsi="Arial" w:cs="Arial"/>
      <w:noProof/>
      <w:color w:val="000000"/>
    </w:rPr>
  </w:style>
  <w:style w:type="character" w:styleId="Hyperlink">
    <w:name w:val="Hyperlink"/>
    <w:basedOn w:val="DefaultParagraphFont"/>
    <w:uiPriority w:val="99"/>
    <w:unhideWhenUsed/>
    <w:rsid w:val="00A06A1E"/>
    <w:rPr>
      <w:color w:val="0000FF" w:themeColor="hyperlink"/>
      <w:u w:val="single"/>
    </w:rPr>
  </w:style>
  <w:style w:type="paragraph" w:styleId="ListParagraph">
    <w:name w:val="List Paragraph"/>
    <w:basedOn w:val="Normal"/>
    <w:uiPriority w:val="34"/>
    <w:rsid w:val="00F100E9"/>
    <w:pPr>
      <w:ind w:left="720"/>
      <w:contextualSpacing/>
    </w:pPr>
  </w:style>
  <w:style w:type="table" w:styleId="TableGrid">
    <w:name w:val="Table Grid"/>
    <w:basedOn w:val="TableNormal"/>
    <w:uiPriority w:val="59"/>
    <w:rsid w:val="00F100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F100E9"/>
    <w:pPr>
      <w:spacing w:after="100"/>
    </w:pPr>
  </w:style>
  <w:style w:type="paragraph" w:styleId="TOC2">
    <w:name w:val="toc 2"/>
    <w:basedOn w:val="Normal"/>
    <w:next w:val="Normal"/>
    <w:autoRedefine/>
    <w:uiPriority w:val="39"/>
    <w:unhideWhenUsed/>
    <w:rsid w:val="00F100E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worksafe.nt.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tworksafe@nt.gov.au?subject=Bulletin%20enquiry%20-%20name%20of%20bulleti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TWorkSafe_x0020_Filter xmlns="7c6ffd00-bb68-4206-866a-14e79ead1e87" xsi:nil="true"/>
    <PDFFileSize xmlns="eb399b68-b676-431b-a7f2-330aea86a718">222143</PDFFileSize>
    <Topics xmlns="eb399b68-b676-431b-a7f2-330aea86a718">
      <Value>Construction</Value>
      <Value>Hazardous chemicals</Value>
      <Value>Primary industry</Value>
    </Topics>
    <Document_x0020_type xmlns="eb399b68-b676-431b-a7f2-330aea86a718">Guide</Document_x0020_type>
    <Web_x0020_Section xmlns="eb399b68-b676-431b-a7f2-330aea86a718">
      <Value>Licensing and registration</Value>
    </Web_x0020_Section>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WorkSafe Resource" ma:contentTypeID="0x010100D0EB5375E3C86245AEF23D5DEFF38C9200F0A59824860E934B9BC4AEE5E863050D" ma:contentTypeVersion="47" ma:contentTypeDescription="" ma:contentTypeScope="" ma:versionID="e89f5d657f6cdf22772996b27fa6f06a">
  <xsd:schema xmlns:xsd="http://www.w3.org/2001/XMLSchema" xmlns:xs="http://www.w3.org/2001/XMLSchema" xmlns:p="http://schemas.microsoft.com/office/2006/metadata/properties" xmlns:ns1="http://schemas.microsoft.com/sharepoint/v3" xmlns:ns2="eb399b68-b676-431b-a7f2-330aea86a718" xmlns:ns3="7c6ffd00-bb68-4206-866a-14e79ead1e87" targetNamespace="http://schemas.microsoft.com/office/2006/metadata/properties" ma:root="true" ma:fieldsID="106b1f5a16c5c18d1f37d8f653c95dee" ns1:_="" ns2:_="" ns3:_="">
    <xsd:import namespace="http://schemas.microsoft.com/sharepoint/v3"/>
    <xsd:import namespace="eb399b68-b676-431b-a7f2-330aea86a718"/>
    <xsd:import namespace="7c6ffd00-bb68-4206-866a-14e79ead1e87"/>
    <xsd:element name="properties">
      <xsd:complexType>
        <xsd:sequence>
          <xsd:element name="documentManagement">
            <xsd:complexType>
              <xsd:all>
                <xsd:element ref="ns2:Web_x0020_Section" minOccurs="0"/>
                <xsd:element ref="ns2:Topics" minOccurs="0"/>
                <xsd:element ref="ns2:Document_x0020_type" minOccurs="0"/>
                <xsd:element ref="ns3:NTWorkSafe_x0020_Filter" minOccurs="0"/>
                <xsd:element ref="ns1:PublishingStartDate" minOccurs="0"/>
                <xsd:element ref="ns1:PublishingExpirationDate" minOccurs="0"/>
                <xsd:element ref="ns2:PDF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7" nillable="true" ma:displayName="Scheduling Start Date" ma:internalName="Scheduling_x0020_Start_x0020_Date">
      <xsd:simpleType>
        <xsd:restriction base="dms:Unknown"/>
      </xsd:simpleType>
    </xsd:element>
    <xsd:element name="PublishingExpirationDate" ma:index="8" nillable="true" ma:displayName="Scheduling End Date"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399b68-b676-431b-a7f2-330aea86a718" elementFormDefault="qualified">
    <xsd:import namespace="http://schemas.microsoft.com/office/2006/documentManagement/types"/>
    <xsd:import namespace="http://schemas.microsoft.com/office/infopath/2007/PartnerControls"/>
    <xsd:element name="Web_x0020_Section" ma:index="2" nillable="true" ma:displayName="Web section" ma:internalName="Web_x0020_Section" ma:readOnly="false">
      <xsd:complexType>
        <xsd:complexContent>
          <xsd:extension base="dms:MultiChoice">
            <xsd:sequence>
              <xsd:element name="Value" maxOccurs="unbounded" minOccurs="0" nillable="true">
                <xsd:simpleType>
                  <xsd:restriction base="dms:Choice">
                    <xsd:enumeration value="Safety and prevention"/>
                    <xsd:enumeration value="Licensing and registration"/>
                    <xsd:enumeration value="Workers compensation"/>
                    <xsd:enumeration value="Laws and compliance"/>
                  </xsd:restriction>
                </xsd:simpleType>
              </xsd:element>
            </xsd:sequence>
          </xsd:extension>
        </xsd:complexContent>
      </xsd:complexType>
    </xsd:element>
    <xsd:element name="Topics" ma:index="3" nillable="true" ma:displayName="Topics" ma:internalName="Topics" ma:readOnly="false">
      <xsd:complexType>
        <xsd:complexContent>
          <xsd:extension base="dms:MultiChoice">
            <xsd:sequence>
              <xsd:element name="Value" maxOccurs="unbounded" minOccurs="0" nillable="true">
                <xsd:simpleType>
                  <xsd:restriction base="dms:Choice">
                    <xsd:enumeration value="Asbestos"/>
                    <xsd:enumeration value="Assessor"/>
                    <xsd:enumeration value="Bullying"/>
                    <xsd:enumeration value="Confined space"/>
                    <xsd:enumeration value="Construction"/>
                    <xsd:enumeration value="Consultation"/>
                    <xsd:enumeration value="Corporate"/>
                    <xsd:enumeration value="Dangerous goods driver"/>
                    <xsd:enumeration value="Electrical safety"/>
                    <xsd:enumeration value="Entry permit holder"/>
                    <xsd:enumeration value="Explosives"/>
                    <xsd:enumeration value="Fatigue"/>
                    <xsd:enumeration value="Fireworks"/>
                    <xsd:enumeration value="Gas safety"/>
                    <xsd:enumeration value="Gasfitter"/>
                    <xsd:enumeration value="Hazardous chemicals"/>
                    <xsd:enumeration value="Health and safety representative"/>
                    <xsd:enumeration value="High risk"/>
                    <xsd:enumeration value="Legislation"/>
                    <xsd:enumeration value="Manual handling"/>
                    <xsd:enumeration value="Major hazard facility"/>
                    <xsd:enumeration value="Mediation"/>
                    <xsd:enumeration value="Mining"/>
                    <xsd:enumeration value="Notification requirements"/>
                    <xsd:enumeration value="Permanent impairment"/>
                    <xsd:enumeration value="Plant and machinery"/>
                    <xsd:enumeration value="Plant registration"/>
                    <xsd:enumeration value="Primary industry"/>
                    <xsd:enumeration value="Return to work"/>
                    <xsd:enumeration value="Small Business Safety Program"/>
                    <xsd:enumeration value="Shotfirer"/>
                    <xsd:enumeration value="Traffic management"/>
                    <xsd:enumeration value="Transport and storage"/>
                    <xsd:enumeration value="White card"/>
                    <xsd:enumeration value="Working in heat"/>
                    <xsd:enumeration value="Working at heights"/>
                    <xsd:enumeration value="Young Worker Program"/>
                  </xsd:restriction>
                </xsd:simpleType>
              </xsd:element>
            </xsd:sequence>
          </xsd:extension>
        </xsd:complexContent>
      </xsd:complexType>
    </xsd:element>
    <xsd:element name="Document_x0020_type" ma:index="4" nillable="true" ma:displayName="Document type" ma:format="Dropdown" ma:internalName="Document_x0020_type" ma:readOnly="false">
      <xsd:simpleType>
        <xsd:restriction base="dms:Choice">
          <xsd:enumeration value="Information Bulletin"/>
          <xsd:enumeration value="Form"/>
          <xsd:enumeration value="Guide"/>
          <xsd:enumeration value="Checklist"/>
          <xsd:enumeration value="Safety Alert"/>
          <xsd:enumeration value="Reports"/>
          <xsd:enumeration value="Legislation"/>
        </xsd:restriction>
      </xsd:simpleType>
    </xsd:element>
    <xsd:element name="PDFFileSize" ma:index="10" nillable="true" ma:displayName="PDFFileSize" ma:hidden="true" ma:internalName="PDFFileSiz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6ffd00-bb68-4206-866a-14e79ead1e87" elementFormDefault="qualified">
    <xsd:import namespace="http://schemas.microsoft.com/office/2006/documentManagement/types"/>
    <xsd:import namespace="http://schemas.microsoft.com/office/infopath/2007/PartnerControls"/>
    <xsd:element name="NTWorkSafe_x0020_Filter" ma:index="5" nillable="true" ma:displayName="NTWorkSafe Filter" ma:internalName="NTWorkSafe_x0020_Filt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274125-FB0C-4C9D-BEC0-3E3575752320}"/>
</file>

<file path=customXml/itemProps2.xml><?xml version="1.0" encoding="utf-8"?>
<ds:datastoreItem xmlns:ds="http://schemas.openxmlformats.org/officeDocument/2006/customXml" ds:itemID="{54799629-5E35-4574-8CD8-DED322417DBB}"/>
</file>

<file path=customXml/itemProps3.xml><?xml version="1.0" encoding="utf-8"?>
<ds:datastoreItem xmlns:ds="http://schemas.openxmlformats.org/officeDocument/2006/customXml" ds:itemID="{28FC4229-55EF-4F85-B1FE-8B5521AC18C6}"/>
</file>

<file path=customXml/itemProps4.xml><?xml version="1.0" encoding="utf-8"?>
<ds:datastoreItem xmlns:ds="http://schemas.openxmlformats.org/officeDocument/2006/customXml" ds:itemID="{1848E1AE-73E6-43C2-B1AD-D618CDDE226C}"/>
</file>

<file path=docProps/app.xml><?xml version="1.0" encoding="utf-8"?>
<Properties xmlns="http://schemas.openxmlformats.org/officeDocument/2006/extended-properties" xmlns:vt="http://schemas.openxmlformats.org/officeDocument/2006/docPropsVTypes">
  <Template>Normal.dotm</Template>
  <TotalTime>119</TotalTime>
  <Pages>5</Pages>
  <Words>1861</Words>
  <Characters>10614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Bulletin - Name of bulletin</vt:lpstr>
    </vt:vector>
  </TitlesOfParts>
  <Company>NTG</Company>
  <LinksUpToDate>false</LinksUpToDate>
  <CharactersWithSpaces>12451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Authorisation to use, handle or store prohibited or restricted carcinogens</dc:title>
  <dc:creator>mezl</dc:creator>
  <cp:lastModifiedBy>Amanda Baker</cp:lastModifiedBy>
  <cp:revision>3</cp:revision>
  <cp:lastPrinted>2012-11-16T05:03:00Z</cp:lastPrinted>
  <dcterms:created xsi:type="dcterms:W3CDTF">2018-09-07T02:13:00Z</dcterms:created>
  <dcterms:modified xsi:type="dcterms:W3CDTF">2018-09-07T04:12:00Z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0x010100D0EB5375E3C86245AEF23D5DEFF38C9200F0A59824860E934B9BC4AEE5E863050D</vt:lpwstr>
  </property>
  <property fmtid="{D5CDD505-2E9C-101B-9397-08002B2CF9AE}" pid="3" name="Language">
    <vt:lpwstr>English</vt:lpwstr>
  </property>
</Properties>
</file>