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DE6A2" w14:textId="77777777" w:rsidR="001379C7" w:rsidRPr="00A06A1E" w:rsidRDefault="001379C7" w:rsidP="001379C7">
      <w:pPr>
        <w:pStyle w:val="Title"/>
      </w:pPr>
      <w:r>
        <w:rPr>
          <w:lang w:eastAsia="en-AU"/>
        </w:rPr>
        <w:t>Lead notifications</w:t>
      </w:r>
    </w:p>
    <w:p w14:paraId="569AF558" w14:textId="77777777" w:rsidR="00F100E9" w:rsidRPr="00F100E9" w:rsidRDefault="00740C6B" w:rsidP="00F100E9">
      <w:pPr>
        <w:spacing w:before="240" w:after="120"/>
        <w:rPr>
          <w:b/>
          <w:sz w:val="28"/>
          <w:szCs w:val="28"/>
        </w:rPr>
      </w:pPr>
      <w:r w:rsidRPr="00F100E9">
        <w:rPr>
          <w:b/>
          <w:sz w:val="28"/>
          <w:szCs w:val="28"/>
        </w:rPr>
        <w:t>Contents</w:t>
      </w:r>
    </w:p>
    <w:bookmarkStart w:id="0" w:name="_Toc415423927"/>
    <w:bookmarkStart w:id="1" w:name="_Toc415514155"/>
    <w:bookmarkStart w:id="2" w:name="_Toc524092045"/>
    <w:bookmarkStart w:id="3" w:name="_Toc313872096"/>
    <w:bookmarkStart w:id="4" w:name="_Toc414869365"/>
    <w:bookmarkStart w:id="5" w:name="_Toc414871077"/>
    <w:bookmarkStart w:id="6" w:name="_Toc414886183"/>
    <w:p w14:paraId="19A94C4E" w14:textId="77777777" w:rsidR="00C73A48" w:rsidRDefault="001379C7">
      <w:pPr>
        <w:pStyle w:val="TOC1"/>
        <w:tabs>
          <w:tab w:val="right" w:leader="dot" w:pos="10762"/>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524094902" w:history="1">
        <w:r w:rsidR="00C73A48" w:rsidRPr="004D62B9">
          <w:rPr>
            <w:rStyle w:val="Hyperlink"/>
            <w:noProof/>
          </w:rPr>
          <w:t>Introduction</w:t>
        </w:r>
        <w:r w:rsidR="00C73A48">
          <w:rPr>
            <w:noProof/>
            <w:webHidden/>
          </w:rPr>
          <w:tab/>
        </w:r>
        <w:r w:rsidR="00C73A48">
          <w:rPr>
            <w:noProof/>
            <w:webHidden/>
          </w:rPr>
          <w:fldChar w:fldCharType="begin"/>
        </w:r>
        <w:r w:rsidR="00C73A48">
          <w:rPr>
            <w:noProof/>
            <w:webHidden/>
          </w:rPr>
          <w:instrText xml:space="preserve"> PAGEREF _Toc524094902 \h </w:instrText>
        </w:r>
        <w:r w:rsidR="00C73A48">
          <w:rPr>
            <w:noProof/>
            <w:webHidden/>
          </w:rPr>
        </w:r>
        <w:r w:rsidR="00C73A48">
          <w:rPr>
            <w:noProof/>
            <w:webHidden/>
          </w:rPr>
          <w:fldChar w:fldCharType="separate"/>
        </w:r>
        <w:r w:rsidR="00C73A48">
          <w:rPr>
            <w:noProof/>
            <w:webHidden/>
          </w:rPr>
          <w:t>1</w:t>
        </w:r>
        <w:r w:rsidR="00C73A48">
          <w:rPr>
            <w:noProof/>
            <w:webHidden/>
          </w:rPr>
          <w:fldChar w:fldCharType="end"/>
        </w:r>
      </w:hyperlink>
    </w:p>
    <w:p w14:paraId="0EE0F8EC" w14:textId="77777777" w:rsidR="00C73A48" w:rsidRDefault="00C73A48">
      <w:pPr>
        <w:pStyle w:val="TOC2"/>
        <w:tabs>
          <w:tab w:val="right" w:leader="dot" w:pos="10762"/>
        </w:tabs>
        <w:rPr>
          <w:rFonts w:asciiTheme="minorHAnsi" w:eastAsiaTheme="minorEastAsia" w:hAnsiTheme="minorHAnsi"/>
          <w:noProof/>
          <w:lang w:eastAsia="en-AU"/>
        </w:rPr>
      </w:pPr>
      <w:hyperlink w:anchor="_Toc524094903" w:history="1">
        <w:r w:rsidRPr="004D62B9">
          <w:rPr>
            <w:rStyle w:val="Hyperlink"/>
            <w:noProof/>
          </w:rPr>
          <w:t>Scope</w:t>
        </w:r>
        <w:r>
          <w:rPr>
            <w:noProof/>
            <w:webHidden/>
          </w:rPr>
          <w:tab/>
        </w:r>
        <w:r>
          <w:rPr>
            <w:noProof/>
            <w:webHidden/>
          </w:rPr>
          <w:fldChar w:fldCharType="begin"/>
        </w:r>
        <w:r>
          <w:rPr>
            <w:noProof/>
            <w:webHidden/>
          </w:rPr>
          <w:instrText xml:space="preserve"> PAGEREF _Toc524094903 \h </w:instrText>
        </w:r>
        <w:r>
          <w:rPr>
            <w:noProof/>
            <w:webHidden/>
          </w:rPr>
        </w:r>
        <w:r>
          <w:rPr>
            <w:noProof/>
            <w:webHidden/>
          </w:rPr>
          <w:fldChar w:fldCharType="separate"/>
        </w:r>
        <w:r>
          <w:rPr>
            <w:noProof/>
            <w:webHidden/>
          </w:rPr>
          <w:t>1</w:t>
        </w:r>
        <w:r>
          <w:rPr>
            <w:noProof/>
            <w:webHidden/>
          </w:rPr>
          <w:fldChar w:fldCharType="end"/>
        </w:r>
      </w:hyperlink>
    </w:p>
    <w:p w14:paraId="67BA2C21" w14:textId="77777777" w:rsidR="00C73A48" w:rsidRDefault="00C73A48">
      <w:pPr>
        <w:pStyle w:val="TOC1"/>
        <w:tabs>
          <w:tab w:val="right" w:leader="dot" w:pos="10762"/>
        </w:tabs>
        <w:rPr>
          <w:rFonts w:asciiTheme="minorHAnsi" w:eastAsiaTheme="minorEastAsia" w:hAnsiTheme="minorHAnsi"/>
          <w:noProof/>
          <w:lang w:eastAsia="en-AU"/>
        </w:rPr>
      </w:pPr>
      <w:hyperlink w:anchor="_Toc524094904" w:history="1">
        <w:r w:rsidRPr="004D62B9">
          <w:rPr>
            <w:rStyle w:val="Hyperlink"/>
            <w:noProof/>
          </w:rPr>
          <w:t>Who must notify</w:t>
        </w:r>
        <w:r>
          <w:rPr>
            <w:noProof/>
            <w:webHidden/>
          </w:rPr>
          <w:tab/>
        </w:r>
        <w:r>
          <w:rPr>
            <w:noProof/>
            <w:webHidden/>
          </w:rPr>
          <w:fldChar w:fldCharType="begin"/>
        </w:r>
        <w:r>
          <w:rPr>
            <w:noProof/>
            <w:webHidden/>
          </w:rPr>
          <w:instrText xml:space="preserve"> PAGEREF _Toc524094904 \h </w:instrText>
        </w:r>
        <w:r>
          <w:rPr>
            <w:noProof/>
            <w:webHidden/>
          </w:rPr>
        </w:r>
        <w:r>
          <w:rPr>
            <w:noProof/>
            <w:webHidden/>
          </w:rPr>
          <w:fldChar w:fldCharType="separate"/>
        </w:r>
        <w:r>
          <w:rPr>
            <w:noProof/>
            <w:webHidden/>
          </w:rPr>
          <w:t>2</w:t>
        </w:r>
        <w:r>
          <w:rPr>
            <w:noProof/>
            <w:webHidden/>
          </w:rPr>
          <w:fldChar w:fldCharType="end"/>
        </w:r>
      </w:hyperlink>
    </w:p>
    <w:p w14:paraId="6C3BE93E" w14:textId="77777777" w:rsidR="00C73A48" w:rsidRDefault="00C73A48">
      <w:pPr>
        <w:pStyle w:val="TOC2"/>
        <w:tabs>
          <w:tab w:val="right" w:leader="dot" w:pos="10762"/>
        </w:tabs>
        <w:rPr>
          <w:rFonts w:asciiTheme="minorHAnsi" w:eastAsiaTheme="minorEastAsia" w:hAnsiTheme="minorHAnsi"/>
          <w:noProof/>
          <w:lang w:eastAsia="en-AU"/>
        </w:rPr>
      </w:pPr>
      <w:hyperlink w:anchor="_Toc524094905" w:history="1">
        <w:r w:rsidRPr="004D62B9">
          <w:rPr>
            <w:rStyle w:val="Hyperlink"/>
            <w:noProof/>
          </w:rPr>
          <w:t>When to notify</w:t>
        </w:r>
        <w:r>
          <w:rPr>
            <w:noProof/>
            <w:webHidden/>
          </w:rPr>
          <w:tab/>
        </w:r>
        <w:r>
          <w:rPr>
            <w:noProof/>
            <w:webHidden/>
          </w:rPr>
          <w:fldChar w:fldCharType="begin"/>
        </w:r>
        <w:r>
          <w:rPr>
            <w:noProof/>
            <w:webHidden/>
          </w:rPr>
          <w:instrText xml:space="preserve"> PAGEREF _Toc524094905 \h </w:instrText>
        </w:r>
        <w:r>
          <w:rPr>
            <w:noProof/>
            <w:webHidden/>
          </w:rPr>
        </w:r>
        <w:r>
          <w:rPr>
            <w:noProof/>
            <w:webHidden/>
          </w:rPr>
          <w:fldChar w:fldCharType="separate"/>
        </w:r>
        <w:r>
          <w:rPr>
            <w:noProof/>
            <w:webHidden/>
          </w:rPr>
          <w:t>3</w:t>
        </w:r>
        <w:r>
          <w:rPr>
            <w:noProof/>
            <w:webHidden/>
          </w:rPr>
          <w:fldChar w:fldCharType="end"/>
        </w:r>
      </w:hyperlink>
    </w:p>
    <w:p w14:paraId="516FE802" w14:textId="77777777" w:rsidR="00C73A48" w:rsidRDefault="00C73A48">
      <w:pPr>
        <w:pStyle w:val="TOC1"/>
        <w:tabs>
          <w:tab w:val="right" w:leader="dot" w:pos="10762"/>
        </w:tabs>
        <w:rPr>
          <w:rFonts w:asciiTheme="minorHAnsi" w:eastAsiaTheme="minorEastAsia" w:hAnsiTheme="minorHAnsi"/>
          <w:noProof/>
          <w:lang w:eastAsia="en-AU"/>
        </w:rPr>
      </w:pPr>
      <w:hyperlink w:anchor="_Toc524094906" w:history="1">
        <w:r w:rsidRPr="004D62B9">
          <w:rPr>
            <w:rStyle w:val="Hyperlink"/>
            <w:noProof/>
          </w:rPr>
          <w:t>How to Notify</w:t>
        </w:r>
        <w:r>
          <w:rPr>
            <w:noProof/>
            <w:webHidden/>
          </w:rPr>
          <w:tab/>
        </w:r>
        <w:r>
          <w:rPr>
            <w:noProof/>
            <w:webHidden/>
          </w:rPr>
          <w:fldChar w:fldCharType="begin"/>
        </w:r>
        <w:r>
          <w:rPr>
            <w:noProof/>
            <w:webHidden/>
          </w:rPr>
          <w:instrText xml:space="preserve"> PAGEREF _Toc524094906 \h </w:instrText>
        </w:r>
        <w:r>
          <w:rPr>
            <w:noProof/>
            <w:webHidden/>
          </w:rPr>
        </w:r>
        <w:r>
          <w:rPr>
            <w:noProof/>
            <w:webHidden/>
          </w:rPr>
          <w:fldChar w:fldCharType="separate"/>
        </w:r>
        <w:r>
          <w:rPr>
            <w:noProof/>
            <w:webHidden/>
          </w:rPr>
          <w:t>3</w:t>
        </w:r>
        <w:r>
          <w:rPr>
            <w:noProof/>
            <w:webHidden/>
          </w:rPr>
          <w:fldChar w:fldCharType="end"/>
        </w:r>
      </w:hyperlink>
    </w:p>
    <w:p w14:paraId="4D247190" w14:textId="77777777" w:rsidR="00C73A48" w:rsidRDefault="00C73A48">
      <w:pPr>
        <w:pStyle w:val="TOC2"/>
        <w:tabs>
          <w:tab w:val="right" w:leader="dot" w:pos="10762"/>
        </w:tabs>
        <w:rPr>
          <w:rFonts w:asciiTheme="minorHAnsi" w:eastAsiaTheme="minorEastAsia" w:hAnsiTheme="minorHAnsi"/>
          <w:noProof/>
          <w:lang w:eastAsia="en-AU"/>
        </w:rPr>
      </w:pPr>
      <w:hyperlink w:anchor="_Toc524094907" w:history="1">
        <w:r w:rsidRPr="004D62B9">
          <w:rPr>
            <w:rStyle w:val="Hyperlink"/>
            <w:noProof/>
          </w:rPr>
          <w:t>Fees</w:t>
        </w:r>
        <w:r>
          <w:rPr>
            <w:noProof/>
            <w:webHidden/>
          </w:rPr>
          <w:tab/>
        </w:r>
        <w:r>
          <w:rPr>
            <w:noProof/>
            <w:webHidden/>
          </w:rPr>
          <w:fldChar w:fldCharType="begin"/>
        </w:r>
        <w:r>
          <w:rPr>
            <w:noProof/>
            <w:webHidden/>
          </w:rPr>
          <w:instrText xml:space="preserve"> PAGEREF _Toc524094907 \h </w:instrText>
        </w:r>
        <w:r>
          <w:rPr>
            <w:noProof/>
            <w:webHidden/>
          </w:rPr>
        </w:r>
        <w:r>
          <w:rPr>
            <w:noProof/>
            <w:webHidden/>
          </w:rPr>
          <w:fldChar w:fldCharType="separate"/>
        </w:r>
        <w:r>
          <w:rPr>
            <w:noProof/>
            <w:webHidden/>
          </w:rPr>
          <w:t>3</w:t>
        </w:r>
        <w:r>
          <w:rPr>
            <w:noProof/>
            <w:webHidden/>
          </w:rPr>
          <w:fldChar w:fldCharType="end"/>
        </w:r>
      </w:hyperlink>
    </w:p>
    <w:p w14:paraId="0A257D2E" w14:textId="77777777" w:rsidR="00C73A48" w:rsidRDefault="00C73A48">
      <w:pPr>
        <w:pStyle w:val="TOC1"/>
        <w:tabs>
          <w:tab w:val="right" w:leader="dot" w:pos="10762"/>
        </w:tabs>
        <w:rPr>
          <w:rFonts w:asciiTheme="minorHAnsi" w:eastAsiaTheme="minorEastAsia" w:hAnsiTheme="minorHAnsi"/>
          <w:noProof/>
          <w:lang w:eastAsia="en-AU"/>
        </w:rPr>
      </w:pPr>
      <w:hyperlink w:anchor="_Toc524094908" w:history="1">
        <w:r w:rsidRPr="004D62B9">
          <w:rPr>
            <w:rStyle w:val="Hyperlink"/>
            <w:noProof/>
          </w:rPr>
          <w:t>What information does the regulator require?</w:t>
        </w:r>
        <w:r>
          <w:rPr>
            <w:noProof/>
            <w:webHidden/>
          </w:rPr>
          <w:tab/>
        </w:r>
        <w:r>
          <w:rPr>
            <w:noProof/>
            <w:webHidden/>
          </w:rPr>
          <w:fldChar w:fldCharType="begin"/>
        </w:r>
        <w:r>
          <w:rPr>
            <w:noProof/>
            <w:webHidden/>
          </w:rPr>
          <w:instrText xml:space="preserve"> PAGEREF _Toc524094908 \h </w:instrText>
        </w:r>
        <w:r>
          <w:rPr>
            <w:noProof/>
            <w:webHidden/>
          </w:rPr>
        </w:r>
        <w:r>
          <w:rPr>
            <w:noProof/>
            <w:webHidden/>
          </w:rPr>
          <w:fldChar w:fldCharType="separate"/>
        </w:r>
        <w:r>
          <w:rPr>
            <w:noProof/>
            <w:webHidden/>
          </w:rPr>
          <w:t>3</w:t>
        </w:r>
        <w:r>
          <w:rPr>
            <w:noProof/>
            <w:webHidden/>
          </w:rPr>
          <w:fldChar w:fldCharType="end"/>
        </w:r>
      </w:hyperlink>
    </w:p>
    <w:p w14:paraId="5B3FF559" w14:textId="77777777" w:rsidR="00C73A48" w:rsidRDefault="00C73A48">
      <w:pPr>
        <w:pStyle w:val="TOC1"/>
        <w:tabs>
          <w:tab w:val="right" w:leader="dot" w:pos="10762"/>
        </w:tabs>
        <w:rPr>
          <w:rFonts w:asciiTheme="minorHAnsi" w:eastAsiaTheme="minorEastAsia" w:hAnsiTheme="minorHAnsi"/>
          <w:noProof/>
          <w:lang w:eastAsia="en-AU"/>
        </w:rPr>
      </w:pPr>
      <w:hyperlink w:anchor="_Toc524094909" w:history="1">
        <w:r w:rsidRPr="004D62B9">
          <w:rPr>
            <w:rStyle w:val="Hyperlink"/>
            <w:noProof/>
          </w:rPr>
          <w:t>Obligations</w:t>
        </w:r>
        <w:r>
          <w:rPr>
            <w:noProof/>
            <w:webHidden/>
          </w:rPr>
          <w:tab/>
        </w:r>
        <w:r>
          <w:rPr>
            <w:noProof/>
            <w:webHidden/>
          </w:rPr>
          <w:fldChar w:fldCharType="begin"/>
        </w:r>
        <w:r>
          <w:rPr>
            <w:noProof/>
            <w:webHidden/>
          </w:rPr>
          <w:instrText xml:space="preserve"> PAGEREF _Toc524094909 \h </w:instrText>
        </w:r>
        <w:r>
          <w:rPr>
            <w:noProof/>
            <w:webHidden/>
          </w:rPr>
        </w:r>
        <w:r>
          <w:rPr>
            <w:noProof/>
            <w:webHidden/>
          </w:rPr>
          <w:fldChar w:fldCharType="separate"/>
        </w:r>
        <w:r>
          <w:rPr>
            <w:noProof/>
            <w:webHidden/>
          </w:rPr>
          <w:t>4</w:t>
        </w:r>
        <w:r>
          <w:rPr>
            <w:noProof/>
            <w:webHidden/>
          </w:rPr>
          <w:fldChar w:fldCharType="end"/>
        </w:r>
      </w:hyperlink>
    </w:p>
    <w:p w14:paraId="3FB4348B" w14:textId="77777777" w:rsidR="00C73A48" w:rsidRDefault="00C73A48">
      <w:pPr>
        <w:pStyle w:val="TOC1"/>
        <w:tabs>
          <w:tab w:val="right" w:leader="dot" w:pos="10762"/>
        </w:tabs>
        <w:rPr>
          <w:rFonts w:asciiTheme="minorHAnsi" w:eastAsiaTheme="minorEastAsia" w:hAnsiTheme="minorHAnsi"/>
          <w:noProof/>
          <w:lang w:eastAsia="en-AU"/>
        </w:rPr>
      </w:pPr>
      <w:hyperlink w:anchor="_Toc524094910" w:history="1">
        <w:r w:rsidRPr="004D62B9">
          <w:rPr>
            <w:rStyle w:val="Hyperlink"/>
            <w:noProof/>
          </w:rPr>
          <w:t>Application for review of decision</w:t>
        </w:r>
        <w:r>
          <w:rPr>
            <w:noProof/>
            <w:webHidden/>
          </w:rPr>
          <w:tab/>
        </w:r>
        <w:r>
          <w:rPr>
            <w:noProof/>
            <w:webHidden/>
          </w:rPr>
          <w:fldChar w:fldCharType="begin"/>
        </w:r>
        <w:r>
          <w:rPr>
            <w:noProof/>
            <w:webHidden/>
          </w:rPr>
          <w:instrText xml:space="preserve"> PAGEREF _Toc524094910 \h </w:instrText>
        </w:r>
        <w:r>
          <w:rPr>
            <w:noProof/>
            <w:webHidden/>
          </w:rPr>
        </w:r>
        <w:r>
          <w:rPr>
            <w:noProof/>
            <w:webHidden/>
          </w:rPr>
          <w:fldChar w:fldCharType="separate"/>
        </w:r>
        <w:r>
          <w:rPr>
            <w:noProof/>
            <w:webHidden/>
          </w:rPr>
          <w:t>4</w:t>
        </w:r>
        <w:r>
          <w:rPr>
            <w:noProof/>
            <w:webHidden/>
          </w:rPr>
          <w:fldChar w:fldCharType="end"/>
        </w:r>
      </w:hyperlink>
    </w:p>
    <w:p w14:paraId="7F5090D5" w14:textId="77777777" w:rsidR="00C73A48" w:rsidRDefault="00C73A48">
      <w:pPr>
        <w:pStyle w:val="TOC2"/>
        <w:tabs>
          <w:tab w:val="right" w:leader="dot" w:pos="10762"/>
        </w:tabs>
        <w:rPr>
          <w:rFonts w:asciiTheme="minorHAnsi" w:eastAsiaTheme="minorEastAsia" w:hAnsiTheme="minorHAnsi"/>
          <w:noProof/>
          <w:lang w:eastAsia="en-AU"/>
        </w:rPr>
      </w:pPr>
      <w:hyperlink w:anchor="_Toc524094911" w:history="1">
        <w:r w:rsidRPr="004D62B9">
          <w:rPr>
            <w:rStyle w:val="Hyperlink"/>
            <w:noProof/>
          </w:rPr>
          <w:t>Internal review</w:t>
        </w:r>
        <w:r>
          <w:rPr>
            <w:noProof/>
            <w:webHidden/>
          </w:rPr>
          <w:tab/>
        </w:r>
        <w:r>
          <w:rPr>
            <w:noProof/>
            <w:webHidden/>
          </w:rPr>
          <w:fldChar w:fldCharType="begin"/>
        </w:r>
        <w:r>
          <w:rPr>
            <w:noProof/>
            <w:webHidden/>
          </w:rPr>
          <w:instrText xml:space="preserve"> PAGEREF _Toc524094911 \h </w:instrText>
        </w:r>
        <w:r>
          <w:rPr>
            <w:noProof/>
            <w:webHidden/>
          </w:rPr>
        </w:r>
        <w:r>
          <w:rPr>
            <w:noProof/>
            <w:webHidden/>
          </w:rPr>
          <w:fldChar w:fldCharType="separate"/>
        </w:r>
        <w:r>
          <w:rPr>
            <w:noProof/>
            <w:webHidden/>
          </w:rPr>
          <w:t>4</w:t>
        </w:r>
        <w:r>
          <w:rPr>
            <w:noProof/>
            <w:webHidden/>
          </w:rPr>
          <w:fldChar w:fldCharType="end"/>
        </w:r>
      </w:hyperlink>
    </w:p>
    <w:p w14:paraId="50D14180" w14:textId="77777777" w:rsidR="00C73A48" w:rsidRDefault="00C73A48">
      <w:pPr>
        <w:pStyle w:val="TOC2"/>
        <w:tabs>
          <w:tab w:val="right" w:leader="dot" w:pos="10762"/>
        </w:tabs>
        <w:rPr>
          <w:rFonts w:asciiTheme="minorHAnsi" w:eastAsiaTheme="minorEastAsia" w:hAnsiTheme="minorHAnsi"/>
          <w:noProof/>
          <w:lang w:eastAsia="en-AU"/>
        </w:rPr>
      </w:pPr>
      <w:hyperlink w:anchor="_Toc524094912" w:history="1">
        <w:r w:rsidRPr="004D62B9">
          <w:rPr>
            <w:rStyle w:val="Hyperlink"/>
            <w:noProof/>
          </w:rPr>
          <w:t>External review</w:t>
        </w:r>
        <w:r>
          <w:rPr>
            <w:noProof/>
            <w:webHidden/>
          </w:rPr>
          <w:tab/>
        </w:r>
        <w:r>
          <w:rPr>
            <w:noProof/>
            <w:webHidden/>
          </w:rPr>
          <w:fldChar w:fldCharType="begin"/>
        </w:r>
        <w:r>
          <w:rPr>
            <w:noProof/>
            <w:webHidden/>
          </w:rPr>
          <w:instrText xml:space="preserve"> PAGEREF _Toc524094912 \h </w:instrText>
        </w:r>
        <w:r>
          <w:rPr>
            <w:noProof/>
            <w:webHidden/>
          </w:rPr>
        </w:r>
        <w:r>
          <w:rPr>
            <w:noProof/>
            <w:webHidden/>
          </w:rPr>
          <w:fldChar w:fldCharType="separate"/>
        </w:r>
        <w:r>
          <w:rPr>
            <w:noProof/>
            <w:webHidden/>
          </w:rPr>
          <w:t>5</w:t>
        </w:r>
        <w:r>
          <w:rPr>
            <w:noProof/>
            <w:webHidden/>
          </w:rPr>
          <w:fldChar w:fldCharType="end"/>
        </w:r>
      </w:hyperlink>
    </w:p>
    <w:p w14:paraId="06CAAABD" w14:textId="77777777" w:rsidR="00C73A48" w:rsidRDefault="00C73A48">
      <w:pPr>
        <w:pStyle w:val="TOC1"/>
        <w:tabs>
          <w:tab w:val="right" w:leader="dot" w:pos="10762"/>
        </w:tabs>
        <w:rPr>
          <w:rFonts w:asciiTheme="minorHAnsi" w:eastAsiaTheme="minorEastAsia" w:hAnsiTheme="minorHAnsi"/>
          <w:noProof/>
          <w:lang w:eastAsia="en-AU"/>
        </w:rPr>
      </w:pPr>
      <w:hyperlink w:anchor="_Toc524094913" w:history="1">
        <w:r w:rsidRPr="004D62B9">
          <w:rPr>
            <w:rStyle w:val="Hyperlink"/>
            <w:noProof/>
          </w:rPr>
          <w:t>Further information</w:t>
        </w:r>
        <w:r>
          <w:rPr>
            <w:noProof/>
            <w:webHidden/>
          </w:rPr>
          <w:tab/>
        </w:r>
        <w:r>
          <w:rPr>
            <w:noProof/>
            <w:webHidden/>
          </w:rPr>
          <w:fldChar w:fldCharType="begin"/>
        </w:r>
        <w:r>
          <w:rPr>
            <w:noProof/>
            <w:webHidden/>
          </w:rPr>
          <w:instrText xml:space="preserve"> PAGEREF _Toc524094913 \h </w:instrText>
        </w:r>
        <w:r>
          <w:rPr>
            <w:noProof/>
            <w:webHidden/>
          </w:rPr>
        </w:r>
        <w:r>
          <w:rPr>
            <w:noProof/>
            <w:webHidden/>
          </w:rPr>
          <w:fldChar w:fldCharType="separate"/>
        </w:r>
        <w:r>
          <w:rPr>
            <w:noProof/>
            <w:webHidden/>
          </w:rPr>
          <w:t>5</w:t>
        </w:r>
        <w:r>
          <w:rPr>
            <w:noProof/>
            <w:webHidden/>
          </w:rPr>
          <w:fldChar w:fldCharType="end"/>
        </w:r>
      </w:hyperlink>
    </w:p>
    <w:p w14:paraId="2804C2F8" w14:textId="77777777" w:rsidR="00C73A48" w:rsidRDefault="00C73A48">
      <w:pPr>
        <w:pStyle w:val="TOC2"/>
        <w:tabs>
          <w:tab w:val="right" w:leader="dot" w:pos="10762"/>
        </w:tabs>
        <w:rPr>
          <w:rFonts w:asciiTheme="minorHAnsi" w:eastAsiaTheme="minorEastAsia" w:hAnsiTheme="minorHAnsi"/>
          <w:noProof/>
          <w:lang w:eastAsia="en-AU"/>
        </w:rPr>
      </w:pPr>
      <w:hyperlink w:anchor="_Toc524094914" w:history="1">
        <w:r w:rsidRPr="004D62B9">
          <w:rPr>
            <w:rStyle w:val="Hyperlink"/>
            <w:noProof/>
          </w:rPr>
          <w:t>Legislation</w:t>
        </w:r>
        <w:r>
          <w:rPr>
            <w:noProof/>
            <w:webHidden/>
          </w:rPr>
          <w:tab/>
        </w:r>
        <w:r>
          <w:rPr>
            <w:noProof/>
            <w:webHidden/>
          </w:rPr>
          <w:fldChar w:fldCharType="begin"/>
        </w:r>
        <w:r>
          <w:rPr>
            <w:noProof/>
            <w:webHidden/>
          </w:rPr>
          <w:instrText xml:space="preserve"> PAGEREF _Toc524094914 \h </w:instrText>
        </w:r>
        <w:r>
          <w:rPr>
            <w:noProof/>
            <w:webHidden/>
          </w:rPr>
        </w:r>
        <w:r>
          <w:rPr>
            <w:noProof/>
            <w:webHidden/>
          </w:rPr>
          <w:fldChar w:fldCharType="separate"/>
        </w:r>
        <w:r>
          <w:rPr>
            <w:noProof/>
            <w:webHidden/>
          </w:rPr>
          <w:t>5</w:t>
        </w:r>
        <w:r>
          <w:rPr>
            <w:noProof/>
            <w:webHidden/>
          </w:rPr>
          <w:fldChar w:fldCharType="end"/>
        </w:r>
      </w:hyperlink>
    </w:p>
    <w:p w14:paraId="59B8614F" w14:textId="77777777" w:rsidR="00C73A48" w:rsidRDefault="00C73A48">
      <w:pPr>
        <w:pStyle w:val="TOC2"/>
        <w:tabs>
          <w:tab w:val="right" w:leader="dot" w:pos="10762"/>
        </w:tabs>
        <w:rPr>
          <w:rFonts w:asciiTheme="minorHAnsi" w:eastAsiaTheme="minorEastAsia" w:hAnsiTheme="minorHAnsi"/>
          <w:noProof/>
          <w:lang w:eastAsia="en-AU"/>
        </w:rPr>
      </w:pPr>
      <w:hyperlink w:anchor="_Toc524094915" w:history="1">
        <w:r w:rsidRPr="004D62B9">
          <w:rPr>
            <w:rStyle w:val="Hyperlink"/>
            <w:noProof/>
          </w:rPr>
          <w:t>List of jurisdiction contacts</w:t>
        </w:r>
        <w:r>
          <w:rPr>
            <w:noProof/>
            <w:webHidden/>
          </w:rPr>
          <w:tab/>
        </w:r>
        <w:r>
          <w:rPr>
            <w:noProof/>
            <w:webHidden/>
          </w:rPr>
          <w:fldChar w:fldCharType="begin"/>
        </w:r>
        <w:r>
          <w:rPr>
            <w:noProof/>
            <w:webHidden/>
          </w:rPr>
          <w:instrText xml:space="preserve"> PAGEREF _Toc524094915 \h </w:instrText>
        </w:r>
        <w:r>
          <w:rPr>
            <w:noProof/>
            <w:webHidden/>
          </w:rPr>
        </w:r>
        <w:r>
          <w:rPr>
            <w:noProof/>
            <w:webHidden/>
          </w:rPr>
          <w:fldChar w:fldCharType="separate"/>
        </w:r>
        <w:r>
          <w:rPr>
            <w:noProof/>
            <w:webHidden/>
          </w:rPr>
          <w:t>5</w:t>
        </w:r>
        <w:r>
          <w:rPr>
            <w:noProof/>
            <w:webHidden/>
          </w:rPr>
          <w:fldChar w:fldCharType="end"/>
        </w:r>
      </w:hyperlink>
    </w:p>
    <w:p w14:paraId="1179FCE7" w14:textId="77777777" w:rsidR="00C73A48" w:rsidRDefault="00C73A48">
      <w:pPr>
        <w:pStyle w:val="TOC1"/>
        <w:tabs>
          <w:tab w:val="right" w:leader="dot" w:pos="10762"/>
        </w:tabs>
        <w:rPr>
          <w:rFonts w:asciiTheme="minorHAnsi" w:eastAsiaTheme="minorEastAsia" w:hAnsiTheme="minorHAnsi"/>
          <w:noProof/>
          <w:lang w:eastAsia="en-AU"/>
        </w:rPr>
      </w:pPr>
      <w:hyperlink w:anchor="_Toc524094916" w:history="1">
        <w:r w:rsidRPr="004D62B9">
          <w:rPr>
            <w:rStyle w:val="Hyperlink"/>
            <w:noProof/>
          </w:rPr>
          <w:t>Contact us</w:t>
        </w:r>
        <w:r>
          <w:rPr>
            <w:noProof/>
            <w:webHidden/>
          </w:rPr>
          <w:tab/>
        </w:r>
        <w:r>
          <w:rPr>
            <w:noProof/>
            <w:webHidden/>
          </w:rPr>
          <w:fldChar w:fldCharType="begin"/>
        </w:r>
        <w:r>
          <w:rPr>
            <w:noProof/>
            <w:webHidden/>
          </w:rPr>
          <w:instrText xml:space="preserve"> PAGEREF _Toc524094916 \h </w:instrText>
        </w:r>
        <w:r>
          <w:rPr>
            <w:noProof/>
            <w:webHidden/>
          </w:rPr>
        </w:r>
        <w:r>
          <w:rPr>
            <w:noProof/>
            <w:webHidden/>
          </w:rPr>
          <w:fldChar w:fldCharType="separate"/>
        </w:r>
        <w:r>
          <w:rPr>
            <w:noProof/>
            <w:webHidden/>
          </w:rPr>
          <w:t>5</w:t>
        </w:r>
        <w:r>
          <w:rPr>
            <w:noProof/>
            <w:webHidden/>
          </w:rPr>
          <w:fldChar w:fldCharType="end"/>
        </w:r>
      </w:hyperlink>
    </w:p>
    <w:p w14:paraId="719C0303" w14:textId="77777777" w:rsidR="001379C7" w:rsidRPr="00EC455B" w:rsidRDefault="001379C7" w:rsidP="001379C7">
      <w:pPr>
        <w:pStyle w:val="Heading1"/>
        <w:spacing w:before="240"/>
      </w:pPr>
      <w:r>
        <w:fldChar w:fldCharType="end"/>
      </w:r>
      <w:bookmarkStart w:id="7" w:name="_Toc415526402"/>
      <w:bookmarkStart w:id="8" w:name="_Toc524094902"/>
      <w:r w:rsidRPr="00EC455B">
        <w:t>Introduction</w:t>
      </w:r>
      <w:bookmarkEnd w:id="7"/>
      <w:bookmarkEnd w:id="8"/>
    </w:p>
    <w:p w14:paraId="092C7D8F" w14:textId="77777777" w:rsidR="001379C7" w:rsidRPr="00EC455B" w:rsidRDefault="001379C7" w:rsidP="001379C7">
      <w:pPr>
        <w:rPr>
          <w:lang w:eastAsia="en-AU"/>
        </w:rPr>
      </w:pPr>
      <w:r w:rsidRPr="00EC455B">
        <w:rPr>
          <w:lang w:eastAsia="en-AU"/>
        </w:rPr>
        <w:t xml:space="preserve">The </w:t>
      </w:r>
      <w:r w:rsidRPr="00B159D6">
        <w:rPr>
          <w:lang w:eastAsia="en-AU"/>
        </w:rPr>
        <w:t xml:space="preserve">Work Health and Safety (National Uniform Legislation) Regulations </w:t>
      </w:r>
      <w:r>
        <w:rPr>
          <w:lang w:eastAsia="en-AU"/>
        </w:rPr>
        <w:t>– the WHS (NUL) Regulations provides</w:t>
      </w:r>
      <w:r w:rsidRPr="00EC455B">
        <w:rPr>
          <w:lang w:eastAsia="en-AU"/>
        </w:rPr>
        <w:t xml:space="preserve"> for the notification to the </w:t>
      </w:r>
      <w:r>
        <w:rPr>
          <w:lang w:eastAsia="en-AU"/>
        </w:rPr>
        <w:t xml:space="preserve">Regulator </w:t>
      </w:r>
      <w:r w:rsidRPr="00EC455B">
        <w:rPr>
          <w:lang w:eastAsia="en-AU"/>
        </w:rPr>
        <w:t>of:</w:t>
      </w:r>
    </w:p>
    <w:p w14:paraId="0AD986FB" w14:textId="77777777" w:rsidR="001379C7" w:rsidRPr="00DA6675" w:rsidRDefault="001379C7" w:rsidP="001379C7">
      <w:pPr>
        <w:pStyle w:val="ListParagraph"/>
        <w:numPr>
          <w:ilvl w:val="0"/>
          <w:numId w:val="34"/>
        </w:numPr>
      </w:pPr>
      <w:r>
        <w:rPr>
          <w:lang w:eastAsia="en-AU"/>
        </w:rPr>
        <w:t>lead risk work,</w:t>
      </w:r>
      <w:r w:rsidRPr="00DA6675">
        <w:rPr>
          <w:lang w:eastAsia="en-AU"/>
        </w:rPr>
        <w:t xml:space="preserve"> and </w:t>
      </w:r>
    </w:p>
    <w:p w14:paraId="561C0F38" w14:textId="77777777" w:rsidR="001379C7" w:rsidRPr="00DA6675" w:rsidRDefault="001379C7" w:rsidP="001379C7">
      <w:pPr>
        <w:pStyle w:val="ListParagraph"/>
        <w:numPr>
          <w:ilvl w:val="0"/>
          <w:numId w:val="34"/>
        </w:numPr>
        <w:rPr>
          <w:lang w:eastAsia="en-AU"/>
        </w:rPr>
      </w:pPr>
      <w:proofErr w:type="gramStart"/>
      <w:r w:rsidRPr="00DA6675">
        <w:rPr>
          <w:lang w:eastAsia="en-AU"/>
        </w:rPr>
        <w:t>the</w:t>
      </w:r>
      <w:proofErr w:type="gramEnd"/>
      <w:r w:rsidRPr="00DA6675">
        <w:rPr>
          <w:lang w:eastAsia="en-AU"/>
        </w:rPr>
        <w:t xml:space="preserve"> removal of a worker from lead risk work.</w:t>
      </w:r>
    </w:p>
    <w:p w14:paraId="0D80AE7D" w14:textId="77777777" w:rsidR="001379C7" w:rsidRDefault="001379C7" w:rsidP="001379C7">
      <w:pPr>
        <w:rPr>
          <w:lang w:eastAsia="en-AU"/>
        </w:rPr>
      </w:pPr>
      <w:r w:rsidRPr="00633E47">
        <w:rPr>
          <w:lang w:eastAsia="en-AU"/>
        </w:rPr>
        <w:t xml:space="preserve">A person conducting a business or undertaking </w:t>
      </w:r>
      <w:r>
        <w:rPr>
          <w:lang w:eastAsia="en-AU"/>
        </w:rPr>
        <w:t xml:space="preserve">(PCBU) </w:t>
      </w:r>
      <w:r w:rsidRPr="00633E47">
        <w:rPr>
          <w:lang w:eastAsia="en-AU"/>
        </w:rPr>
        <w:t xml:space="preserve">at a workplace is required to ensure, so far as reasonably practicable, the health and safety of workers and others.  Notifications of lead risk work and the removal of workers from lead risk work provides risk based information to the </w:t>
      </w:r>
      <w:r>
        <w:rPr>
          <w:lang w:eastAsia="en-AU"/>
        </w:rPr>
        <w:t xml:space="preserve">Regulator </w:t>
      </w:r>
      <w:r w:rsidRPr="00633E47">
        <w:rPr>
          <w:lang w:eastAsia="en-AU"/>
        </w:rPr>
        <w:t>so it can apply resources and target compliance and enforcement actions to areas of greatest risk to health and safety.</w:t>
      </w:r>
    </w:p>
    <w:p w14:paraId="1CB2AE67" w14:textId="77777777" w:rsidR="001379C7" w:rsidRDefault="001379C7" w:rsidP="001379C7">
      <w:pPr>
        <w:pStyle w:val="Heading2"/>
        <w:spacing w:before="240"/>
      </w:pPr>
      <w:bookmarkStart w:id="9" w:name="_Toc302961744"/>
      <w:bookmarkStart w:id="10" w:name="_Toc313952557"/>
      <w:bookmarkStart w:id="11" w:name="_Toc415526403"/>
      <w:bookmarkStart w:id="12" w:name="_Toc524094903"/>
      <w:r w:rsidRPr="00B441C5">
        <w:t>Scope</w:t>
      </w:r>
      <w:bookmarkEnd w:id="9"/>
      <w:bookmarkEnd w:id="10"/>
      <w:bookmarkEnd w:id="11"/>
      <w:bookmarkEnd w:id="12"/>
    </w:p>
    <w:p w14:paraId="0DD979B7" w14:textId="77777777" w:rsidR="001379C7" w:rsidRPr="00C6135E" w:rsidRDefault="001379C7" w:rsidP="001379C7">
      <w:pPr>
        <w:pStyle w:val="Heading3"/>
        <w:spacing w:before="120" w:after="60"/>
      </w:pPr>
      <w:bookmarkStart w:id="13" w:name="_Toc415526404"/>
      <w:r w:rsidRPr="00C6135E">
        <w:t>Definitions</w:t>
      </w:r>
      <w:bookmarkEnd w:id="13"/>
    </w:p>
    <w:p w14:paraId="6B1F2237" w14:textId="77777777" w:rsidR="001379C7" w:rsidRPr="00EC455B" w:rsidRDefault="001379C7" w:rsidP="001379C7">
      <w:pPr>
        <w:rPr>
          <w:lang w:eastAsia="en-AU"/>
        </w:rPr>
      </w:pPr>
      <w:r w:rsidRPr="00EC455B">
        <w:rPr>
          <w:lang w:eastAsia="en-AU"/>
        </w:rPr>
        <w:t>Lead risk work means work carried out in a lead process that is likely to cause the blood level of a worker carrying out the work to be more than:</w:t>
      </w:r>
    </w:p>
    <w:p w14:paraId="247095C9" w14:textId="77777777" w:rsidR="001379C7" w:rsidRPr="00DA6675" w:rsidRDefault="001379C7" w:rsidP="001379C7">
      <w:pPr>
        <w:pStyle w:val="ListParagraph"/>
        <w:numPr>
          <w:ilvl w:val="0"/>
          <w:numId w:val="35"/>
        </w:numPr>
        <w:rPr>
          <w:lang w:eastAsia="en-AU"/>
        </w:rPr>
      </w:pPr>
      <w:r w:rsidRPr="00DA6675">
        <w:rPr>
          <w:lang w:eastAsia="en-AU"/>
        </w:rPr>
        <w:t>for a female of reproductive ca</w:t>
      </w:r>
      <w:r>
        <w:rPr>
          <w:lang w:eastAsia="en-AU"/>
        </w:rPr>
        <w:t>pacity – 10 µg/</w:t>
      </w:r>
      <w:proofErr w:type="spellStart"/>
      <w:r>
        <w:rPr>
          <w:lang w:eastAsia="en-AU"/>
        </w:rPr>
        <w:t>dL</w:t>
      </w:r>
      <w:proofErr w:type="spellEnd"/>
      <w:r>
        <w:rPr>
          <w:lang w:eastAsia="en-AU"/>
        </w:rPr>
        <w:t xml:space="preserve"> (0.48 µ</w:t>
      </w:r>
      <w:proofErr w:type="spellStart"/>
      <w:r>
        <w:rPr>
          <w:lang w:eastAsia="en-AU"/>
        </w:rPr>
        <w:t>mol</w:t>
      </w:r>
      <w:proofErr w:type="spellEnd"/>
      <w:r>
        <w:rPr>
          <w:lang w:eastAsia="en-AU"/>
        </w:rPr>
        <w:t>/L),</w:t>
      </w:r>
      <w:r w:rsidRPr="00DA6675">
        <w:rPr>
          <w:lang w:eastAsia="en-AU"/>
        </w:rPr>
        <w:t xml:space="preserve"> or </w:t>
      </w:r>
    </w:p>
    <w:p w14:paraId="0E2F18F6" w14:textId="77777777" w:rsidR="001379C7" w:rsidRPr="00DA6675" w:rsidRDefault="001379C7" w:rsidP="001379C7">
      <w:pPr>
        <w:pStyle w:val="ListParagraph"/>
        <w:numPr>
          <w:ilvl w:val="0"/>
          <w:numId w:val="35"/>
        </w:numPr>
        <w:rPr>
          <w:lang w:eastAsia="en-AU"/>
        </w:rPr>
      </w:pPr>
      <w:r w:rsidRPr="00DA6675">
        <w:rPr>
          <w:lang w:eastAsia="en-AU"/>
        </w:rPr>
        <w:t>In any other case – 30 µg/</w:t>
      </w:r>
      <w:proofErr w:type="spellStart"/>
      <w:r w:rsidRPr="00DA6675">
        <w:rPr>
          <w:lang w:eastAsia="en-AU"/>
        </w:rPr>
        <w:t>dL</w:t>
      </w:r>
      <w:proofErr w:type="spellEnd"/>
      <w:r w:rsidRPr="00DA6675">
        <w:rPr>
          <w:lang w:eastAsia="en-AU"/>
        </w:rPr>
        <w:t xml:space="preserve"> (1.45 µ</w:t>
      </w:r>
      <w:proofErr w:type="spellStart"/>
      <w:r w:rsidRPr="00DA6675">
        <w:rPr>
          <w:lang w:eastAsia="en-AU"/>
        </w:rPr>
        <w:t>mol</w:t>
      </w:r>
      <w:proofErr w:type="spellEnd"/>
      <w:r w:rsidRPr="00DA6675">
        <w:rPr>
          <w:lang w:eastAsia="en-AU"/>
        </w:rPr>
        <w:t>/L).</w:t>
      </w:r>
    </w:p>
    <w:p w14:paraId="3FDD6025" w14:textId="77777777" w:rsidR="001379C7" w:rsidRDefault="001379C7" w:rsidP="001379C7">
      <w:pPr>
        <w:rPr>
          <w:rFonts w:cs="Arial"/>
          <w:lang w:eastAsia="en-AU"/>
        </w:rPr>
      </w:pPr>
      <w:r>
        <w:rPr>
          <w:rFonts w:cs="Arial"/>
          <w:lang w:eastAsia="en-AU"/>
        </w:rPr>
        <w:t>Regulation 394</w:t>
      </w:r>
    </w:p>
    <w:p w14:paraId="2ABE4FEC" w14:textId="77777777" w:rsidR="001379C7" w:rsidRDefault="001379C7" w:rsidP="001379C7">
      <w:pPr>
        <w:rPr>
          <w:lang w:eastAsia="en-AU"/>
        </w:rPr>
      </w:pPr>
      <w:r w:rsidRPr="00EC455B">
        <w:rPr>
          <w:lang w:eastAsia="en-AU"/>
        </w:rPr>
        <w:lastRenderedPageBreak/>
        <w:t>The meaning of a lead process is set out in Regulation 392. “Lead” is defined in Regulation 5 of the WHS</w:t>
      </w:r>
      <w:r>
        <w:rPr>
          <w:lang w:eastAsia="en-AU"/>
        </w:rPr>
        <w:t> (NUL)</w:t>
      </w:r>
      <w:r w:rsidRPr="00EC455B">
        <w:rPr>
          <w:lang w:eastAsia="en-AU"/>
        </w:rPr>
        <w:t xml:space="preserve"> Regulations as meaning “lead metal, lead alloys, inorganic lead compounds, and lead salts of organic kinds”.</w:t>
      </w:r>
    </w:p>
    <w:p w14:paraId="620CDA76" w14:textId="77777777" w:rsidR="001379C7" w:rsidRPr="00B441C5" w:rsidRDefault="001379C7" w:rsidP="001379C7">
      <w:pPr>
        <w:pStyle w:val="Heading3"/>
        <w:spacing w:before="120" w:after="60"/>
      </w:pPr>
      <w:bookmarkStart w:id="14" w:name="_Toc415526405"/>
      <w:r w:rsidRPr="00B441C5">
        <w:t>Assessment</w:t>
      </w:r>
      <w:bookmarkEnd w:id="14"/>
    </w:p>
    <w:p w14:paraId="2225D6E2" w14:textId="77777777" w:rsidR="001379C7" w:rsidRPr="00633E47" w:rsidRDefault="001379C7" w:rsidP="001379C7">
      <w:pPr>
        <w:rPr>
          <w:lang w:eastAsia="en-AU"/>
        </w:rPr>
      </w:pPr>
      <w:r w:rsidRPr="00633E47">
        <w:rPr>
          <w:lang w:eastAsia="en-AU"/>
        </w:rPr>
        <w:t xml:space="preserve">A </w:t>
      </w:r>
      <w:r>
        <w:rPr>
          <w:lang w:eastAsia="en-AU"/>
        </w:rPr>
        <w:t>PCBU</w:t>
      </w:r>
      <w:r w:rsidRPr="00633E47">
        <w:rPr>
          <w:lang w:eastAsia="en-AU"/>
        </w:rPr>
        <w:t xml:space="preserve"> at a workplace must assess each lead process carried out by the business or undertaking to determine if lead risk work is carried out in the process</w:t>
      </w:r>
      <w:r>
        <w:rPr>
          <w:lang w:eastAsia="en-AU"/>
        </w:rPr>
        <w:t xml:space="preserve"> – Regulation 402(1).</w:t>
      </w:r>
    </w:p>
    <w:p w14:paraId="20B152CD" w14:textId="77777777" w:rsidR="001379C7" w:rsidRPr="00633E47" w:rsidRDefault="001379C7" w:rsidP="001379C7">
      <w:pPr>
        <w:rPr>
          <w:lang w:eastAsia="en-AU"/>
        </w:rPr>
      </w:pPr>
      <w:r w:rsidRPr="00633E47">
        <w:rPr>
          <w:lang w:eastAsia="en-AU"/>
        </w:rPr>
        <w:t xml:space="preserve">If the </w:t>
      </w:r>
      <w:r>
        <w:rPr>
          <w:lang w:eastAsia="en-AU"/>
        </w:rPr>
        <w:t>PCBU</w:t>
      </w:r>
      <w:r w:rsidRPr="00633E47">
        <w:rPr>
          <w:lang w:eastAsia="en-AU"/>
        </w:rPr>
        <w:t xml:space="preserve"> at a workplace is unable to determine whether lead risk work is carried out in a lead process, the process is taken to include lead risk work until the person determines that lead risk work is not carried out in </w:t>
      </w:r>
      <w:r>
        <w:rPr>
          <w:lang w:eastAsia="en-AU"/>
        </w:rPr>
        <w:t>the process – Regulation 402(4).</w:t>
      </w:r>
    </w:p>
    <w:p w14:paraId="4DC24CE0" w14:textId="77777777" w:rsidR="001379C7" w:rsidRDefault="001379C7" w:rsidP="001379C7">
      <w:pPr>
        <w:rPr>
          <w:lang w:eastAsia="en-AU"/>
        </w:rPr>
      </w:pPr>
      <w:r w:rsidRPr="00633E47">
        <w:rPr>
          <w:lang w:eastAsia="en-AU"/>
        </w:rPr>
        <w:t xml:space="preserve">The </w:t>
      </w:r>
      <w:r>
        <w:rPr>
          <w:lang w:eastAsia="en-AU"/>
        </w:rPr>
        <w:t xml:space="preserve">Regulator </w:t>
      </w:r>
      <w:r w:rsidRPr="00633E47">
        <w:rPr>
          <w:lang w:eastAsia="en-AU"/>
        </w:rPr>
        <w:t>can decide that a process to be carried out at a</w:t>
      </w:r>
      <w:r>
        <w:rPr>
          <w:lang w:eastAsia="en-AU"/>
        </w:rPr>
        <w:t xml:space="preserve"> workplace is a lead process. A </w:t>
      </w:r>
      <w:r w:rsidRPr="00633E47">
        <w:rPr>
          <w:lang w:eastAsia="en-AU"/>
        </w:rPr>
        <w:t>decision that a process is a lead process is a reviewable decision</w:t>
      </w:r>
      <w:r w:rsidRPr="008D080E">
        <w:rPr>
          <w:lang w:eastAsia="en-AU"/>
        </w:rPr>
        <w:t xml:space="preserve"> – </w:t>
      </w:r>
      <w:r w:rsidRPr="00633E47">
        <w:rPr>
          <w:lang w:eastAsia="en-AU"/>
        </w:rPr>
        <w:t xml:space="preserve">Regulation </w:t>
      </w:r>
      <w:r>
        <w:rPr>
          <w:lang w:eastAsia="en-AU"/>
        </w:rPr>
        <w:t>393</w:t>
      </w:r>
    </w:p>
    <w:p w14:paraId="320C1560" w14:textId="77777777" w:rsidR="001379C7" w:rsidRPr="00B441C5" w:rsidRDefault="001379C7" w:rsidP="001379C7">
      <w:pPr>
        <w:pStyle w:val="Heading3"/>
        <w:spacing w:before="120" w:after="60"/>
      </w:pPr>
      <w:bookmarkStart w:id="15" w:name="_Toc415526406"/>
      <w:r w:rsidRPr="00B441C5">
        <w:t>Lead risk work</w:t>
      </w:r>
      <w:bookmarkEnd w:id="15"/>
      <w:r w:rsidRPr="00B441C5">
        <w:t xml:space="preserve"> </w:t>
      </w:r>
    </w:p>
    <w:p w14:paraId="149CE236" w14:textId="77777777" w:rsidR="001379C7" w:rsidRPr="00B441C5" w:rsidRDefault="001379C7" w:rsidP="001379C7">
      <w:pPr>
        <w:rPr>
          <w:lang w:eastAsia="en-AU"/>
        </w:rPr>
      </w:pPr>
      <w:r w:rsidRPr="00B441C5">
        <w:rPr>
          <w:lang w:eastAsia="en-AU"/>
        </w:rPr>
        <w:t xml:space="preserve">Notification is required when lead risk work is undertaken by the </w:t>
      </w:r>
      <w:r>
        <w:rPr>
          <w:lang w:eastAsia="en-AU"/>
        </w:rPr>
        <w:t>PCBU</w:t>
      </w:r>
      <w:r w:rsidRPr="00B441C5">
        <w:rPr>
          <w:lang w:eastAsia="en-AU"/>
        </w:rPr>
        <w:t xml:space="preserve"> at a workplace after determining t</w:t>
      </w:r>
      <w:r>
        <w:rPr>
          <w:lang w:eastAsia="en-AU"/>
        </w:rPr>
        <w:t>hat the work is lead risk work – Regulation 403(1),</w:t>
      </w:r>
      <w:r w:rsidRPr="00B441C5">
        <w:rPr>
          <w:lang w:eastAsia="en-AU"/>
        </w:rPr>
        <w:t xml:space="preserve"> and</w:t>
      </w:r>
    </w:p>
    <w:p w14:paraId="619EFF64" w14:textId="77777777" w:rsidR="001379C7" w:rsidRDefault="001379C7" w:rsidP="001379C7">
      <w:pPr>
        <w:rPr>
          <w:lang w:eastAsia="en-AU"/>
        </w:rPr>
      </w:pPr>
      <w:r w:rsidRPr="00B441C5">
        <w:rPr>
          <w:lang w:eastAsia="en-AU"/>
        </w:rPr>
        <w:t>Where work carried out to rescue a person or provide first aid to a person is determined by the emergency services organisation to be le</w:t>
      </w:r>
      <w:r>
        <w:rPr>
          <w:lang w:eastAsia="en-AU"/>
        </w:rPr>
        <w:t>ad risk work – Regulation 403(4)</w:t>
      </w:r>
      <w:r w:rsidRPr="00B441C5">
        <w:rPr>
          <w:lang w:eastAsia="en-AU"/>
        </w:rPr>
        <w:t>.</w:t>
      </w:r>
    </w:p>
    <w:p w14:paraId="2BB88E00" w14:textId="77777777" w:rsidR="001379C7" w:rsidRPr="00B441C5" w:rsidRDefault="001379C7" w:rsidP="001379C7">
      <w:pPr>
        <w:pStyle w:val="Heading3"/>
        <w:spacing w:before="120" w:after="60"/>
      </w:pPr>
      <w:bookmarkStart w:id="16" w:name="_Toc415526407"/>
      <w:r w:rsidRPr="00B441C5">
        <w:t>Removal of worker from lead risk work</w:t>
      </w:r>
      <w:bookmarkEnd w:id="16"/>
    </w:p>
    <w:p w14:paraId="622C5457" w14:textId="77777777" w:rsidR="001379C7" w:rsidRPr="00B441C5" w:rsidRDefault="001379C7" w:rsidP="001379C7">
      <w:pPr>
        <w:rPr>
          <w:lang w:eastAsia="en-AU"/>
        </w:rPr>
      </w:pPr>
      <w:r w:rsidRPr="00B441C5">
        <w:rPr>
          <w:lang w:eastAsia="en-AU"/>
        </w:rPr>
        <w:t xml:space="preserve">Part 7.1 of the WHS </w:t>
      </w:r>
      <w:r>
        <w:rPr>
          <w:lang w:eastAsia="en-AU"/>
        </w:rPr>
        <w:t xml:space="preserve">(NUL) </w:t>
      </w:r>
      <w:r w:rsidRPr="00B441C5">
        <w:rPr>
          <w:lang w:eastAsia="en-AU"/>
        </w:rPr>
        <w:t>Regulations impose obligations on the person conducting a business or undertaking to ensure health monitoring is provided to workers both before</w:t>
      </w:r>
      <w:r>
        <w:rPr>
          <w:lang w:eastAsia="en-AU"/>
        </w:rPr>
        <w:t xml:space="preserve"> and after commencing lead risk </w:t>
      </w:r>
      <w:r w:rsidRPr="00B441C5">
        <w:rPr>
          <w:lang w:eastAsia="en-AU"/>
        </w:rPr>
        <w:t xml:space="preserve">work. </w:t>
      </w:r>
    </w:p>
    <w:p w14:paraId="59AC6C3D" w14:textId="77777777" w:rsidR="001379C7" w:rsidRPr="00B441C5" w:rsidRDefault="001379C7" w:rsidP="001379C7">
      <w:pPr>
        <w:rPr>
          <w:lang w:eastAsia="en-AU"/>
        </w:rPr>
      </w:pPr>
      <w:r w:rsidRPr="00B441C5">
        <w:rPr>
          <w:lang w:eastAsia="en-AU"/>
        </w:rPr>
        <w:t>Notification is required if a worker is removed from carrying out lead risk w</w:t>
      </w:r>
      <w:r>
        <w:rPr>
          <w:lang w:eastAsia="en-AU"/>
        </w:rPr>
        <w:t>ork following health monitoring </w:t>
      </w:r>
      <w:r w:rsidRPr="00B441C5">
        <w:rPr>
          <w:lang w:eastAsia="en-AU"/>
        </w:rPr>
        <w:t>where:</w:t>
      </w:r>
    </w:p>
    <w:p w14:paraId="46C149CF" w14:textId="77777777" w:rsidR="001379C7" w:rsidRPr="00DA6675" w:rsidRDefault="001379C7" w:rsidP="001379C7">
      <w:pPr>
        <w:pStyle w:val="ListParagraph"/>
        <w:numPr>
          <w:ilvl w:val="0"/>
          <w:numId w:val="36"/>
        </w:numPr>
        <w:rPr>
          <w:lang w:eastAsia="en-AU"/>
        </w:rPr>
      </w:pPr>
      <w:r w:rsidRPr="00DA6675">
        <w:rPr>
          <w:lang w:eastAsia="en-AU"/>
        </w:rPr>
        <w:t>Biological monitoring shows the workers blood lead level is, or is more than:</w:t>
      </w:r>
    </w:p>
    <w:p w14:paraId="00396863" w14:textId="77777777" w:rsidR="001379C7" w:rsidRPr="00DA6675" w:rsidRDefault="001379C7" w:rsidP="001379C7">
      <w:pPr>
        <w:pStyle w:val="ListParagraph"/>
        <w:numPr>
          <w:ilvl w:val="0"/>
          <w:numId w:val="41"/>
        </w:numPr>
        <w:rPr>
          <w:lang w:eastAsia="en-AU"/>
        </w:rPr>
      </w:pPr>
      <w:r w:rsidRPr="00DA6675">
        <w:rPr>
          <w:lang w:eastAsia="en-AU"/>
        </w:rPr>
        <w:t>50 µg/</w:t>
      </w:r>
      <w:proofErr w:type="spellStart"/>
      <w:r w:rsidRPr="00DA6675">
        <w:rPr>
          <w:lang w:eastAsia="en-AU"/>
        </w:rPr>
        <w:t>dL</w:t>
      </w:r>
      <w:proofErr w:type="spellEnd"/>
      <w:r w:rsidRPr="00DA6675">
        <w:rPr>
          <w:lang w:eastAsia="en-AU"/>
        </w:rPr>
        <w:t xml:space="preserve"> (2.42 µ</w:t>
      </w:r>
      <w:proofErr w:type="spellStart"/>
      <w:r w:rsidRPr="00DA6675">
        <w:rPr>
          <w:lang w:eastAsia="en-AU"/>
        </w:rPr>
        <w:t>mol</w:t>
      </w:r>
      <w:proofErr w:type="spellEnd"/>
      <w:r w:rsidRPr="00DA6675">
        <w:rPr>
          <w:lang w:eastAsia="en-AU"/>
        </w:rPr>
        <w:t>/L) for females not of reproductive capacity and males</w:t>
      </w:r>
      <w:r>
        <w:rPr>
          <w:lang w:eastAsia="en-AU"/>
        </w:rPr>
        <w:t>,</w:t>
      </w:r>
      <w:r w:rsidRPr="00DA6675">
        <w:rPr>
          <w:lang w:eastAsia="en-AU"/>
        </w:rPr>
        <w:t xml:space="preserve"> or</w:t>
      </w:r>
    </w:p>
    <w:p w14:paraId="35665DCE" w14:textId="77777777" w:rsidR="001379C7" w:rsidRPr="00DA6675" w:rsidRDefault="001379C7" w:rsidP="001379C7">
      <w:pPr>
        <w:pStyle w:val="ListParagraph"/>
        <w:numPr>
          <w:ilvl w:val="0"/>
          <w:numId w:val="41"/>
        </w:numPr>
        <w:rPr>
          <w:lang w:eastAsia="en-AU"/>
        </w:rPr>
      </w:pPr>
      <w:r w:rsidRPr="00DA6675">
        <w:rPr>
          <w:lang w:eastAsia="en-AU"/>
        </w:rPr>
        <w:t>20 µg/</w:t>
      </w:r>
      <w:proofErr w:type="spellStart"/>
      <w:r w:rsidRPr="00DA6675">
        <w:rPr>
          <w:lang w:eastAsia="en-AU"/>
        </w:rPr>
        <w:t>dL</w:t>
      </w:r>
      <w:proofErr w:type="spellEnd"/>
      <w:r w:rsidRPr="00DA6675">
        <w:rPr>
          <w:lang w:eastAsia="en-AU"/>
        </w:rPr>
        <w:t xml:space="preserve"> (0.97 µ</w:t>
      </w:r>
      <w:proofErr w:type="spellStart"/>
      <w:r w:rsidRPr="00DA6675">
        <w:rPr>
          <w:lang w:eastAsia="en-AU"/>
        </w:rPr>
        <w:t>mol</w:t>
      </w:r>
      <w:proofErr w:type="spellEnd"/>
      <w:r w:rsidRPr="00DA6675">
        <w:rPr>
          <w:lang w:eastAsia="en-AU"/>
        </w:rPr>
        <w:t>/L) for females of reproductive capacity</w:t>
      </w:r>
      <w:r>
        <w:rPr>
          <w:lang w:eastAsia="en-AU"/>
        </w:rPr>
        <w:t>,</w:t>
      </w:r>
      <w:r w:rsidRPr="00DA6675">
        <w:rPr>
          <w:lang w:eastAsia="en-AU"/>
        </w:rPr>
        <w:t xml:space="preserve"> or</w:t>
      </w:r>
    </w:p>
    <w:p w14:paraId="33297863" w14:textId="77777777" w:rsidR="001379C7" w:rsidRPr="00DA6675" w:rsidRDefault="001379C7" w:rsidP="001379C7">
      <w:pPr>
        <w:pStyle w:val="ListParagraph"/>
        <w:numPr>
          <w:ilvl w:val="0"/>
          <w:numId w:val="41"/>
        </w:numPr>
        <w:rPr>
          <w:lang w:eastAsia="en-AU"/>
        </w:rPr>
      </w:pPr>
      <w:r w:rsidRPr="00DA6675">
        <w:rPr>
          <w:lang w:eastAsia="en-AU"/>
        </w:rPr>
        <w:t>15 µg/</w:t>
      </w:r>
      <w:proofErr w:type="spellStart"/>
      <w:r w:rsidRPr="00DA6675">
        <w:rPr>
          <w:lang w:eastAsia="en-AU"/>
        </w:rPr>
        <w:t>dL</w:t>
      </w:r>
      <w:proofErr w:type="spellEnd"/>
      <w:r w:rsidRPr="00DA6675">
        <w:rPr>
          <w:lang w:eastAsia="en-AU"/>
        </w:rPr>
        <w:t xml:space="preserve"> (0.72 µ</w:t>
      </w:r>
      <w:proofErr w:type="spellStart"/>
      <w:r w:rsidRPr="00DA6675">
        <w:rPr>
          <w:lang w:eastAsia="en-AU"/>
        </w:rPr>
        <w:t>mol</w:t>
      </w:r>
      <w:proofErr w:type="spellEnd"/>
      <w:r w:rsidRPr="00DA6675">
        <w:rPr>
          <w:lang w:eastAsia="en-AU"/>
        </w:rPr>
        <w:t>/L) for females who are pregnant or breastfeeding</w:t>
      </w:r>
      <w:r>
        <w:rPr>
          <w:lang w:eastAsia="en-AU"/>
        </w:rPr>
        <w:t>,</w:t>
      </w:r>
      <w:r w:rsidRPr="00DA6675">
        <w:rPr>
          <w:lang w:eastAsia="en-AU"/>
        </w:rPr>
        <w:t xml:space="preserve"> or</w:t>
      </w:r>
    </w:p>
    <w:p w14:paraId="58FC39F1" w14:textId="77777777" w:rsidR="001379C7" w:rsidRPr="00DA6675" w:rsidRDefault="001379C7" w:rsidP="001379C7">
      <w:pPr>
        <w:pStyle w:val="ListParagraph"/>
        <w:numPr>
          <w:ilvl w:val="0"/>
          <w:numId w:val="36"/>
        </w:numPr>
        <w:rPr>
          <w:lang w:eastAsia="en-AU"/>
        </w:rPr>
      </w:pPr>
      <w:r w:rsidRPr="00DA6675">
        <w:rPr>
          <w:lang w:eastAsia="en-AU"/>
        </w:rPr>
        <w:t>The registered medical practitioner recommends that the worker be removed from carrying out lead risk work</w:t>
      </w:r>
      <w:r>
        <w:rPr>
          <w:lang w:eastAsia="en-AU"/>
        </w:rPr>
        <w:t>,</w:t>
      </w:r>
      <w:r w:rsidRPr="00DA6675">
        <w:rPr>
          <w:lang w:eastAsia="en-AU"/>
        </w:rPr>
        <w:t xml:space="preserve"> or</w:t>
      </w:r>
    </w:p>
    <w:p w14:paraId="5F47B36E" w14:textId="77777777" w:rsidR="001379C7" w:rsidRPr="00DA6675" w:rsidRDefault="001379C7" w:rsidP="001379C7">
      <w:pPr>
        <w:pStyle w:val="ListParagraph"/>
        <w:numPr>
          <w:ilvl w:val="0"/>
          <w:numId w:val="36"/>
        </w:numPr>
        <w:rPr>
          <w:lang w:eastAsia="en-AU"/>
        </w:rPr>
      </w:pPr>
      <w:r w:rsidRPr="00DA6675">
        <w:rPr>
          <w:lang w:eastAsia="en-AU"/>
        </w:rPr>
        <w:t>There is an indication that a risk control measure has failed and as a result, the worker’s blood lead level is likely to reach the relevant level for the worker to be removed from carrying out lead risk work.</w:t>
      </w:r>
    </w:p>
    <w:p w14:paraId="5CBB7DD8" w14:textId="77777777" w:rsidR="001379C7" w:rsidRDefault="001379C7" w:rsidP="001379C7">
      <w:pPr>
        <w:rPr>
          <w:rFonts w:cs="Arial"/>
          <w:lang w:eastAsia="en-AU"/>
        </w:rPr>
      </w:pPr>
      <w:r>
        <w:rPr>
          <w:rFonts w:cs="Arial"/>
          <w:lang w:eastAsia="en-AU"/>
        </w:rPr>
        <w:t>Regulation 415</w:t>
      </w:r>
    </w:p>
    <w:p w14:paraId="1FD79D1D" w14:textId="77777777" w:rsidR="001379C7" w:rsidRPr="00B441C5" w:rsidRDefault="001379C7" w:rsidP="001379C7">
      <w:pPr>
        <w:pStyle w:val="Heading1"/>
      </w:pPr>
      <w:bookmarkStart w:id="17" w:name="_Toc302961745"/>
      <w:bookmarkStart w:id="18" w:name="_Toc313952558"/>
      <w:bookmarkStart w:id="19" w:name="_Toc415526408"/>
      <w:bookmarkStart w:id="20" w:name="_Toc524094904"/>
      <w:r w:rsidRPr="00B441C5">
        <w:t>Who must notify</w:t>
      </w:r>
      <w:bookmarkEnd w:id="17"/>
      <w:bookmarkEnd w:id="18"/>
      <w:bookmarkEnd w:id="19"/>
      <w:bookmarkEnd w:id="20"/>
      <w:r w:rsidRPr="00B441C5">
        <w:t xml:space="preserve"> </w:t>
      </w:r>
    </w:p>
    <w:p w14:paraId="2DB32C9D" w14:textId="77777777" w:rsidR="001379C7" w:rsidRPr="00B441C5" w:rsidRDefault="001379C7" w:rsidP="001379C7">
      <w:pPr>
        <w:pStyle w:val="ListParagraph"/>
        <w:numPr>
          <w:ilvl w:val="0"/>
          <w:numId w:val="42"/>
        </w:numPr>
        <w:spacing w:after="0"/>
        <w:ind w:left="714" w:hanging="357"/>
        <w:contextualSpacing w:val="0"/>
        <w:rPr>
          <w:lang w:eastAsia="en-AU"/>
        </w:rPr>
      </w:pPr>
      <w:r w:rsidRPr="00B441C5">
        <w:rPr>
          <w:lang w:eastAsia="en-AU"/>
        </w:rPr>
        <w:t xml:space="preserve">A </w:t>
      </w:r>
      <w:r>
        <w:rPr>
          <w:lang w:eastAsia="en-AU"/>
        </w:rPr>
        <w:t>PCBU</w:t>
      </w:r>
      <w:r w:rsidRPr="00B441C5">
        <w:rPr>
          <w:lang w:eastAsia="en-AU"/>
        </w:rPr>
        <w:t xml:space="preserve"> at a workplace that has determined or is unable to determine that the work at the workplace is lead risk work</w:t>
      </w:r>
      <w:r>
        <w:rPr>
          <w:lang w:eastAsia="en-AU"/>
        </w:rPr>
        <w:t xml:space="preserve"> – Regulations 403(1) and 402(4)</w:t>
      </w:r>
      <w:r w:rsidRPr="00B441C5">
        <w:rPr>
          <w:lang w:eastAsia="en-AU"/>
        </w:rPr>
        <w:t>.</w:t>
      </w:r>
    </w:p>
    <w:p w14:paraId="4DC35D06" w14:textId="77777777" w:rsidR="001379C7" w:rsidRPr="00B441C5" w:rsidRDefault="001379C7" w:rsidP="001379C7">
      <w:pPr>
        <w:pStyle w:val="ListParagraph"/>
        <w:numPr>
          <w:ilvl w:val="0"/>
          <w:numId w:val="42"/>
        </w:numPr>
        <w:spacing w:after="120"/>
        <w:ind w:left="714" w:hanging="357"/>
        <w:contextualSpacing w:val="0"/>
        <w:rPr>
          <w:lang w:eastAsia="en-AU"/>
        </w:rPr>
      </w:pPr>
      <w:r w:rsidRPr="00B441C5">
        <w:rPr>
          <w:lang w:eastAsia="en-AU"/>
        </w:rPr>
        <w:t xml:space="preserve">A </w:t>
      </w:r>
      <w:r>
        <w:rPr>
          <w:lang w:eastAsia="en-AU"/>
        </w:rPr>
        <w:t>PCBU</w:t>
      </w:r>
      <w:r w:rsidRPr="00B441C5">
        <w:rPr>
          <w:lang w:eastAsia="en-AU"/>
        </w:rPr>
        <w:t xml:space="preserve"> who has removed a worker from carrying out lead risk work following health monitoring results</w:t>
      </w:r>
      <w:r>
        <w:rPr>
          <w:lang w:eastAsia="en-AU"/>
        </w:rPr>
        <w:t xml:space="preserve"> – Regulation 415</w:t>
      </w:r>
      <w:r w:rsidRPr="00B441C5">
        <w:rPr>
          <w:lang w:eastAsia="en-AU"/>
        </w:rPr>
        <w:t xml:space="preserve">. “Person conducting a business or undertaking” is defined in Section 5 of the </w:t>
      </w:r>
      <w:r w:rsidRPr="00EC425F">
        <w:rPr>
          <w:i/>
          <w:lang w:eastAsia="en-AU"/>
        </w:rPr>
        <w:t>Work Health and Safety (National Uniform Legislation)</w:t>
      </w:r>
      <w:r>
        <w:rPr>
          <w:lang w:eastAsia="en-AU"/>
        </w:rPr>
        <w:t xml:space="preserve"> </w:t>
      </w:r>
      <w:r w:rsidRPr="00603A68">
        <w:rPr>
          <w:i/>
          <w:lang w:eastAsia="en-AU"/>
        </w:rPr>
        <w:t>Act</w:t>
      </w:r>
      <w:r>
        <w:rPr>
          <w:lang w:eastAsia="en-AU"/>
        </w:rPr>
        <w:t xml:space="preserve"> – the WHS (NUL) Act</w:t>
      </w:r>
      <w:r w:rsidRPr="00B441C5">
        <w:rPr>
          <w:lang w:eastAsia="en-AU"/>
        </w:rPr>
        <w:t>.</w:t>
      </w:r>
    </w:p>
    <w:p w14:paraId="5AD48EC9" w14:textId="77777777" w:rsidR="001379C7" w:rsidRPr="00B441C5" w:rsidRDefault="001379C7" w:rsidP="001379C7">
      <w:pPr>
        <w:rPr>
          <w:lang w:eastAsia="en-AU"/>
        </w:rPr>
      </w:pPr>
      <w:r w:rsidRPr="00B441C5">
        <w:rPr>
          <w:lang w:eastAsia="en-AU"/>
        </w:rPr>
        <w:t xml:space="preserve">A </w:t>
      </w:r>
      <w:r>
        <w:rPr>
          <w:lang w:eastAsia="en-AU"/>
        </w:rPr>
        <w:t>PCBU</w:t>
      </w:r>
      <w:r w:rsidRPr="00B441C5">
        <w:rPr>
          <w:lang w:eastAsia="en-AU"/>
        </w:rPr>
        <w:t xml:space="preserve"> may be an individual, a body corporate, a government agency, a partnership or an unincorporated association.</w:t>
      </w:r>
    </w:p>
    <w:p w14:paraId="2776AC88" w14:textId="77777777" w:rsidR="001379C7" w:rsidRDefault="001379C7" w:rsidP="001379C7">
      <w:pPr>
        <w:spacing w:after="120"/>
        <w:rPr>
          <w:lang w:eastAsia="en-AU"/>
        </w:rPr>
      </w:pPr>
      <w:r w:rsidRPr="00B441C5">
        <w:rPr>
          <w:lang w:eastAsia="en-AU"/>
        </w:rPr>
        <w:t>An emergency service organisation where in the course of rescuing a person or providing first aid to a person, determines that the work is lead risk work</w:t>
      </w:r>
      <w:r>
        <w:rPr>
          <w:lang w:eastAsia="en-AU"/>
        </w:rPr>
        <w:t xml:space="preserve"> – Regulation 403(4)</w:t>
      </w:r>
      <w:r w:rsidRPr="00B441C5">
        <w:rPr>
          <w:lang w:eastAsia="en-AU"/>
        </w:rPr>
        <w:t>.</w:t>
      </w:r>
    </w:p>
    <w:p w14:paraId="0EC5AC62" w14:textId="77777777" w:rsidR="001379C7" w:rsidRDefault="001379C7" w:rsidP="001379C7">
      <w:pPr>
        <w:pStyle w:val="Heading2"/>
        <w:spacing w:before="240"/>
      </w:pPr>
      <w:bookmarkStart w:id="21" w:name="_Toc302961746"/>
      <w:bookmarkStart w:id="22" w:name="_Toc313952559"/>
      <w:bookmarkStart w:id="23" w:name="_Toc415526409"/>
      <w:bookmarkStart w:id="24" w:name="_Toc524094905"/>
      <w:r w:rsidRPr="00B441C5">
        <w:lastRenderedPageBreak/>
        <w:t>When to notify</w:t>
      </w:r>
      <w:bookmarkEnd w:id="21"/>
      <w:bookmarkEnd w:id="22"/>
      <w:bookmarkEnd w:id="23"/>
      <w:bookmarkEnd w:id="24"/>
    </w:p>
    <w:p w14:paraId="5072F04F" w14:textId="77777777" w:rsidR="001379C7" w:rsidRPr="00B441C5" w:rsidRDefault="001379C7" w:rsidP="001379C7">
      <w:pPr>
        <w:pStyle w:val="Heading3"/>
        <w:spacing w:before="120" w:after="60"/>
      </w:pPr>
      <w:bookmarkStart w:id="25" w:name="_Toc415526410"/>
      <w:r w:rsidRPr="00B441C5">
        <w:t>Lead risk work</w:t>
      </w:r>
      <w:bookmarkEnd w:id="25"/>
    </w:p>
    <w:p w14:paraId="6479F631" w14:textId="77777777" w:rsidR="001379C7" w:rsidRPr="00B441C5" w:rsidRDefault="001379C7" w:rsidP="001379C7">
      <w:pPr>
        <w:rPr>
          <w:lang w:eastAsia="en-AU"/>
        </w:rPr>
      </w:pPr>
      <w:r w:rsidRPr="00B441C5">
        <w:rPr>
          <w:lang w:eastAsia="en-AU"/>
        </w:rPr>
        <w:t xml:space="preserve">Notification to the </w:t>
      </w:r>
      <w:r>
        <w:rPr>
          <w:lang w:eastAsia="en-AU"/>
        </w:rPr>
        <w:t xml:space="preserve">Regulator </w:t>
      </w:r>
      <w:r w:rsidRPr="00B441C5">
        <w:rPr>
          <w:lang w:eastAsia="en-AU"/>
        </w:rPr>
        <w:t xml:space="preserve">is required within 7 days of the determination that the work is lead risk work </w:t>
      </w:r>
      <w:r>
        <w:rPr>
          <w:lang w:eastAsia="en-AU"/>
        </w:rPr>
        <w:t>– Regulation 403(1),</w:t>
      </w:r>
      <w:r w:rsidRPr="00B441C5">
        <w:rPr>
          <w:lang w:eastAsia="en-AU"/>
        </w:rPr>
        <w:t xml:space="preserve"> or if a determination is unable to be made</w:t>
      </w:r>
      <w:r>
        <w:rPr>
          <w:lang w:eastAsia="en-AU"/>
        </w:rPr>
        <w:t xml:space="preserve"> – Regulation 402(4)</w:t>
      </w:r>
      <w:r w:rsidRPr="00B441C5">
        <w:rPr>
          <w:lang w:eastAsia="en-AU"/>
        </w:rPr>
        <w:t xml:space="preserve">. </w:t>
      </w:r>
    </w:p>
    <w:p w14:paraId="35E69A6E" w14:textId="77777777" w:rsidR="001379C7" w:rsidRDefault="001379C7" w:rsidP="001379C7">
      <w:pPr>
        <w:rPr>
          <w:lang w:eastAsia="en-AU"/>
        </w:rPr>
      </w:pPr>
      <w:r w:rsidRPr="00B441C5">
        <w:rPr>
          <w:lang w:eastAsia="en-AU"/>
        </w:rPr>
        <w:t xml:space="preserve">Notification to the </w:t>
      </w:r>
      <w:r>
        <w:rPr>
          <w:lang w:eastAsia="en-AU"/>
        </w:rPr>
        <w:t xml:space="preserve">Regulator </w:t>
      </w:r>
      <w:r w:rsidRPr="00B441C5">
        <w:rPr>
          <w:lang w:eastAsia="en-AU"/>
        </w:rPr>
        <w:t>by an emergency service organisation is required as soon as practicable after determining that the work is lead risk work</w:t>
      </w:r>
      <w:r>
        <w:rPr>
          <w:lang w:eastAsia="en-AU"/>
        </w:rPr>
        <w:t xml:space="preserve"> – Regulation 403(4)</w:t>
      </w:r>
      <w:r w:rsidRPr="00B441C5">
        <w:rPr>
          <w:lang w:eastAsia="en-AU"/>
        </w:rPr>
        <w:t>.</w:t>
      </w:r>
    </w:p>
    <w:p w14:paraId="6ABF45A0" w14:textId="77777777" w:rsidR="001379C7" w:rsidRPr="00B441C5" w:rsidRDefault="001379C7" w:rsidP="001379C7">
      <w:pPr>
        <w:pStyle w:val="Heading3"/>
        <w:spacing w:before="120" w:after="60"/>
      </w:pPr>
      <w:bookmarkStart w:id="26" w:name="_Toc415526411"/>
      <w:r w:rsidRPr="00B441C5">
        <w:t>Removal of worker from lead risk work</w:t>
      </w:r>
      <w:bookmarkEnd w:id="26"/>
      <w:r w:rsidRPr="00B441C5">
        <w:t xml:space="preserve"> </w:t>
      </w:r>
    </w:p>
    <w:p w14:paraId="46DEF8E5" w14:textId="77777777" w:rsidR="001379C7" w:rsidRDefault="001379C7" w:rsidP="001379C7">
      <w:pPr>
        <w:rPr>
          <w:lang w:eastAsia="en-AU"/>
        </w:rPr>
      </w:pPr>
      <w:r w:rsidRPr="00B441C5">
        <w:rPr>
          <w:lang w:eastAsia="en-AU"/>
        </w:rPr>
        <w:t xml:space="preserve">Notification to the </w:t>
      </w:r>
      <w:r>
        <w:rPr>
          <w:lang w:eastAsia="en-AU"/>
        </w:rPr>
        <w:t xml:space="preserve">Regulator </w:t>
      </w:r>
      <w:r w:rsidRPr="00B441C5">
        <w:rPr>
          <w:lang w:eastAsia="en-AU"/>
        </w:rPr>
        <w:t>is required as soon as reasonably possible if a worker is removed from carrying out lead risk work</w:t>
      </w:r>
      <w:r>
        <w:rPr>
          <w:lang w:eastAsia="en-AU"/>
        </w:rPr>
        <w:t xml:space="preserve"> – Regulation 415 (2).</w:t>
      </w:r>
    </w:p>
    <w:p w14:paraId="72FF4700" w14:textId="77777777" w:rsidR="001379C7" w:rsidRPr="00B441C5" w:rsidRDefault="001379C7" w:rsidP="001379C7">
      <w:pPr>
        <w:pStyle w:val="Heading1"/>
      </w:pPr>
      <w:bookmarkStart w:id="27" w:name="_Toc302961747"/>
      <w:bookmarkStart w:id="28" w:name="_Toc313952560"/>
      <w:bookmarkStart w:id="29" w:name="_Toc415526412"/>
      <w:bookmarkStart w:id="30" w:name="_Toc291054788"/>
      <w:bookmarkStart w:id="31" w:name="_Toc524094906"/>
      <w:r w:rsidRPr="00B441C5">
        <w:t>How to Notify</w:t>
      </w:r>
      <w:bookmarkEnd w:id="27"/>
      <w:bookmarkEnd w:id="28"/>
      <w:bookmarkEnd w:id="29"/>
      <w:bookmarkEnd w:id="31"/>
      <w:r w:rsidRPr="00B441C5">
        <w:t xml:space="preserve"> </w:t>
      </w:r>
      <w:bookmarkEnd w:id="30"/>
    </w:p>
    <w:p w14:paraId="4653B4B9" w14:textId="77777777" w:rsidR="001379C7" w:rsidRDefault="001379C7" w:rsidP="001379C7">
      <w:pPr>
        <w:rPr>
          <w:lang w:eastAsia="en-AU"/>
        </w:rPr>
      </w:pPr>
      <w:r w:rsidRPr="00B441C5">
        <w:rPr>
          <w:lang w:eastAsia="en-AU"/>
        </w:rPr>
        <w:t xml:space="preserve">Notifications are required to be made to the </w:t>
      </w:r>
      <w:r>
        <w:rPr>
          <w:lang w:eastAsia="en-AU"/>
        </w:rPr>
        <w:t xml:space="preserve">Regulator </w:t>
      </w:r>
      <w:r w:rsidRPr="00B441C5">
        <w:rPr>
          <w:lang w:eastAsia="en-AU"/>
        </w:rPr>
        <w:t xml:space="preserve">in the State or Territory or the Commonwealth in which the workplace that carries out the lead risk work is located. Notification forms are available on NT </w:t>
      </w:r>
      <w:proofErr w:type="spellStart"/>
      <w:r w:rsidRPr="00B441C5">
        <w:rPr>
          <w:lang w:eastAsia="en-AU"/>
        </w:rPr>
        <w:t>WorkSafe’s</w:t>
      </w:r>
      <w:proofErr w:type="spellEnd"/>
      <w:r w:rsidRPr="00B441C5">
        <w:rPr>
          <w:lang w:eastAsia="en-AU"/>
        </w:rPr>
        <w:t xml:space="preserve"> website </w:t>
      </w:r>
      <w:r w:rsidRPr="00B441C5">
        <w:t>www.worksafe.nt.gov.au</w:t>
      </w:r>
    </w:p>
    <w:p w14:paraId="14490270" w14:textId="77777777" w:rsidR="001379C7" w:rsidRPr="00B441C5" w:rsidRDefault="001379C7" w:rsidP="001379C7">
      <w:pPr>
        <w:pStyle w:val="Heading2"/>
        <w:spacing w:before="240"/>
      </w:pPr>
      <w:bookmarkStart w:id="32" w:name="_Toc302961748"/>
      <w:bookmarkStart w:id="33" w:name="_Toc313952561"/>
      <w:bookmarkStart w:id="34" w:name="_Toc415526413"/>
      <w:bookmarkStart w:id="35" w:name="_Toc524094907"/>
      <w:r w:rsidRPr="00B441C5">
        <w:t>Fees</w:t>
      </w:r>
      <w:bookmarkEnd w:id="32"/>
      <w:bookmarkEnd w:id="33"/>
      <w:bookmarkEnd w:id="34"/>
      <w:bookmarkEnd w:id="35"/>
    </w:p>
    <w:p w14:paraId="4FEF455F" w14:textId="77777777" w:rsidR="001379C7" w:rsidRDefault="001379C7" w:rsidP="001379C7">
      <w:pPr>
        <w:rPr>
          <w:lang w:eastAsia="en-AU"/>
        </w:rPr>
      </w:pPr>
      <w:r w:rsidRPr="00B441C5">
        <w:rPr>
          <w:lang w:eastAsia="en-AU"/>
        </w:rPr>
        <w:t>There is no fee for a notification of lead risk work or the notification of the rem</w:t>
      </w:r>
      <w:r>
        <w:rPr>
          <w:lang w:eastAsia="en-AU"/>
        </w:rPr>
        <w:t>oval of a worker from lead risk </w:t>
      </w:r>
      <w:r w:rsidRPr="00B441C5">
        <w:rPr>
          <w:lang w:eastAsia="en-AU"/>
        </w:rPr>
        <w:t>work.</w:t>
      </w:r>
    </w:p>
    <w:p w14:paraId="294540AE" w14:textId="77777777" w:rsidR="001379C7" w:rsidRDefault="001379C7" w:rsidP="001379C7">
      <w:pPr>
        <w:pStyle w:val="Heading1"/>
        <w:spacing w:after="0"/>
      </w:pPr>
      <w:bookmarkStart w:id="36" w:name="_Toc302961749"/>
      <w:bookmarkStart w:id="37" w:name="_Toc313952562"/>
      <w:bookmarkStart w:id="38" w:name="_Toc415526414"/>
      <w:bookmarkStart w:id="39" w:name="_Toc524094908"/>
      <w:r w:rsidRPr="00B441C5">
        <w:t>What information does the regulator require?</w:t>
      </w:r>
      <w:bookmarkEnd w:id="36"/>
      <w:bookmarkEnd w:id="37"/>
      <w:bookmarkEnd w:id="38"/>
      <w:bookmarkEnd w:id="39"/>
    </w:p>
    <w:p w14:paraId="60CF0DA7" w14:textId="77777777" w:rsidR="001379C7" w:rsidRPr="00603A68" w:rsidRDefault="001379C7" w:rsidP="001379C7">
      <w:pPr>
        <w:pStyle w:val="Heading3"/>
        <w:spacing w:before="120" w:after="60"/>
      </w:pPr>
      <w:bookmarkStart w:id="40" w:name="_Toc415526415"/>
      <w:bookmarkStart w:id="41" w:name="_Toc417375821"/>
      <w:r w:rsidRPr="00603A68">
        <w:t>Lead risk work</w:t>
      </w:r>
      <w:bookmarkEnd w:id="40"/>
      <w:bookmarkEnd w:id="41"/>
    </w:p>
    <w:p w14:paraId="024BB396" w14:textId="77777777" w:rsidR="001379C7" w:rsidRPr="00B441C5" w:rsidRDefault="001379C7" w:rsidP="001379C7">
      <w:pPr>
        <w:rPr>
          <w:lang w:eastAsia="en-AU"/>
        </w:rPr>
      </w:pPr>
      <w:r w:rsidRPr="00B441C5">
        <w:rPr>
          <w:lang w:eastAsia="en-AU"/>
        </w:rPr>
        <w:t xml:space="preserve">The </w:t>
      </w:r>
      <w:r>
        <w:rPr>
          <w:lang w:eastAsia="en-AU"/>
        </w:rPr>
        <w:t xml:space="preserve">Regulator </w:t>
      </w:r>
      <w:r w:rsidRPr="00B441C5">
        <w:rPr>
          <w:lang w:eastAsia="en-AU"/>
        </w:rPr>
        <w:t>requires written notification of lead risk work to include the following information:</w:t>
      </w:r>
    </w:p>
    <w:p w14:paraId="2D3534E5" w14:textId="77777777" w:rsidR="001379C7" w:rsidRPr="00DA6675" w:rsidRDefault="001379C7" w:rsidP="001379C7">
      <w:pPr>
        <w:pStyle w:val="ListParagraph"/>
        <w:numPr>
          <w:ilvl w:val="0"/>
          <w:numId w:val="37"/>
        </w:numPr>
        <w:rPr>
          <w:lang w:eastAsia="en-AU"/>
        </w:rPr>
      </w:pPr>
      <w:r w:rsidRPr="00DA6675">
        <w:rPr>
          <w:lang w:eastAsia="en-AU"/>
        </w:rPr>
        <w:t>Whether the notification is for a new notification or for an amendment (for change of details).</w:t>
      </w:r>
    </w:p>
    <w:p w14:paraId="6D3AFFE5" w14:textId="77777777" w:rsidR="001379C7" w:rsidRPr="00DA6675" w:rsidRDefault="001379C7" w:rsidP="001379C7">
      <w:pPr>
        <w:pStyle w:val="ListParagraph"/>
        <w:numPr>
          <w:ilvl w:val="0"/>
          <w:numId w:val="37"/>
        </w:numPr>
        <w:rPr>
          <w:lang w:eastAsia="en-AU"/>
        </w:rPr>
      </w:pPr>
      <w:r w:rsidRPr="00DA6675">
        <w:rPr>
          <w:lang w:eastAsia="en-AU"/>
        </w:rPr>
        <w:t xml:space="preserve">Name and contact details of the </w:t>
      </w:r>
      <w:r>
        <w:rPr>
          <w:lang w:eastAsia="en-AU"/>
        </w:rPr>
        <w:t>PCBU</w:t>
      </w:r>
      <w:r w:rsidRPr="00DA6675">
        <w:rPr>
          <w:lang w:eastAsia="en-AU"/>
        </w:rPr>
        <w:t xml:space="preserve"> including trading name, if applicable and ABN or the name and contact details of the emergency service organisation.</w:t>
      </w:r>
    </w:p>
    <w:p w14:paraId="0B77E8B5" w14:textId="77777777" w:rsidR="001379C7" w:rsidRDefault="001379C7" w:rsidP="001379C7">
      <w:pPr>
        <w:pStyle w:val="ListParagraph"/>
        <w:numPr>
          <w:ilvl w:val="0"/>
          <w:numId w:val="37"/>
        </w:numPr>
      </w:pPr>
      <w:r w:rsidRPr="00DA6675">
        <w:rPr>
          <w:lang w:eastAsia="en-AU"/>
        </w:rPr>
        <w:t>Details of the lead process being carried out.</w:t>
      </w:r>
    </w:p>
    <w:p w14:paraId="12272C9E" w14:textId="77777777" w:rsidR="001379C7" w:rsidRPr="00DA6675" w:rsidRDefault="001379C7" w:rsidP="001379C7">
      <w:pPr>
        <w:pStyle w:val="ListParagraph"/>
        <w:numPr>
          <w:ilvl w:val="0"/>
          <w:numId w:val="37"/>
        </w:numPr>
        <w:rPr>
          <w:lang w:eastAsia="en-AU"/>
        </w:rPr>
      </w:pPr>
      <w:r w:rsidRPr="00DA6675">
        <w:rPr>
          <w:lang w:eastAsia="en-AU"/>
        </w:rPr>
        <w:t>Address of the workplace at which the lead risk work is being carried out.</w:t>
      </w:r>
    </w:p>
    <w:p w14:paraId="03E75A1B" w14:textId="77777777" w:rsidR="001379C7" w:rsidRPr="00DA6675" w:rsidRDefault="001379C7" w:rsidP="001379C7">
      <w:pPr>
        <w:pStyle w:val="ListParagraph"/>
        <w:numPr>
          <w:ilvl w:val="0"/>
          <w:numId w:val="37"/>
        </w:numPr>
        <w:rPr>
          <w:lang w:eastAsia="en-AU"/>
        </w:rPr>
      </w:pPr>
      <w:r w:rsidRPr="00DA6675">
        <w:rPr>
          <w:lang w:eastAsia="en-AU"/>
        </w:rPr>
        <w:t>Risk control measures to minimise worker exposure.</w:t>
      </w:r>
    </w:p>
    <w:p w14:paraId="5D7873D5" w14:textId="77777777" w:rsidR="001379C7" w:rsidRPr="00DA6675" w:rsidRDefault="001379C7" w:rsidP="001379C7">
      <w:pPr>
        <w:pStyle w:val="ListParagraph"/>
        <w:numPr>
          <w:ilvl w:val="0"/>
          <w:numId w:val="37"/>
        </w:numPr>
        <w:rPr>
          <w:lang w:eastAsia="en-AU"/>
        </w:rPr>
      </w:pPr>
      <w:r w:rsidRPr="00DA6675">
        <w:rPr>
          <w:lang w:eastAsia="en-AU"/>
        </w:rPr>
        <w:t>Date of commencement of the lead risk work and proposed completion date if the work is short term such as abrasive blasting of lead paint from a structure.</w:t>
      </w:r>
    </w:p>
    <w:p w14:paraId="71008ACB" w14:textId="77777777" w:rsidR="001379C7" w:rsidRPr="00DA6675" w:rsidRDefault="001379C7" w:rsidP="001379C7">
      <w:pPr>
        <w:pStyle w:val="ListParagraph"/>
        <w:numPr>
          <w:ilvl w:val="0"/>
          <w:numId w:val="37"/>
        </w:numPr>
        <w:rPr>
          <w:lang w:eastAsia="en-AU"/>
        </w:rPr>
      </w:pPr>
      <w:r w:rsidRPr="00DA6675">
        <w:rPr>
          <w:lang w:eastAsia="en-AU"/>
        </w:rPr>
        <w:t>Date when the workers carrying out the lead risk work were last tested for blood lead levels and the results of those tests.</w:t>
      </w:r>
    </w:p>
    <w:p w14:paraId="3CD97479" w14:textId="77777777" w:rsidR="001379C7" w:rsidRPr="00DA6675" w:rsidRDefault="001379C7" w:rsidP="001379C7">
      <w:pPr>
        <w:pStyle w:val="ListParagraph"/>
        <w:numPr>
          <w:ilvl w:val="0"/>
          <w:numId w:val="37"/>
        </w:numPr>
        <w:rPr>
          <w:lang w:eastAsia="en-AU"/>
        </w:rPr>
      </w:pPr>
      <w:r w:rsidRPr="00DA6675">
        <w:rPr>
          <w:lang w:eastAsia="en-AU"/>
        </w:rPr>
        <w:t>Name of the registered medical practitioner who conducted medical examinations and biological monitoring of the workers carrying out lead risk work.</w:t>
      </w:r>
    </w:p>
    <w:p w14:paraId="7D5620FE" w14:textId="77777777" w:rsidR="001379C7" w:rsidRPr="00D31BE3" w:rsidRDefault="001379C7" w:rsidP="001379C7">
      <w:pPr>
        <w:pStyle w:val="ListParagraph"/>
        <w:numPr>
          <w:ilvl w:val="0"/>
          <w:numId w:val="37"/>
        </w:numPr>
      </w:pPr>
      <w:r w:rsidRPr="00DA6675">
        <w:rPr>
          <w:lang w:eastAsia="en-AU"/>
        </w:rPr>
        <w:t>Address and contact details of the medical practitioner’s practice</w:t>
      </w:r>
      <w:r>
        <w:rPr>
          <w:lang w:eastAsia="en-AU"/>
        </w:rPr>
        <w:t>.</w:t>
      </w:r>
    </w:p>
    <w:p w14:paraId="6C3CA4B6" w14:textId="77777777" w:rsidR="001379C7" w:rsidRPr="00B441C5" w:rsidRDefault="001379C7" w:rsidP="001379C7">
      <w:pPr>
        <w:pStyle w:val="Heading3"/>
        <w:spacing w:before="120" w:after="60"/>
      </w:pPr>
      <w:bookmarkStart w:id="42" w:name="_Toc415526416"/>
      <w:r w:rsidRPr="00B441C5">
        <w:t>Worker removed from lead risk work</w:t>
      </w:r>
      <w:bookmarkEnd w:id="42"/>
    </w:p>
    <w:p w14:paraId="6D87BE72" w14:textId="77777777" w:rsidR="001379C7" w:rsidRPr="00B441C5" w:rsidRDefault="001379C7" w:rsidP="001379C7">
      <w:pPr>
        <w:rPr>
          <w:lang w:eastAsia="en-AU"/>
        </w:rPr>
      </w:pPr>
      <w:r w:rsidRPr="00B441C5">
        <w:rPr>
          <w:lang w:eastAsia="en-AU"/>
        </w:rPr>
        <w:t xml:space="preserve">The </w:t>
      </w:r>
      <w:r>
        <w:rPr>
          <w:lang w:eastAsia="en-AU"/>
        </w:rPr>
        <w:t xml:space="preserve">Regulator </w:t>
      </w:r>
      <w:r w:rsidRPr="00B441C5">
        <w:rPr>
          <w:lang w:eastAsia="en-AU"/>
        </w:rPr>
        <w:t>requires written notification of the removal of a worker from lead risk work to include the following information:</w:t>
      </w:r>
    </w:p>
    <w:p w14:paraId="0BA1FDA6" w14:textId="77777777" w:rsidR="001379C7" w:rsidRPr="00DA6675" w:rsidRDefault="001379C7" w:rsidP="001379C7">
      <w:pPr>
        <w:pStyle w:val="ListParagraph"/>
        <w:numPr>
          <w:ilvl w:val="0"/>
          <w:numId w:val="38"/>
        </w:numPr>
        <w:rPr>
          <w:lang w:eastAsia="en-AU"/>
        </w:rPr>
      </w:pPr>
      <w:r w:rsidRPr="00DA6675">
        <w:rPr>
          <w:lang w:eastAsia="en-AU"/>
        </w:rPr>
        <w:t xml:space="preserve">Name and contact details of the </w:t>
      </w:r>
      <w:r>
        <w:rPr>
          <w:lang w:eastAsia="en-AU"/>
        </w:rPr>
        <w:t>PCBU</w:t>
      </w:r>
      <w:r w:rsidRPr="00DA6675">
        <w:rPr>
          <w:lang w:eastAsia="en-AU"/>
        </w:rPr>
        <w:t xml:space="preserve"> including trading name, if applicable and ABN.</w:t>
      </w:r>
    </w:p>
    <w:p w14:paraId="608C81E0" w14:textId="77777777" w:rsidR="001379C7" w:rsidRPr="00DA6675" w:rsidRDefault="001379C7" w:rsidP="001379C7">
      <w:pPr>
        <w:pStyle w:val="ListParagraph"/>
        <w:numPr>
          <w:ilvl w:val="0"/>
          <w:numId w:val="38"/>
        </w:numPr>
        <w:rPr>
          <w:lang w:eastAsia="en-AU"/>
        </w:rPr>
      </w:pPr>
      <w:r w:rsidRPr="00DA6675">
        <w:rPr>
          <w:lang w:eastAsia="en-AU"/>
        </w:rPr>
        <w:t>The date on which the lead r</w:t>
      </w:r>
      <w:r>
        <w:rPr>
          <w:lang w:eastAsia="en-AU"/>
        </w:rPr>
        <w:t>isk works notification was made.</w:t>
      </w:r>
      <w:r w:rsidRPr="00DA6675">
        <w:rPr>
          <w:lang w:eastAsia="en-AU"/>
        </w:rPr>
        <w:t xml:space="preserve"> If a notification of the lead risk work was not made the information required for lead risk work notifications (refer above).</w:t>
      </w:r>
    </w:p>
    <w:p w14:paraId="095F4D8A" w14:textId="77777777" w:rsidR="001379C7" w:rsidRDefault="001379C7" w:rsidP="001379C7">
      <w:pPr>
        <w:pStyle w:val="ListParagraph"/>
        <w:numPr>
          <w:ilvl w:val="0"/>
          <w:numId w:val="38"/>
        </w:numPr>
      </w:pPr>
      <w:r w:rsidRPr="00DA6675">
        <w:rPr>
          <w:lang w:eastAsia="en-AU"/>
        </w:rPr>
        <w:t>Reason for removal of the worker: If removal was the result of increased blood lead levels the provision of the worker’s blood lead results, age and sex; if removal was at the recommendation of a registered medical practitioner, a brief description of the reason; if removal was due to the failure of a risk control measure, a description of the failure and the new risk control measure/s.</w:t>
      </w:r>
    </w:p>
    <w:p w14:paraId="282E4E79" w14:textId="77777777" w:rsidR="001379C7" w:rsidRDefault="001379C7" w:rsidP="001379C7">
      <w:pPr>
        <w:pStyle w:val="Heading1"/>
      </w:pPr>
      <w:bookmarkStart w:id="43" w:name="_Toc302961750"/>
      <w:bookmarkStart w:id="44" w:name="_Toc313952563"/>
      <w:bookmarkStart w:id="45" w:name="_Toc415526417"/>
      <w:bookmarkStart w:id="46" w:name="_Toc524094909"/>
      <w:r w:rsidRPr="00B441C5">
        <w:lastRenderedPageBreak/>
        <w:t>Obligations</w:t>
      </w:r>
      <w:bookmarkEnd w:id="43"/>
      <w:bookmarkEnd w:id="44"/>
      <w:bookmarkEnd w:id="45"/>
      <w:bookmarkEnd w:id="46"/>
    </w:p>
    <w:p w14:paraId="1385394C" w14:textId="77777777" w:rsidR="001379C7" w:rsidRPr="00603A68" w:rsidRDefault="001379C7" w:rsidP="001379C7">
      <w:pPr>
        <w:pStyle w:val="Heading3"/>
        <w:spacing w:before="120" w:after="60"/>
      </w:pPr>
      <w:bookmarkStart w:id="47" w:name="_Toc415526418"/>
      <w:bookmarkStart w:id="48" w:name="_Toc417375823"/>
      <w:r w:rsidRPr="00603A68">
        <w:t>Changes to details</w:t>
      </w:r>
      <w:bookmarkEnd w:id="47"/>
      <w:bookmarkEnd w:id="48"/>
    </w:p>
    <w:p w14:paraId="78F3DB11" w14:textId="77777777" w:rsidR="001379C7" w:rsidRDefault="001379C7" w:rsidP="001379C7">
      <w:pPr>
        <w:rPr>
          <w:lang w:eastAsia="en-AU"/>
        </w:rPr>
      </w:pPr>
      <w:r w:rsidRPr="00B441C5">
        <w:rPr>
          <w:lang w:eastAsia="en-AU"/>
        </w:rPr>
        <w:t xml:space="preserve">The </w:t>
      </w:r>
      <w:r>
        <w:rPr>
          <w:lang w:eastAsia="en-AU"/>
        </w:rPr>
        <w:t>PCBU</w:t>
      </w:r>
      <w:r w:rsidRPr="00B441C5">
        <w:rPr>
          <w:lang w:eastAsia="en-AU"/>
        </w:rPr>
        <w:t xml:space="preserve"> at a workplace where the work is lead risk work must advise the </w:t>
      </w:r>
      <w:r>
        <w:rPr>
          <w:lang w:eastAsia="en-AU"/>
        </w:rPr>
        <w:t xml:space="preserve">Regulator </w:t>
      </w:r>
      <w:r w:rsidRPr="00B441C5">
        <w:rPr>
          <w:lang w:eastAsia="en-AU"/>
        </w:rPr>
        <w:t>in writing of any changes to the information provided in a notification of lead risk work before the change or as soon as reasonably practicable aft</w:t>
      </w:r>
      <w:r>
        <w:rPr>
          <w:lang w:eastAsia="en-AU"/>
        </w:rPr>
        <w:t xml:space="preserve">er becoming aware of the change – </w:t>
      </w:r>
      <w:r w:rsidRPr="00B441C5">
        <w:rPr>
          <w:lang w:eastAsia="en-AU"/>
        </w:rPr>
        <w:t>Regulation 404(1).</w:t>
      </w:r>
    </w:p>
    <w:p w14:paraId="3E281FCD" w14:textId="77777777" w:rsidR="001379C7" w:rsidRPr="00603A68" w:rsidRDefault="001379C7" w:rsidP="001379C7">
      <w:pPr>
        <w:pStyle w:val="Heading3"/>
        <w:spacing w:before="120" w:after="60"/>
      </w:pPr>
      <w:bookmarkStart w:id="49" w:name="_Toc415526419"/>
      <w:bookmarkStart w:id="50" w:name="_Toc417375824"/>
      <w:r w:rsidRPr="00603A68">
        <w:t>Copy of notice</w:t>
      </w:r>
      <w:bookmarkEnd w:id="49"/>
      <w:bookmarkEnd w:id="50"/>
    </w:p>
    <w:p w14:paraId="2458C26F" w14:textId="77777777" w:rsidR="001379C7" w:rsidRPr="00B441C5" w:rsidRDefault="001379C7" w:rsidP="001379C7">
      <w:pPr>
        <w:rPr>
          <w:lang w:eastAsia="en-AU"/>
        </w:rPr>
      </w:pPr>
      <w:r w:rsidRPr="00B441C5">
        <w:rPr>
          <w:lang w:eastAsia="en-AU"/>
        </w:rPr>
        <w:t xml:space="preserve">The </w:t>
      </w:r>
      <w:r>
        <w:rPr>
          <w:lang w:eastAsia="en-AU"/>
        </w:rPr>
        <w:t>PCBU</w:t>
      </w:r>
      <w:r w:rsidRPr="00B441C5">
        <w:rPr>
          <w:lang w:eastAsia="en-AU"/>
        </w:rPr>
        <w:t xml:space="preserve"> at a workplace where lead risk work is carried out must:</w:t>
      </w:r>
    </w:p>
    <w:p w14:paraId="7C27D052" w14:textId="77777777" w:rsidR="001379C7" w:rsidRPr="00DA6675" w:rsidRDefault="001379C7" w:rsidP="001379C7">
      <w:pPr>
        <w:pStyle w:val="ListParagraph"/>
        <w:numPr>
          <w:ilvl w:val="0"/>
          <w:numId w:val="39"/>
        </w:numPr>
        <w:rPr>
          <w:lang w:eastAsia="en-AU"/>
        </w:rPr>
      </w:pPr>
      <w:r w:rsidRPr="00DA6675">
        <w:rPr>
          <w:lang w:eastAsia="en-AU"/>
        </w:rPr>
        <w:t xml:space="preserve">Keep a copy of the notice or changes to the notice given to the </w:t>
      </w:r>
      <w:r>
        <w:rPr>
          <w:lang w:eastAsia="en-AU"/>
        </w:rPr>
        <w:t xml:space="preserve">Regulator </w:t>
      </w:r>
      <w:r w:rsidRPr="00DA6675">
        <w:rPr>
          <w:lang w:eastAsia="en-AU"/>
        </w:rPr>
        <w:t xml:space="preserve">for the period that the lead risk work is carried out at the workplace, and </w:t>
      </w:r>
    </w:p>
    <w:p w14:paraId="1E6FDC3E" w14:textId="77777777" w:rsidR="001379C7" w:rsidRPr="00DA6675" w:rsidRDefault="001379C7" w:rsidP="001379C7">
      <w:pPr>
        <w:pStyle w:val="ListParagraph"/>
        <w:numPr>
          <w:ilvl w:val="0"/>
          <w:numId w:val="39"/>
        </w:numPr>
        <w:rPr>
          <w:lang w:eastAsia="en-AU"/>
        </w:rPr>
      </w:pPr>
      <w:r w:rsidRPr="00DA6675">
        <w:rPr>
          <w:lang w:eastAsia="en-AU"/>
        </w:rPr>
        <w:t>Ensure a copy of the notice or changes to the notice are readily accessible to a worker who is likely to be exposed to lead, and the worker’s health and safety representative.</w:t>
      </w:r>
    </w:p>
    <w:p w14:paraId="4460F324" w14:textId="77777777" w:rsidR="001379C7" w:rsidRDefault="001379C7" w:rsidP="001379C7">
      <w:pPr>
        <w:rPr>
          <w:lang w:eastAsia="en-AU"/>
        </w:rPr>
      </w:pPr>
      <w:r>
        <w:rPr>
          <w:lang w:eastAsia="en-AU"/>
        </w:rPr>
        <w:t>Regulation 404(2)</w:t>
      </w:r>
    </w:p>
    <w:p w14:paraId="565C83E5" w14:textId="77777777" w:rsidR="001379C7" w:rsidRPr="00DA6675" w:rsidRDefault="001379C7" w:rsidP="001379C7">
      <w:pPr>
        <w:pStyle w:val="Heading3"/>
        <w:spacing w:before="120" w:after="60"/>
      </w:pPr>
      <w:bookmarkStart w:id="51" w:name="_Toc415526420"/>
      <w:r w:rsidRPr="00DA6675">
        <w:t>Health monitoring</w:t>
      </w:r>
      <w:bookmarkEnd w:id="51"/>
    </w:p>
    <w:p w14:paraId="363CBD89" w14:textId="77777777" w:rsidR="001379C7" w:rsidRPr="00B441C5" w:rsidRDefault="001379C7" w:rsidP="001379C7">
      <w:pPr>
        <w:rPr>
          <w:lang w:eastAsia="en-AU"/>
        </w:rPr>
      </w:pPr>
      <w:r w:rsidRPr="00B441C5">
        <w:rPr>
          <w:lang w:eastAsia="en-AU"/>
        </w:rPr>
        <w:t xml:space="preserve">A </w:t>
      </w:r>
      <w:r>
        <w:rPr>
          <w:lang w:eastAsia="en-AU"/>
        </w:rPr>
        <w:t>PCBU</w:t>
      </w:r>
      <w:r w:rsidRPr="00B441C5">
        <w:rPr>
          <w:lang w:eastAsia="en-AU"/>
        </w:rPr>
        <w:t xml:space="preserve"> at a workplace that carries out </w:t>
      </w:r>
      <w:r>
        <w:rPr>
          <w:lang w:eastAsia="en-AU"/>
        </w:rPr>
        <w:t>lead risk work must arrange for </w:t>
      </w:r>
      <w:r w:rsidRPr="00B441C5">
        <w:rPr>
          <w:lang w:eastAsia="en-AU"/>
        </w:rPr>
        <w:t>biological monitoring of each worker who carries out lead risk work at the</w:t>
      </w:r>
      <w:r>
        <w:rPr>
          <w:lang w:eastAsia="en-AU"/>
        </w:rPr>
        <w:t xml:space="preserve"> times prescribed in Regulation </w:t>
      </w:r>
      <w:r w:rsidRPr="00B441C5">
        <w:rPr>
          <w:lang w:eastAsia="en-AU"/>
        </w:rPr>
        <w:t>407(1).</w:t>
      </w:r>
    </w:p>
    <w:p w14:paraId="53400656" w14:textId="77777777" w:rsidR="001379C7" w:rsidRDefault="001379C7" w:rsidP="001379C7">
      <w:pPr>
        <w:rPr>
          <w:lang w:eastAsia="en-AU"/>
        </w:rPr>
      </w:pPr>
      <w:r w:rsidRPr="00B441C5">
        <w:rPr>
          <w:lang w:eastAsia="en-AU"/>
        </w:rPr>
        <w:t xml:space="preserve">The </w:t>
      </w:r>
      <w:r>
        <w:rPr>
          <w:lang w:eastAsia="en-AU"/>
        </w:rPr>
        <w:t>PCBU</w:t>
      </w:r>
      <w:r w:rsidRPr="00B441C5">
        <w:rPr>
          <w:lang w:eastAsia="en-AU"/>
        </w:rPr>
        <w:t xml:space="preserve"> at a workplace that carries out lead risk work must increase the frequency of biological monitoring of a worker if the activity is likely to significantly change the nature or increase the duration or the frequency of the workers’ lead exposure</w:t>
      </w:r>
      <w:r>
        <w:rPr>
          <w:lang w:eastAsia="en-AU"/>
        </w:rPr>
        <w:t xml:space="preserve"> – Regulation 407(2).</w:t>
      </w:r>
    </w:p>
    <w:p w14:paraId="5A3FFBB7" w14:textId="77777777" w:rsidR="001379C7" w:rsidRPr="00D31BE3" w:rsidRDefault="001379C7" w:rsidP="001379C7">
      <w:pPr>
        <w:pStyle w:val="Heading1"/>
      </w:pPr>
      <w:bookmarkStart w:id="52" w:name="_Toc300212963"/>
      <w:bookmarkStart w:id="53" w:name="_Toc302961751"/>
      <w:bookmarkStart w:id="54" w:name="_Toc313952564"/>
      <w:bookmarkStart w:id="55" w:name="_Toc415526421"/>
      <w:bookmarkStart w:id="56" w:name="_Toc524094910"/>
      <w:r w:rsidRPr="00B441C5">
        <w:t>Application for review of decision</w:t>
      </w:r>
      <w:bookmarkEnd w:id="52"/>
      <w:bookmarkEnd w:id="53"/>
      <w:bookmarkEnd w:id="54"/>
      <w:bookmarkEnd w:id="55"/>
      <w:bookmarkEnd w:id="56"/>
    </w:p>
    <w:p w14:paraId="63A87997" w14:textId="77777777" w:rsidR="001379C7" w:rsidRPr="00B441C5" w:rsidRDefault="001379C7" w:rsidP="001379C7">
      <w:pPr>
        <w:rPr>
          <w:lang w:eastAsia="en-AU"/>
        </w:rPr>
      </w:pPr>
      <w:r w:rsidRPr="00B441C5">
        <w:rPr>
          <w:lang w:eastAsia="en-AU"/>
        </w:rPr>
        <w:t>The table in Regulation 676 sets out decisions that are reviewable (reviewable decisions) and who is eligible (eligible person) to apply for the review of a reviewable decision.</w:t>
      </w:r>
    </w:p>
    <w:p w14:paraId="514D7517" w14:textId="77777777" w:rsidR="001379C7" w:rsidRPr="00B441C5" w:rsidRDefault="001379C7" w:rsidP="001379C7">
      <w:pPr>
        <w:rPr>
          <w:lang w:eastAsia="en-AU"/>
        </w:rPr>
      </w:pPr>
      <w:r w:rsidRPr="00B441C5">
        <w:rPr>
          <w:lang w:eastAsia="en-AU"/>
        </w:rPr>
        <w:t xml:space="preserve">The </w:t>
      </w:r>
      <w:r>
        <w:rPr>
          <w:lang w:eastAsia="en-AU"/>
        </w:rPr>
        <w:t>PCBU</w:t>
      </w:r>
      <w:r w:rsidRPr="00B441C5">
        <w:rPr>
          <w:lang w:eastAsia="en-AU"/>
        </w:rPr>
        <w:t xml:space="preserve"> that carries out the lead process and/or a worker who is affected by the decision are eligible persons to request a review of a decision made by the </w:t>
      </w:r>
      <w:r>
        <w:rPr>
          <w:lang w:eastAsia="en-AU"/>
        </w:rPr>
        <w:t>Regulator</w:t>
      </w:r>
      <w:r w:rsidRPr="00B441C5">
        <w:rPr>
          <w:lang w:eastAsia="en-AU"/>
        </w:rPr>
        <w:t xml:space="preserve"> that a process is a lead process</w:t>
      </w:r>
      <w:r>
        <w:rPr>
          <w:lang w:eastAsia="en-AU"/>
        </w:rPr>
        <w:t xml:space="preserve"> – </w:t>
      </w:r>
      <w:r w:rsidRPr="00B441C5">
        <w:rPr>
          <w:lang w:eastAsia="en-AU"/>
        </w:rPr>
        <w:t>Regulation 393(1)]</w:t>
      </w:r>
    </w:p>
    <w:p w14:paraId="2391C807" w14:textId="77777777" w:rsidR="001379C7" w:rsidRDefault="001379C7" w:rsidP="001379C7">
      <w:pPr>
        <w:rPr>
          <w:lang w:eastAsia="en-AU"/>
        </w:rPr>
      </w:pPr>
      <w:r w:rsidRPr="00B441C5">
        <w:rPr>
          <w:lang w:eastAsia="en-AU"/>
        </w:rPr>
        <w:t xml:space="preserve">The </w:t>
      </w:r>
      <w:r>
        <w:rPr>
          <w:lang w:eastAsia="en-AU"/>
        </w:rPr>
        <w:t>PCBU</w:t>
      </w:r>
      <w:r w:rsidRPr="00B441C5">
        <w:rPr>
          <w:lang w:eastAsia="en-AU"/>
        </w:rPr>
        <w:t xml:space="preserve"> that carries out the lead process and/or a worker whose interests are affected by the decision are eligible persons to request a review of the determination made by the </w:t>
      </w:r>
      <w:r>
        <w:rPr>
          <w:lang w:eastAsia="en-AU"/>
        </w:rPr>
        <w:t>Regulator</w:t>
      </w:r>
      <w:r w:rsidRPr="00B441C5">
        <w:rPr>
          <w:lang w:eastAsia="en-AU"/>
        </w:rPr>
        <w:t xml:space="preserve"> of a different frequency for biological monitoring of workers at a workplace or a class of workers, carrying out lead risk work</w:t>
      </w:r>
      <w:r>
        <w:rPr>
          <w:lang w:eastAsia="en-AU"/>
        </w:rPr>
        <w:t xml:space="preserve"> – Regulation 407(3)</w:t>
      </w:r>
      <w:r w:rsidRPr="00B441C5">
        <w:rPr>
          <w:lang w:eastAsia="en-AU"/>
        </w:rPr>
        <w:t>.</w:t>
      </w:r>
    </w:p>
    <w:p w14:paraId="2AB371C3" w14:textId="77777777" w:rsidR="001379C7" w:rsidRPr="00B441C5" w:rsidRDefault="001379C7" w:rsidP="001379C7">
      <w:pPr>
        <w:pStyle w:val="Heading2"/>
      </w:pPr>
      <w:bookmarkStart w:id="57" w:name="_Toc287516690"/>
      <w:bookmarkStart w:id="58" w:name="_Toc300212964"/>
      <w:bookmarkStart w:id="59" w:name="_Toc302961752"/>
      <w:bookmarkStart w:id="60" w:name="_Toc313952565"/>
      <w:bookmarkStart w:id="61" w:name="_Toc415526422"/>
      <w:bookmarkStart w:id="62" w:name="_Toc524094911"/>
      <w:r w:rsidRPr="00B441C5">
        <w:t>Internal review</w:t>
      </w:r>
      <w:bookmarkEnd w:id="57"/>
      <w:bookmarkEnd w:id="58"/>
      <w:bookmarkEnd w:id="59"/>
      <w:bookmarkEnd w:id="60"/>
      <w:bookmarkEnd w:id="61"/>
      <w:bookmarkEnd w:id="62"/>
    </w:p>
    <w:p w14:paraId="412008AD" w14:textId="77777777" w:rsidR="001379C7" w:rsidRPr="00B441C5" w:rsidRDefault="001379C7" w:rsidP="001379C7">
      <w:pPr>
        <w:rPr>
          <w:lang w:eastAsia="en-AU"/>
        </w:rPr>
      </w:pPr>
      <w:r w:rsidRPr="00B441C5">
        <w:rPr>
          <w:lang w:eastAsia="en-AU"/>
        </w:rPr>
        <w:t xml:space="preserve">An application for internal review allows the </w:t>
      </w:r>
      <w:r>
        <w:rPr>
          <w:lang w:eastAsia="en-AU"/>
        </w:rPr>
        <w:t xml:space="preserve">Regulator’s </w:t>
      </w:r>
      <w:r w:rsidRPr="00B441C5">
        <w:rPr>
          <w:lang w:eastAsia="en-AU"/>
        </w:rPr>
        <w:t>decision to be reviewed and possibly changed by a person who was not involved in the original decision. A written application for the internal review of a reviewable decision is made using the application form provided by</w:t>
      </w:r>
      <w:r>
        <w:rPr>
          <w:lang w:eastAsia="en-AU"/>
        </w:rPr>
        <w:t xml:space="preserve"> the Regulator. The </w:t>
      </w:r>
      <w:r w:rsidRPr="00B441C5">
        <w:rPr>
          <w:lang w:eastAsia="en-AU"/>
        </w:rPr>
        <w:t xml:space="preserve">application must be lodged within 28 days after the day on which the decision first came to the eligible person’s notice or such longer period as the </w:t>
      </w:r>
      <w:r>
        <w:rPr>
          <w:lang w:eastAsia="en-AU"/>
        </w:rPr>
        <w:t xml:space="preserve">Regulator </w:t>
      </w:r>
      <w:r w:rsidRPr="00B441C5">
        <w:rPr>
          <w:lang w:eastAsia="en-AU"/>
        </w:rPr>
        <w:t>allows</w:t>
      </w:r>
      <w:r>
        <w:rPr>
          <w:lang w:eastAsia="en-AU"/>
        </w:rPr>
        <w:t xml:space="preserve"> – Regulation 678(1)</w:t>
      </w:r>
      <w:r w:rsidRPr="00B441C5">
        <w:rPr>
          <w:lang w:eastAsia="en-AU"/>
        </w:rPr>
        <w:t>.</w:t>
      </w:r>
    </w:p>
    <w:p w14:paraId="04F9AF97" w14:textId="77777777" w:rsidR="001379C7" w:rsidRPr="00B441C5" w:rsidRDefault="001379C7" w:rsidP="001379C7">
      <w:pPr>
        <w:rPr>
          <w:lang w:eastAsia="en-AU"/>
        </w:rPr>
      </w:pPr>
      <w:r w:rsidRPr="00B441C5">
        <w:rPr>
          <w:lang w:eastAsia="en-AU"/>
        </w:rPr>
        <w:t>The internal reviewer may:</w:t>
      </w:r>
    </w:p>
    <w:p w14:paraId="79D1E60E" w14:textId="77777777" w:rsidR="001379C7" w:rsidRPr="00DA6675" w:rsidRDefault="001379C7" w:rsidP="001379C7">
      <w:pPr>
        <w:pStyle w:val="ListParagraph"/>
        <w:numPr>
          <w:ilvl w:val="0"/>
          <w:numId w:val="40"/>
        </w:numPr>
        <w:rPr>
          <w:lang w:eastAsia="en-AU"/>
        </w:rPr>
      </w:pPr>
      <w:r w:rsidRPr="00DA6675">
        <w:rPr>
          <w:lang w:eastAsia="en-AU"/>
        </w:rPr>
        <w:t>confirm or vary the reviewable decision</w:t>
      </w:r>
      <w:r>
        <w:rPr>
          <w:lang w:eastAsia="en-AU"/>
        </w:rPr>
        <w:t>,</w:t>
      </w:r>
      <w:r w:rsidRPr="00DA6675">
        <w:rPr>
          <w:lang w:eastAsia="en-AU"/>
        </w:rPr>
        <w:t xml:space="preserve"> or</w:t>
      </w:r>
    </w:p>
    <w:p w14:paraId="04739BC1" w14:textId="77777777" w:rsidR="001379C7" w:rsidRPr="00DA6675" w:rsidRDefault="001379C7" w:rsidP="001379C7">
      <w:pPr>
        <w:pStyle w:val="ListParagraph"/>
        <w:numPr>
          <w:ilvl w:val="0"/>
          <w:numId w:val="40"/>
        </w:numPr>
        <w:rPr>
          <w:lang w:eastAsia="en-AU"/>
        </w:rPr>
      </w:pPr>
      <w:proofErr w:type="gramStart"/>
      <w:r w:rsidRPr="00DA6675">
        <w:rPr>
          <w:lang w:eastAsia="en-AU"/>
        </w:rPr>
        <w:t>set</w:t>
      </w:r>
      <w:proofErr w:type="gramEnd"/>
      <w:r w:rsidRPr="00DA6675">
        <w:rPr>
          <w:lang w:eastAsia="en-AU"/>
        </w:rPr>
        <w:t xml:space="preserve"> aside the reviewable decision and substitute another decision that the internal reviewer considers appropriate. </w:t>
      </w:r>
    </w:p>
    <w:p w14:paraId="622AE78B" w14:textId="77777777" w:rsidR="001379C7" w:rsidRPr="00B441C5" w:rsidRDefault="001379C7" w:rsidP="001379C7">
      <w:pPr>
        <w:rPr>
          <w:lang w:eastAsia="en-AU"/>
        </w:rPr>
      </w:pPr>
      <w:r>
        <w:rPr>
          <w:lang w:eastAsia="en-AU"/>
        </w:rPr>
        <w:t>Regulation 680(2)</w:t>
      </w:r>
    </w:p>
    <w:p w14:paraId="2301B4B0" w14:textId="77777777" w:rsidR="001379C7" w:rsidRPr="00B441C5" w:rsidRDefault="001379C7" w:rsidP="001379C7">
      <w:pPr>
        <w:rPr>
          <w:lang w:eastAsia="en-AU"/>
        </w:rPr>
      </w:pPr>
      <w:r w:rsidRPr="00B441C5">
        <w:rPr>
          <w:lang w:eastAsia="en-AU"/>
        </w:rPr>
        <w:t>If the reviewable decision is not varied or set aside within the 14 day period the internal decision is taken to have been confirmed</w:t>
      </w:r>
      <w:r>
        <w:rPr>
          <w:lang w:eastAsia="en-AU"/>
        </w:rPr>
        <w:t xml:space="preserve"> – Regulation 680(6)</w:t>
      </w:r>
      <w:r w:rsidRPr="00B441C5">
        <w:rPr>
          <w:lang w:eastAsia="en-AU"/>
        </w:rPr>
        <w:t>.</w:t>
      </w:r>
    </w:p>
    <w:p w14:paraId="137D7AB7" w14:textId="77777777" w:rsidR="001379C7" w:rsidRPr="00B441C5" w:rsidRDefault="001379C7" w:rsidP="001379C7">
      <w:pPr>
        <w:rPr>
          <w:lang w:eastAsia="en-AU"/>
        </w:rPr>
      </w:pPr>
      <w:r w:rsidRPr="00B441C5">
        <w:rPr>
          <w:lang w:eastAsia="en-AU"/>
        </w:rPr>
        <w:lastRenderedPageBreak/>
        <w:t xml:space="preserve">The </w:t>
      </w:r>
      <w:r>
        <w:rPr>
          <w:lang w:eastAsia="en-AU"/>
        </w:rPr>
        <w:t xml:space="preserve">Regulator </w:t>
      </w:r>
      <w:r w:rsidRPr="00B441C5">
        <w:rPr>
          <w:lang w:eastAsia="en-AU"/>
        </w:rPr>
        <w:t>will give the applicant written notice of the decision on the internal review and reasons for the decision within 14 days of making the decision</w:t>
      </w:r>
      <w:r>
        <w:rPr>
          <w:lang w:eastAsia="en-AU"/>
        </w:rPr>
        <w:t xml:space="preserve"> – </w:t>
      </w:r>
      <w:r w:rsidRPr="00B441C5">
        <w:rPr>
          <w:lang w:eastAsia="en-AU"/>
        </w:rPr>
        <w:t>Regulation 681.</w:t>
      </w:r>
    </w:p>
    <w:p w14:paraId="4FD9697D" w14:textId="77777777" w:rsidR="001379C7" w:rsidRDefault="001379C7" w:rsidP="001379C7">
      <w:pPr>
        <w:rPr>
          <w:lang w:eastAsia="en-AU"/>
        </w:rPr>
      </w:pPr>
      <w:r w:rsidRPr="00B441C5">
        <w:rPr>
          <w:lang w:eastAsia="en-AU"/>
        </w:rPr>
        <w:t xml:space="preserve">An application for an internal review does not affect the operation of the original decision or prevent the taking of any lawful action to implement or enforce the decision, though once the decision on internal review is made if a new decision is substituted then that new decision takes effect </w:t>
      </w:r>
      <w:r>
        <w:rPr>
          <w:lang w:eastAsia="en-AU"/>
        </w:rPr>
        <w:t>– Regulation 682.</w:t>
      </w:r>
    </w:p>
    <w:p w14:paraId="62B0C44A" w14:textId="77777777" w:rsidR="001379C7" w:rsidRPr="00B441C5" w:rsidRDefault="001379C7" w:rsidP="001379C7">
      <w:pPr>
        <w:pStyle w:val="Heading2"/>
      </w:pPr>
      <w:bookmarkStart w:id="63" w:name="_Toc300212965"/>
      <w:bookmarkStart w:id="64" w:name="_Toc302961753"/>
      <w:bookmarkStart w:id="65" w:name="_Toc313952566"/>
      <w:bookmarkStart w:id="66" w:name="_Toc415526423"/>
      <w:bookmarkStart w:id="67" w:name="_Toc524094912"/>
      <w:r w:rsidRPr="00B441C5">
        <w:t>External review</w:t>
      </w:r>
      <w:bookmarkEnd w:id="63"/>
      <w:bookmarkEnd w:id="64"/>
      <w:bookmarkEnd w:id="65"/>
      <w:bookmarkEnd w:id="66"/>
      <w:bookmarkEnd w:id="67"/>
    </w:p>
    <w:p w14:paraId="32672998" w14:textId="77777777" w:rsidR="001379C7" w:rsidRDefault="001379C7" w:rsidP="001379C7">
      <w:pPr>
        <w:rPr>
          <w:lang w:eastAsia="en-AU"/>
        </w:rPr>
      </w:pPr>
      <w:r w:rsidRPr="00B441C5">
        <w:rPr>
          <w:lang w:eastAsia="en-AU"/>
        </w:rPr>
        <w:t xml:space="preserve">If the applicant or authorisation holder is not satisfied with the decision on internal review, they can apply to the </w:t>
      </w:r>
      <w:smartTag w:uri="urn:schemas-microsoft-com:office:smarttags" w:element="Street">
        <w:smartTag w:uri="urn:schemas-microsoft-com:office:smarttags" w:element="PlaceType">
          <w:smartTag w:uri="urn:schemas-microsoft-com:office:smarttags" w:element="address">
            <w:r w:rsidRPr="00B441C5">
              <w:rPr>
                <w:lang w:eastAsia="en-AU"/>
              </w:rPr>
              <w:t>Work Health Court</w:t>
            </w:r>
          </w:smartTag>
        </w:smartTag>
      </w:smartTag>
      <w:r w:rsidRPr="00B441C5">
        <w:rPr>
          <w:lang w:eastAsia="en-AU"/>
        </w:rPr>
        <w:t>.</w:t>
      </w:r>
    </w:p>
    <w:p w14:paraId="3AB37679" w14:textId="77777777" w:rsidR="001379C7" w:rsidRPr="00B441C5" w:rsidRDefault="001379C7" w:rsidP="001379C7">
      <w:pPr>
        <w:pStyle w:val="Heading1"/>
      </w:pPr>
      <w:bookmarkStart w:id="68" w:name="_Toc287516692"/>
      <w:bookmarkStart w:id="69" w:name="_Toc302961754"/>
      <w:bookmarkStart w:id="70" w:name="_Toc313952567"/>
      <w:bookmarkStart w:id="71" w:name="_Toc415526424"/>
      <w:bookmarkStart w:id="72" w:name="_Toc524094913"/>
      <w:r w:rsidRPr="00B441C5">
        <w:t>Further information</w:t>
      </w:r>
      <w:bookmarkEnd w:id="68"/>
      <w:bookmarkEnd w:id="69"/>
      <w:bookmarkEnd w:id="70"/>
      <w:bookmarkEnd w:id="71"/>
      <w:bookmarkEnd w:id="72"/>
    </w:p>
    <w:p w14:paraId="11D4DA06" w14:textId="77777777" w:rsidR="001379C7" w:rsidRPr="00B441C5" w:rsidRDefault="001379C7" w:rsidP="001379C7">
      <w:pPr>
        <w:pStyle w:val="Heading2"/>
        <w:spacing w:before="240"/>
      </w:pPr>
      <w:bookmarkStart w:id="73" w:name="_Toc302961755"/>
      <w:bookmarkStart w:id="74" w:name="_Toc313952568"/>
      <w:bookmarkStart w:id="75" w:name="_Toc415526425"/>
      <w:bookmarkStart w:id="76" w:name="_Toc524094914"/>
      <w:r w:rsidRPr="00B441C5">
        <w:t>Legislation</w:t>
      </w:r>
      <w:bookmarkEnd w:id="73"/>
      <w:bookmarkEnd w:id="74"/>
      <w:bookmarkEnd w:id="75"/>
      <w:bookmarkEnd w:id="76"/>
    </w:p>
    <w:p w14:paraId="2DBCD865" w14:textId="0C3ABA54" w:rsidR="001379C7" w:rsidRDefault="001379C7" w:rsidP="001379C7">
      <w:pPr>
        <w:rPr>
          <w:rFonts w:cs="Arial"/>
          <w:lang w:eastAsia="en-AU"/>
        </w:rPr>
      </w:pPr>
      <w:r w:rsidRPr="00B441C5">
        <w:rPr>
          <w:rFonts w:cs="Arial"/>
          <w:lang w:eastAsia="en-AU"/>
        </w:rPr>
        <w:t xml:space="preserve">The </w:t>
      </w:r>
      <w:r w:rsidRPr="00B159D6">
        <w:rPr>
          <w:i/>
          <w:lang w:eastAsia="en-AU"/>
        </w:rPr>
        <w:t>Work Health and Safety (National Uniform Legislation) Act</w:t>
      </w:r>
      <w:r w:rsidRPr="006F6F77">
        <w:rPr>
          <w:lang w:eastAsia="en-AU"/>
        </w:rPr>
        <w:t xml:space="preserve"> and </w:t>
      </w:r>
      <w:r w:rsidRPr="00D413AB">
        <w:rPr>
          <w:lang w:eastAsia="en-AU"/>
        </w:rPr>
        <w:t xml:space="preserve">Work Health and Safety (National Uniform Legislation) Regulations </w:t>
      </w:r>
      <w:r w:rsidRPr="00B441C5">
        <w:rPr>
          <w:rFonts w:cs="Arial"/>
          <w:lang w:eastAsia="en-AU"/>
        </w:rPr>
        <w:t xml:space="preserve">are available on NT </w:t>
      </w:r>
      <w:proofErr w:type="spellStart"/>
      <w:r w:rsidRPr="00B441C5">
        <w:rPr>
          <w:rFonts w:cs="Arial"/>
          <w:lang w:eastAsia="en-AU"/>
        </w:rPr>
        <w:t>WorkSafe’s</w:t>
      </w:r>
      <w:proofErr w:type="spellEnd"/>
      <w:r w:rsidRPr="00B441C5">
        <w:rPr>
          <w:rFonts w:cs="Arial"/>
          <w:lang w:eastAsia="en-AU"/>
        </w:rPr>
        <w:t xml:space="preserve"> website </w:t>
      </w:r>
      <w:hyperlink r:id="rId11" w:history="1">
        <w:r w:rsidR="00FC287D" w:rsidRPr="00C517C6">
          <w:rPr>
            <w:rStyle w:val="Hyperlink"/>
            <w:rFonts w:cs="Arial"/>
            <w:lang w:eastAsia="en-AU"/>
          </w:rPr>
          <w:t>www.worksafe.nt.gov.au</w:t>
        </w:r>
      </w:hyperlink>
      <w:r w:rsidR="00FC287D">
        <w:rPr>
          <w:rFonts w:cs="Arial"/>
          <w:lang w:eastAsia="en-AU"/>
        </w:rPr>
        <w:t>.</w:t>
      </w:r>
      <w:bookmarkStart w:id="77" w:name="_GoBack"/>
      <w:bookmarkEnd w:id="77"/>
      <w:r w:rsidR="00FC287D">
        <w:rPr>
          <w:rFonts w:cs="Arial"/>
          <w:lang w:eastAsia="en-AU"/>
        </w:rPr>
        <w:t xml:space="preserve"> </w:t>
      </w:r>
    </w:p>
    <w:p w14:paraId="40C667B8" w14:textId="77777777" w:rsidR="001379C7" w:rsidRPr="00097887" w:rsidRDefault="001379C7" w:rsidP="001379C7">
      <w:pPr>
        <w:pStyle w:val="Heading2"/>
      </w:pPr>
      <w:bookmarkStart w:id="78" w:name="_Toc415526427"/>
      <w:bookmarkStart w:id="79" w:name="_Toc524094915"/>
      <w:r w:rsidRPr="00CC2EE0">
        <w:t>List of jurisdiction contacts</w:t>
      </w:r>
      <w:bookmarkEnd w:id="78"/>
      <w:bookmarkEnd w:id="79"/>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1379C7" w:rsidRPr="001053FA" w14:paraId="72CB05E8" w14:textId="77777777" w:rsidTr="00BF7EB3">
        <w:trPr>
          <w:tblHeader/>
        </w:trPr>
        <w:tc>
          <w:tcPr>
            <w:tcW w:w="2501" w:type="dxa"/>
            <w:shd w:val="clear" w:color="auto" w:fill="D9D9D9" w:themeFill="background1" w:themeFillShade="D9"/>
          </w:tcPr>
          <w:p w14:paraId="1685CD32" w14:textId="77777777" w:rsidR="001379C7" w:rsidRPr="001053FA" w:rsidRDefault="001379C7" w:rsidP="00BF7EB3">
            <w:pPr>
              <w:spacing w:before="60" w:after="60"/>
              <w:rPr>
                <w:b/>
              </w:rPr>
            </w:pPr>
            <w:r w:rsidRPr="001053FA">
              <w:rPr>
                <w:b/>
                <w:lang w:eastAsia="en-AU"/>
              </w:rPr>
              <w:t>Jurisdiction</w:t>
            </w:r>
          </w:p>
        </w:tc>
        <w:tc>
          <w:tcPr>
            <w:tcW w:w="2470" w:type="dxa"/>
            <w:shd w:val="clear" w:color="auto" w:fill="D9D9D9" w:themeFill="background1" w:themeFillShade="D9"/>
          </w:tcPr>
          <w:p w14:paraId="261DB85B" w14:textId="77777777" w:rsidR="001379C7" w:rsidRPr="001053FA" w:rsidRDefault="001379C7" w:rsidP="00BF7EB3">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5D362F95" w14:textId="77777777" w:rsidR="001379C7" w:rsidRPr="001053FA" w:rsidRDefault="001379C7" w:rsidP="00BF7EB3">
            <w:pPr>
              <w:spacing w:before="60" w:after="60"/>
              <w:rPr>
                <w:b/>
              </w:rPr>
            </w:pPr>
            <w:r w:rsidRPr="001053FA">
              <w:rPr>
                <w:b/>
                <w:lang w:eastAsia="en-AU"/>
              </w:rPr>
              <w:t>Telephone</w:t>
            </w:r>
          </w:p>
        </w:tc>
        <w:tc>
          <w:tcPr>
            <w:tcW w:w="3335" w:type="dxa"/>
            <w:shd w:val="clear" w:color="auto" w:fill="D9D9D9" w:themeFill="background1" w:themeFillShade="D9"/>
          </w:tcPr>
          <w:p w14:paraId="02CC4DA3" w14:textId="77777777" w:rsidR="001379C7" w:rsidRPr="001053FA" w:rsidRDefault="001379C7" w:rsidP="00BF7EB3">
            <w:pPr>
              <w:spacing w:before="60" w:after="60"/>
              <w:rPr>
                <w:b/>
              </w:rPr>
            </w:pPr>
            <w:r w:rsidRPr="001053FA">
              <w:rPr>
                <w:b/>
                <w:lang w:eastAsia="en-AU"/>
              </w:rPr>
              <w:t>Web site</w:t>
            </w:r>
          </w:p>
        </w:tc>
      </w:tr>
      <w:tr w:rsidR="001379C7" w:rsidRPr="001053FA" w14:paraId="6E30A2E8" w14:textId="77777777" w:rsidTr="00BF7EB3">
        <w:tc>
          <w:tcPr>
            <w:tcW w:w="2501" w:type="dxa"/>
          </w:tcPr>
          <w:p w14:paraId="71AE8F1D" w14:textId="77777777" w:rsidR="001379C7" w:rsidRPr="001053FA" w:rsidRDefault="001379C7" w:rsidP="00BF7EB3">
            <w:pPr>
              <w:spacing w:before="60" w:after="60"/>
            </w:pPr>
            <w:r w:rsidRPr="00B8492F">
              <w:rPr>
                <w:lang w:eastAsia="en-AU"/>
              </w:rPr>
              <w:t xml:space="preserve">Commonwealth </w:t>
            </w:r>
          </w:p>
        </w:tc>
        <w:tc>
          <w:tcPr>
            <w:tcW w:w="2470" w:type="dxa"/>
          </w:tcPr>
          <w:p w14:paraId="50B549CA" w14:textId="77777777" w:rsidR="001379C7" w:rsidRPr="001053FA" w:rsidRDefault="001379C7" w:rsidP="00BF7EB3">
            <w:pPr>
              <w:spacing w:before="60" w:after="60"/>
            </w:pPr>
            <w:proofErr w:type="spellStart"/>
            <w:r w:rsidRPr="00B8492F">
              <w:t>Comcare</w:t>
            </w:r>
            <w:proofErr w:type="spellEnd"/>
          </w:p>
        </w:tc>
        <w:tc>
          <w:tcPr>
            <w:tcW w:w="2432" w:type="dxa"/>
          </w:tcPr>
          <w:p w14:paraId="55DCA6C5" w14:textId="77777777" w:rsidR="001379C7" w:rsidRPr="001053FA" w:rsidRDefault="001379C7" w:rsidP="00BF7EB3">
            <w:pPr>
              <w:spacing w:before="60" w:after="60"/>
            </w:pPr>
            <w:r w:rsidRPr="00B8492F">
              <w:t>1300 366 979</w:t>
            </w:r>
          </w:p>
        </w:tc>
        <w:tc>
          <w:tcPr>
            <w:tcW w:w="3335" w:type="dxa"/>
          </w:tcPr>
          <w:p w14:paraId="0CF6ABFC" w14:textId="77777777" w:rsidR="001379C7" w:rsidRPr="001053FA" w:rsidRDefault="001379C7" w:rsidP="00BF7EB3">
            <w:pPr>
              <w:spacing w:before="60" w:after="60"/>
            </w:pPr>
            <w:r w:rsidRPr="001053FA">
              <w:rPr>
                <w:szCs w:val="20"/>
              </w:rPr>
              <w:t>www.comcare.gov.au</w:t>
            </w:r>
            <w:r>
              <w:t xml:space="preserve"> </w:t>
            </w:r>
          </w:p>
        </w:tc>
      </w:tr>
      <w:tr w:rsidR="001379C7" w:rsidRPr="001053FA" w14:paraId="37E4D4E0" w14:textId="77777777" w:rsidTr="00BF7EB3">
        <w:tc>
          <w:tcPr>
            <w:tcW w:w="2501" w:type="dxa"/>
          </w:tcPr>
          <w:p w14:paraId="5AE69F9B" w14:textId="77777777" w:rsidR="001379C7" w:rsidRPr="001053FA" w:rsidRDefault="001379C7" w:rsidP="00BF7EB3">
            <w:pPr>
              <w:spacing w:before="60" w:after="60"/>
            </w:pPr>
            <w:r w:rsidRPr="00B8492F">
              <w:rPr>
                <w:lang w:eastAsia="en-AU"/>
              </w:rPr>
              <w:t>New South Wales</w:t>
            </w:r>
          </w:p>
        </w:tc>
        <w:tc>
          <w:tcPr>
            <w:tcW w:w="2470" w:type="dxa"/>
          </w:tcPr>
          <w:p w14:paraId="5C85EAED" w14:textId="77777777" w:rsidR="001379C7" w:rsidRPr="001053FA" w:rsidRDefault="001379C7" w:rsidP="00BF7EB3">
            <w:pPr>
              <w:spacing w:before="60" w:after="60"/>
            </w:pPr>
            <w:r w:rsidRPr="00B8492F">
              <w:t>WorkCover NSW</w:t>
            </w:r>
          </w:p>
        </w:tc>
        <w:tc>
          <w:tcPr>
            <w:tcW w:w="2432" w:type="dxa"/>
          </w:tcPr>
          <w:p w14:paraId="18927C56" w14:textId="77777777" w:rsidR="001379C7" w:rsidRPr="001053FA" w:rsidRDefault="001379C7" w:rsidP="00BF7EB3">
            <w:pPr>
              <w:spacing w:before="60" w:after="60"/>
            </w:pPr>
            <w:r w:rsidRPr="00B8492F">
              <w:t>13 10 50</w:t>
            </w:r>
          </w:p>
        </w:tc>
        <w:tc>
          <w:tcPr>
            <w:tcW w:w="3335" w:type="dxa"/>
          </w:tcPr>
          <w:p w14:paraId="46B8BAD8" w14:textId="77777777" w:rsidR="001379C7" w:rsidRPr="001053FA" w:rsidRDefault="001379C7" w:rsidP="00BF7EB3">
            <w:pPr>
              <w:spacing w:before="60" w:after="60"/>
            </w:pPr>
            <w:r w:rsidRPr="001053FA">
              <w:rPr>
                <w:szCs w:val="20"/>
              </w:rPr>
              <w:t>www.workcover.nsw.gov.au</w:t>
            </w:r>
          </w:p>
        </w:tc>
      </w:tr>
      <w:tr w:rsidR="001379C7" w:rsidRPr="001053FA" w14:paraId="5F03CFBD" w14:textId="77777777" w:rsidTr="00BF7EB3">
        <w:tc>
          <w:tcPr>
            <w:tcW w:w="2501" w:type="dxa"/>
          </w:tcPr>
          <w:p w14:paraId="60C75822" w14:textId="77777777" w:rsidR="001379C7" w:rsidRPr="001053FA" w:rsidRDefault="001379C7" w:rsidP="00BF7EB3">
            <w:pPr>
              <w:spacing w:before="60" w:after="60"/>
            </w:pPr>
            <w:r w:rsidRPr="00B8492F">
              <w:rPr>
                <w:lang w:eastAsia="en-AU"/>
              </w:rPr>
              <w:t>Victoria</w:t>
            </w:r>
          </w:p>
        </w:tc>
        <w:tc>
          <w:tcPr>
            <w:tcW w:w="2470" w:type="dxa"/>
          </w:tcPr>
          <w:p w14:paraId="5A8D0A7C" w14:textId="77777777" w:rsidR="001379C7" w:rsidRPr="001053FA" w:rsidRDefault="001379C7" w:rsidP="00BF7EB3">
            <w:pPr>
              <w:spacing w:before="60" w:after="60"/>
            </w:pPr>
            <w:r w:rsidRPr="00B8492F">
              <w:t>WorkSafe Victoria</w:t>
            </w:r>
          </w:p>
        </w:tc>
        <w:tc>
          <w:tcPr>
            <w:tcW w:w="2432" w:type="dxa"/>
          </w:tcPr>
          <w:p w14:paraId="6FD813BB" w14:textId="77777777" w:rsidR="001379C7" w:rsidRDefault="001379C7" w:rsidP="00BF7EB3">
            <w:pPr>
              <w:spacing w:before="60" w:after="60"/>
            </w:pPr>
            <w:r w:rsidRPr="00B8492F">
              <w:t>1800 136 089</w:t>
            </w:r>
            <w:r>
              <w:t xml:space="preserve"> or</w:t>
            </w:r>
          </w:p>
          <w:p w14:paraId="4F79E139" w14:textId="77777777" w:rsidR="001379C7" w:rsidRPr="001053FA" w:rsidRDefault="001379C7" w:rsidP="00BF7EB3">
            <w:pPr>
              <w:spacing w:before="60" w:after="60"/>
            </w:pPr>
            <w:r>
              <w:t>(03) 9641 1444</w:t>
            </w:r>
          </w:p>
        </w:tc>
        <w:tc>
          <w:tcPr>
            <w:tcW w:w="3335" w:type="dxa"/>
          </w:tcPr>
          <w:p w14:paraId="11C21DF4" w14:textId="77777777" w:rsidR="001379C7" w:rsidRPr="001053FA" w:rsidRDefault="001379C7" w:rsidP="00BF7EB3">
            <w:pPr>
              <w:spacing w:before="60" w:after="60"/>
            </w:pPr>
            <w:r w:rsidRPr="001053FA">
              <w:rPr>
                <w:szCs w:val="20"/>
              </w:rPr>
              <w:t>www.worksafe.vic.gov.au</w:t>
            </w:r>
          </w:p>
        </w:tc>
      </w:tr>
      <w:tr w:rsidR="001379C7" w:rsidRPr="001053FA" w14:paraId="0CE4E761" w14:textId="77777777" w:rsidTr="00BF7EB3">
        <w:tc>
          <w:tcPr>
            <w:tcW w:w="2501" w:type="dxa"/>
          </w:tcPr>
          <w:p w14:paraId="3045650C" w14:textId="77777777" w:rsidR="001379C7" w:rsidRPr="001053FA" w:rsidRDefault="001379C7" w:rsidP="00BF7EB3">
            <w:pPr>
              <w:spacing w:before="60" w:after="60"/>
            </w:pPr>
            <w:r w:rsidRPr="00B8492F">
              <w:rPr>
                <w:lang w:eastAsia="en-AU"/>
              </w:rPr>
              <w:t>Queensland</w:t>
            </w:r>
          </w:p>
        </w:tc>
        <w:tc>
          <w:tcPr>
            <w:tcW w:w="2470" w:type="dxa"/>
          </w:tcPr>
          <w:p w14:paraId="71423999" w14:textId="77777777" w:rsidR="001379C7" w:rsidRPr="001053FA" w:rsidRDefault="001379C7" w:rsidP="00BF7EB3">
            <w:pPr>
              <w:spacing w:before="60" w:after="60"/>
            </w:pPr>
            <w:r w:rsidRPr="00B8492F">
              <w:t>Workplace Health and Safety Qld</w:t>
            </w:r>
          </w:p>
        </w:tc>
        <w:tc>
          <w:tcPr>
            <w:tcW w:w="2432" w:type="dxa"/>
          </w:tcPr>
          <w:p w14:paraId="14A8A449" w14:textId="77777777" w:rsidR="001379C7" w:rsidRPr="001053FA" w:rsidRDefault="001379C7" w:rsidP="00BF7EB3">
            <w:pPr>
              <w:spacing w:before="60" w:after="60"/>
            </w:pPr>
            <w:r w:rsidRPr="00B8492F">
              <w:t xml:space="preserve">1300 </w:t>
            </w:r>
            <w:r>
              <w:t>362 128</w:t>
            </w:r>
          </w:p>
        </w:tc>
        <w:tc>
          <w:tcPr>
            <w:tcW w:w="3335" w:type="dxa"/>
          </w:tcPr>
          <w:p w14:paraId="24B3482F" w14:textId="77777777" w:rsidR="001379C7" w:rsidRPr="001053FA" w:rsidRDefault="001379C7" w:rsidP="00BF7EB3">
            <w:pPr>
              <w:spacing w:before="60" w:after="60"/>
            </w:pPr>
            <w:r w:rsidRPr="001053FA">
              <w:rPr>
                <w:szCs w:val="20"/>
              </w:rPr>
              <w:t>www.</w:t>
            </w:r>
            <w:r>
              <w:rPr>
                <w:szCs w:val="20"/>
              </w:rPr>
              <w:t>worksafe</w:t>
            </w:r>
            <w:r w:rsidRPr="001053FA">
              <w:rPr>
                <w:szCs w:val="20"/>
              </w:rPr>
              <w:t>.qld.gov.au</w:t>
            </w:r>
          </w:p>
        </w:tc>
      </w:tr>
      <w:tr w:rsidR="001379C7" w:rsidRPr="001053FA" w14:paraId="03D2B163" w14:textId="77777777" w:rsidTr="00BF7EB3">
        <w:tc>
          <w:tcPr>
            <w:tcW w:w="2501" w:type="dxa"/>
          </w:tcPr>
          <w:p w14:paraId="448D1F79" w14:textId="77777777" w:rsidR="001379C7" w:rsidRPr="001053FA" w:rsidRDefault="001379C7" w:rsidP="00BF7EB3">
            <w:pPr>
              <w:spacing w:before="60" w:after="60"/>
            </w:pPr>
            <w:r w:rsidRPr="00B8492F">
              <w:rPr>
                <w:lang w:eastAsia="en-AU"/>
              </w:rPr>
              <w:t>South Australia</w:t>
            </w:r>
          </w:p>
        </w:tc>
        <w:tc>
          <w:tcPr>
            <w:tcW w:w="2470" w:type="dxa"/>
          </w:tcPr>
          <w:p w14:paraId="74FD3760" w14:textId="77777777" w:rsidR="001379C7" w:rsidRPr="001053FA" w:rsidRDefault="001379C7" w:rsidP="00BF7EB3">
            <w:pPr>
              <w:spacing w:before="60" w:after="60"/>
            </w:pPr>
            <w:proofErr w:type="spellStart"/>
            <w:r w:rsidRPr="00B8492F">
              <w:t>SafeWork</w:t>
            </w:r>
            <w:proofErr w:type="spellEnd"/>
            <w:r w:rsidRPr="00B8492F">
              <w:t xml:space="preserve"> SA</w:t>
            </w:r>
          </w:p>
        </w:tc>
        <w:tc>
          <w:tcPr>
            <w:tcW w:w="2432" w:type="dxa"/>
          </w:tcPr>
          <w:p w14:paraId="31425696" w14:textId="77777777" w:rsidR="001379C7" w:rsidRPr="001053FA" w:rsidRDefault="001379C7" w:rsidP="00BF7EB3">
            <w:pPr>
              <w:spacing w:before="60" w:after="60"/>
            </w:pPr>
            <w:r w:rsidRPr="00B8492F">
              <w:t>1300 365 255</w:t>
            </w:r>
          </w:p>
        </w:tc>
        <w:tc>
          <w:tcPr>
            <w:tcW w:w="3335" w:type="dxa"/>
          </w:tcPr>
          <w:p w14:paraId="590083F2" w14:textId="77777777" w:rsidR="001379C7" w:rsidRPr="001053FA" w:rsidRDefault="001379C7" w:rsidP="00BF7EB3">
            <w:pPr>
              <w:spacing w:before="60" w:after="60"/>
            </w:pPr>
            <w:r w:rsidRPr="001053FA">
              <w:rPr>
                <w:szCs w:val="20"/>
              </w:rPr>
              <w:t>www.safework.sa.gov.au</w:t>
            </w:r>
          </w:p>
        </w:tc>
      </w:tr>
      <w:tr w:rsidR="001379C7" w:rsidRPr="001053FA" w14:paraId="465F450A" w14:textId="77777777" w:rsidTr="00BF7EB3">
        <w:tc>
          <w:tcPr>
            <w:tcW w:w="2501" w:type="dxa"/>
          </w:tcPr>
          <w:p w14:paraId="44EBC79B" w14:textId="77777777" w:rsidR="001379C7" w:rsidRPr="001053FA" w:rsidRDefault="001379C7" w:rsidP="00BF7EB3">
            <w:pPr>
              <w:spacing w:before="60" w:after="60"/>
            </w:pPr>
            <w:r w:rsidRPr="00B8492F">
              <w:rPr>
                <w:lang w:eastAsia="en-AU"/>
              </w:rPr>
              <w:t>Western Australia</w:t>
            </w:r>
          </w:p>
        </w:tc>
        <w:tc>
          <w:tcPr>
            <w:tcW w:w="2470" w:type="dxa"/>
          </w:tcPr>
          <w:p w14:paraId="24555855" w14:textId="77777777" w:rsidR="001379C7" w:rsidRPr="001053FA" w:rsidRDefault="001379C7" w:rsidP="00BF7EB3">
            <w:pPr>
              <w:spacing w:before="60" w:after="60"/>
            </w:pPr>
            <w:r w:rsidRPr="00B8492F">
              <w:t>WorkSafe WA</w:t>
            </w:r>
          </w:p>
        </w:tc>
        <w:tc>
          <w:tcPr>
            <w:tcW w:w="2432" w:type="dxa"/>
          </w:tcPr>
          <w:p w14:paraId="792A723E" w14:textId="77777777" w:rsidR="001379C7" w:rsidRPr="001053FA" w:rsidRDefault="001379C7" w:rsidP="00BF7EB3">
            <w:pPr>
              <w:spacing w:before="60" w:after="60"/>
            </w:pPr>
            <w:r w:rsidRPr="00B8492F">
              <w:t>1300 307 877</w:t>
            </w:r>
          </w:p>
        </w:tc>
        <w:tc>
          <w:tcPr>
            <w:tcW w:w="3335" w:type="dxa"/>
          </w:tcPr>
          <w:p w14:paraId="6C6DABA8" w14:textId="77777777" w:rsidR="001379C7" w:rsidRPr="001053FA" w:rsidRDefault="001379C7" w:rsidP="00BF7EB3">
            <w:pPr>
              <w:spacing w:before="60" w:after="60"/>
            </w:pPr>
            <w:r w:rsidRPr="001053FA">
              <w:rPr>
                <w:szCs w:val="20"/>
              </w:rPr>
              <w:t>www.worksafe.wa.gov.au</w:t>
            </w:r>
          </w:p>
        </w:tc>
      </w:tr>
      <w:tr w:rsidR="001379C7" w:rsidRPr="001053FA" w14:paraId="6CA158E7" w14:textId="77777777" w:rsidTr="00BF7EB3">
        <w:tc>
          <w:tcPr>
            <w:tcW w:w="2501" w:type="dxa"/>
          </w:tcPr>
          <w:p w14:paraId="4FE877F5" w14:textId="77777777" w:rsidR="001379C7" w:rsidRPr="001053FA" w:rsidRDefault="001379C7" w:rsidP="00BF7EB3">
            <w:pPr>
              <w:spacing w:before="60" w:after="60"/>
            </w:pPr>
            <w:r w:rsidRPr="00B8492F">
              <w:rPr>
                <w:lang w:eastAsia="en-AU"/>
              </w:rPr>
              <w:t>Australian Capital Territory</w:t>
            </w:r>
          </w:p>
        </w:tc>
        <w:tc>
          <w:tcPr>
            <w:tcW w:w="2470" w:type="dxa"/>
          </w:tcPr>
          <w:p w14:paraId="244EDE5A" w14:textId="77777777" w:rsidR="001379C7" w:rsidRPr="001053FA" w:rsidRDefault="001379C7" w:rsidP="00BF7EB3">
            <w:pPr>
              <w:spacing w:before="60" w:after="60"/>
            </w:pPr>
            <w:r w:rsidRPr="00B8492F">
              <w:t>WorkSafe ACT</w:t>
            </w:r>
          </w:p>
        </w:tc>
        <w:tc>
          <w:tcPr>
            <w:tcW w:w="2432" w:type="dxa"/>
          </w:tcPr>
          <w:p w14:paraId="00B4EF34" w14:textId="77777777" w:rsidR="001379C7" w:rsidRPr="001053FA" w:rsidRDefault="001379C7" w:rsidP="00BF7EB3">
            <w:pPr>
              <w:spacing w:before="60" w:after="60"/>
            </w:pPr>
            <w:r w:rsidRPr="00B8492F">
              <w:t>(02) 6207 3000</w:t>
            </w:r>
          </w:p>
        </w:tc>
        <w:tc>
          <w:tcPr>
            <w:tcW w:w="3335" w:type="dxa"/>
          </w:tcPr>
          <w:p w14:paraId="38493C76" w14:textId="77777777" w:rsidR="001379C7" w:rsidRPr="001053FA" w:rsidRDefault="001379C7" w:rsidP="00BF7EB3">
            <w:pPr>
              <w:spacing w:before="60" w:after="60"/>
            </w:pPr>
            <w:r w:rsidRPr="001053FA">
              <w:rPr>
                <w:szCs w:val="20"/>
              </w:rPr>
              <w:t>www.worksafe.act.gov.au</w:t>
            </w:r>
          </w:p>
        </w:tc>
      </w:tr>
      <w:tr w:rsidR="001379C7" w:rsidRPr="001053FA" w14:paraId="40BDF711" w14:textId="77777777" w:rsidTr="00BF7EB3">
        <w:tc>
          <w:tcPr>
            <w:tcW w:w="2501" w:type="dxa"/>
          </w:tcPr>
          <w:p w14:paraId="04DC79A7" w14:textId="77777777" w:rsidR="001379C7" w:rsidRPr="001053FA" w:rsidRDefault="001379C7" w:rsidP="00BF7EB3">
            <w:pPr>
              <w:spacing w:before="60" w:after="60"/>
            </w:pPr>
            <w:r w:rsidRPr="00B8492F">
              <w:rPr>
                <w:lang w:eastAsia="en-AU"/>
              </w:rPr>
              <w:t>Tasmania</w:t>
            </w:r>
          </w:p>
        </w:tc>
        <w:tc>
          <w:tcPr>
            <w:tcW w:w="2470" w:type="dxa"/>
          </w:tcPr>
          <w:p w14:paraId="1933A628" w14:textId="77777777" w:rsidR="001379C7" w:rsidRPr="001053FA" w:rsidRDefault="001379C7" w:rsidP="00BF7EB3">
            <w:pPr>
              <w:spacing w:before="60" w:after="60"/>
            </w:pPr>
            <w:r>
              <w:t>WorkSafe Tasmania</w:t>
            </w:r>
          </w:p>
        </w:tc>
        <w:tc>
          <w:tcPr>
            <w:tcW w:w="2432" w:type="dxa"/>
          </w:tcPr>
          <w:p w14:paraId="6D79FFA1" w14:textId="77777777" w:rsidR="001379C7" w:rsidRPr="001053FA" w:rsidRDefault="001379C7" w:rsidP="00BF7EB3">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7C50BF0B" w14:textId="77777777" w:rsidR="001379C7" w:rsidRPr="001053FA" w:rsidRDefault="001379C7" w:rsidP="00BF7EB3">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80" w:name="_Toc524092046"/>
      <w:bookmarkStart w:id="81" w:name="_Toc524094916"/>
      <w:bookmarkEnd w:id="3"/>
      <w:bookmarkEnd w:id="4"/>
      <w:bookmarkEnd w:id="5"/>
      <w:bookmarkEnd w:id="6"/>
      <w:bookmarkEnd w:id="0"/>
      <w:bookmarkEnd w:id="1"/>
      <w:bookmarkEnd w:id="2"/>
      <w:r w:rsidRPr="00FF5AE6">
        <w:t>Contact us</w:t>
      </w:r>
      <w:bookmarkEnd w:id="80"/>
      <w:bookmarkEnd w:id="81"/>
    </w:p>
    <w:p w14:paraId="4F11E6A5" w14:textId="7A9B333F" w:rsidR="003478B9" w:rsidRDefault="00A06A1E" w:rsidP="00A06A1E">
      <w:pPr>
        <w:rPr>
          <w:rStyle w:val="Hyperlink"/>
        </w:rPr>
      </w:pPr>
      <w:r>
        <w:t xml:space="preserve">For further information please contact us on 1800 019 115, via email at </w:t>
      </w:r>
      <w:hyperlink r:id="rId12" w:history="1">
        <w:r w:rsidRPr="001D037A">
          <w:rPr>
            <w:rStyle w:val="Hyperlink"/>
          </w:rPr>
          <w:t>ntworksafe@nt.gov.au</w:t>
        </w:r>
      </w:hyperlink>
      <w:r>
        <w:t xml:space="preserve"> or go to the NT WorkSafe website at </w:t>
      </w:r>
      <w:hyperlink r:id="rId13"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716DE1F2" w14:textId="77777777" w:rsidR="00F100E9" w:rsidRDefault="00F100E9"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4"/>
      <w:headerReference w:type="default" r:id="rId15"/>
      <w:footerReference w:type="default" r:id="rId16"/>
      <w:headerReference w:type="first" r:id="rId17"/>
      <w:footerReference w:type="first" r:id="rId18"/>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FC287D">
          <w:rPr>
            <w:noProof/>
          </w:rPr>
          <w:t>5</w:t>
        </w:r>
        <w:r w:rsidR="00FA5776" w:rsidRPr="007278C5">
          <w:fldChar w:fldCharType="end"/>
        </w:r>
      </w:p>
      <w:p w14:paraId="480385B0" w14:textId="6049CFD1"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FC287D">
          <w:rPr>
            <w:szCs w:val="20"/>
          </w:rPr>
          <w:t>lead notifications</w:t>
        </w:r>
        <w:r w:rsidR="00F100E9" w:rsidRPr="00732ACB">
          <w:rPr>
            <w:szCs w:val="20"/>
          </w:rPr>
          <w:t xml:space="preserve"> </w:t>
        </w:r>
        <w:r w:rsidR="00B50196" w:rsidRPr="000E79D7">
          <w:rPr>
            <w:szCs w:val="20"/>
          </w:rPr>
          <w:t>(</w:t>
        </w:r>
        <w:r w:rsidR="00FC287D">
          <w:rPr>
            <w:szCs w:val="20"/>
          </w:rPr>
          <w:t>V2.1</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0C9DBB58"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F15"/>
    <w:multiLevelType w:val="hybridMultilevel"/>
    <w:tmpl w:val="9CD4F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04E3D"/>
    <w:multiLevelType w:val="hybridMultilevel"/>
    <w:tmpl w:val="5EBA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56194"/>
    <w:multiLevelType w:val="hybridMultilevel"/>
    <w:tmpl w:val="67409FC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0E020AA1"/>
    <w:multiLevelType w:val="hybridMultilevel"/>
    <w:tmpl w:val="84F074BE"/>
    <w:lvl w:ilvl="0" w:tplc="57D60510">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E4C11"/>
    <w:multiLevelType w:val="hybridMultilevel"/>
    <w:tmpl w:val="F936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B10E2"/>
    <w:multiLevelType w:val="hybridMultilevel"/>
    <w:tmpl w:val="CCDCB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1477C"/>
    <w:multiLevelType w:val="hybridMultilevel"/>
    <w:tmpl w:val="685AA04C"/>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B48306E"/>
    <w:multiLevelType w:val="hybridMultilevel"/>
    <w:tmpl w:val="3B84C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147C3"/>
    <w:multiLevelType w:val="hybridMultilevel"/>
    <w:tmpl w:val="A026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D492F"/>
    <w:multiLevelType w:val="hybridMultilevel"/>
    <w:tmpl w:val="97A07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B6FCB"/>
    <w:multiLevelType w:val="hybridMultilevel"/>
    <w:tmpl w:val="1C4E6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4B0594"/>
    <w:multiLevelType w:val="hybridMultilevel"/>
    <w:tmpl w:val="71A2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83608"/>
    <w:multiLevelType w:val="hybridMultilevel"/>
    <w:tmpl w:val="023C1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954381"/>
    <w:multiLevelType w:val="hybridMultilevel"/>
    <w:tmpl w:val="BC84B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801"/>
    <w:multiLevelType w:val="hybridMultilevel"/>
    <w:tmpl w:val="13065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646FD"/>
    <w:multiLevelType w:val="hybridMultilevel"/>
    <w:tmpl w:val="3CB8A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EF7387"/>
    <w:multiLevelType w:val="hybridMultilevel"/>
    <w:tmpl w:val="CAD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827637"/>
    <w:multiLevelType w:val="hybridMultilevel"/>
    <w:tmpl w:val="BFCEB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59787E"/>
    <w:multiLevelType w:val="hybridMultilevel"/>
    <w:tmpl w:val="7F66D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DF6772"/>
    <w:multiLevelType w:val="hybridMultilevel"/>
    <w:tmpl w:val="B558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45C30"/>
    <w:multiLevelType w:val="hybridMultilevel"/>
    <w:tmpl w:val="AE9C4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FB074A"/>
    <w:multiLevelType w:val="hybridMultilevel"/>
    <w:tmpl w:val="87B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8C2B87"/>
    <w:multiLevelType w:val="hybridMultilevel"/>
    <w:tmpl w:val="0A744F94"/>
    <w:lvl w:ilvl="0" w:tplc="5188456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F22B0"/>
    <w:multiLevelType w:val="hybridMultilevel"/>
    <w:tmpl w:val="FBBA9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EB1D7E"/>
    <w:multiLevelType w:val="hybridMultilevel"/>
    <w:tmpl w:val="53FA0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533022E"/>
    <w:multiLevelType w:val="hybridMultilevel"/>
    <w:tmpl w:val="759E9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F325A0"/>
    <w:multiLevelType w:val="hybridMultilevel"/>
    <w:tmpl w:val="2744A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C680E"/>
    <w:multiLevelType w:val="hybridMultilevel"/>
    <w:tmpl w:val="6E2AD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E7DAF"/>
    <w:multiLevelType w:val="hybridMultilevel"/>
    <w:tmpl w:val="EBACB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28"/>
  </w:num>
  <w:num w:numId="4">
    <w:abstractNumId w:val="40"/>
  </w:num>
  <w:num w:numId="5">
    <w:abstractNumId w:val="20"/>
  </w:num>
  <w:num w:numId="6">
    <w:abstractNumId w:val="8"/>
  </w:num>
  <w:num w:numId="7">
    <w:abstractNumId w:val="29"/>
  </w:num>
  <w:num w:numId="8">
    <w:abstractNumId w:val="22"/>
  </w:num>
  <w:num w:numId="9">
    <w:abstractNumId w:val="9"/>
  </w:num>
  <w:num w:numId="10">
    <w:abstractNumId w:val="7"/>
  </w:num>
  <w:num w:numId="11">
    <w:abstractNumId w:val="38"/>
  </w:num>
  <w:num w:numId="12">
    <w:abstractNumId w:val="15"/>
  </w:num>
  <w:num w:numId="13">
    <w:abstractNumId w:val="5"/>
  </w:num>
  <w:num w:numId="14">
    <w:abstractNumId w:val="17"/>
  </w:num>
  <w:num w:numId="15">
    <w:abstractNumId w:val="23"/>
  </w:num>
  <w:num w:numId="16">
    <w:abstractNumId w:val="16"/>
  </w:num>
  <w:num w:numId="17">
    <w:abstractNumId w:val="41"/>
  </w:num>
  <w:num w:numId="18">
    <w:abstractNumId w:val="31"/>
  </w:num>
  <w:num w:numId="19">
    <w:abstractNumId w:val="18"/>
  </w:num>
  <w:num w:numId="20">
    <w:abstractNumId w:val="36"/>
  </w:num>
  <w:num w:numId="21">
    <w:abstractNumId w:val="13"/>
  </w:num>
  <w:num w:numId="22">
    <w:abstractNumId w:val="34"/>
  </w:num>
  <w:num w:numId="23">
    <w:abstractNumId w:val="14"/>
  </w:num>
  <w:num w:numId="24">
    <w:abstractNumId w:val="26"/>
  </w:num>
  <w:num w:numId="25">
    <w:abstractNumId w:val="10"/>
  </w:num>
  <w:num w:numId="26">
    <w:abstractNumId w:val="12"/>
  </w:num>
  <w:num w:numId="27">
    <w:abstractNumId w:val="27"/>
  </w:num>
  <w:num w:numId="28">
    <w:abstractNumId w:val="11"/>
  </w:num>
  <w:num w:numId="29">
    <w:abstractNumId w:val="37"/>
  </w:num>
  <w:num w:numId="30">
    <w:abstractNumId w:val="32"/>
  </w:num>
  <w:num w:numId="31">
    <w:abstractNumId w:val="1"/>
  </w:num>
  <w:num w:numId="32">
    <w:abstractNumId w:val="30"/>
  </w:num>
  <w:num w:numId="33">
    <w:abstractNumId w:val="3"/>
  </w:num>
  <w:num w:numId="34">
    <w:abstractNumId w:val="39"/>
  </w:num>
  <w:num w:numId="35">
    <w:abstractNumId w:val="24"/>
  </w:num>
  <w:num w:numId="36">
    <w:abstractNumId w:val="19"/>
  </w:num>
  <w:num w:numId="37">
    <w:abstractNumId w:val="35"/>
  </w:num>
  <w:num w:numId="38">
    <w:abstractNumId w:val="25"/>
  </w:num>
  <w:num w:numId="39">
    <w:abstractNumId w:val="6"/>
  </w:num>
  <w:num w:numId="40">
    <w:abstractNumId w:val="21"/>
  </w:num>
  <w:num w:numId="41">
    <w:abstractNumId w:val="4"/>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1379C7"/>
    <w:rsid w:val="001F03BE"/>
    <w:rsid w:val="00221DA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50351"/>
    <w:rsid w:val="00551407"/>
    <w:rsid w:val="005770AC"/>
    <w:rsid w:val="005A2778"/>
    <w:rsid w:val="005C5FB5"/>
    <w:rsid w:val="00635482"/>
    <w:rsid w:val="006370E6"/>
    <w:rsid w:val="0066252B"/>
    <w:rsid w:val="00685D69"/>
    <w:rsid w:val="0070276A"/>
    <w:rsid w:val="00727842"/>
    <w:rsid w:val="007278C5"/>
    <w:rsid w:val="00740C6B"/>
    <w:rsid w:val="007D47E0"/>
    <w:rsid w:val="007F6818"/>
    <w:rsid w:val="00852250"/>
    <w:rsid w:val="00856EB0"/>
    <w:rsid w:val="008901BF"/>
    <w:rsid w:val="008A7733"/>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73A48"/>
    <w:rsid w:val="00CA3078"/>
    <w:rsid w:val="00CB480E"/>
    <w:rsid w:val="00CB4F6B"/>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C287D"/>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address"/>
  <w:shapeDefaults>
    <o:shapedefaults v:ext="edit" spidmax="18433"/>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F100E9"/>
    <w:pPr>
      <w:spacing w:after="100"/>
      <w:ind w:left="220"/>
    </w:pPr>
  </w:style>
  <w:style w:type="paragraph" w:styleId="TOC3">
    <w:name w:val="toc 3"/>
    <w:basedOn w:val="Normal"/>
    <w:next w:val="Normal"/>
    <w:autoRedefine/>
    <w:uiPriority w:val="39"/>
    <w:unhideWhenUsed/>
    <w:rsid w:val="00CB4F6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ksaf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worksafe@nt.gov.au?subject=Bulletin%20enquiry%20-%20name%20of%20bullet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222658</PDFFileSize>
    <Topics xmlns="eb399b68-b676-431b-a7f2-330aea86a718">
      <Value>Construction</Value>
      <Value>Notification requirements</Value>
    </Topics>
    <Document_x0020_type xmlns="eb399b68-b676-431b-a7f2-330aea86a718">Guide</Document_x0020_type>
    <Web_x0020_Section xmlns="eb399b68-b676-431b-a7f2-330aea86a718">
      <Value>Safety and prevention</Value>
    </Web_x0020_Section>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E835A-4194-4A25-94BA-5EB402DC18BF}"/>
</file>

<file path=customXml/itemProps2.xml><?xml version="1.0" encoding="utf-8"?>
<ds:datastoreItem xmlns:ds="http://schemas.openxmlformats.org/officeDocument/2006/customXml" ds:itemID="{28FC4229-55EF-4F85-B1FE-8B5521AC18C6}"/>
</file>

<file path=customXml/itemProps3.xml><?xml version="1.0" encoding="utf-8"?>
<ds:datastoreItem xmlns:ds="http://schemas.openxmlformats.org/officeDocument/2006/customXml" ds:itemID="{54799629-5E35-4574-8CD8-DED322417DBB}"/>
</file>

<file path=customXml/itemProps4.xml><?xml version="1.0" encoding="utf-8"?>
<ds:datastoreItem xmlns:ds="http://schemas.openxmlformats.org/officeDocument/2006/customXml" ds:itemID="{73D48236-CF20-47B5-B3EC-2D8E7608BB61}"/>
</file>

<file path=docProps/app.xml><?xml version="1.0" encoding="utf-8"?>
<Properties xmlns="http://schemas.openxmlformats.org/officeDocument/2006/extended-properties" xmlns:vt="http://schemas.openxmlformats.org/officeDocument/2006/docPropsVTypes">
  <Template>Normal.dotm</Template>
  <TotalTime>3</TotalTime>
  <Pages>5</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Lead notifications</vt:lpstr>
    </vt:vector>
  </TitlesOfParts>
  <Company>NTG</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notifications</dc:title>
  <dc:creator>mezl</dc:creator>
  <cp:lastModifiedBy>Amanda Baker</cp:lastModifiedBy>
  <cp:revision>5</cp:revision>
  <cp:lastPrinted>2012-11-16T05:03:00Z</cp:lastPrinted>
  <dcterms:created xsi:type="dcterms:W3CDTF">2018-09-07T05:14:00Z</dcterms:created>
  <dcterms:modified xsi:type="dcterms:W3CDTF">2018-09-07T05:17:00Z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