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80CAD" w14:textId="77777777" w:rsidR="0002185F" w:rsidRPr="00A06A1E" w:rsidRDefault="0002185F" w:rsidP="0002185F">
      <w:pPr>
        <w:pStyle w:val="Title"/>
      </w:pPr>
      <w:bookmarkStart w:id="0" w:name="_GoBack"/>
      <w:r>
        <w:rPr>
          <w:lang w:eastAsia="en-AU"/>
        </w:rPr>
        <w:t>Pipeline</w:t>
      </w:r>
      <w:r w:rsidRPr="00CF0BC9">
        <w:rPr>
          <w:lang w:eastAsia="en-AU"/>
        </w:rPr>
        <w:t xml:space="preserve"> notifications</w:t>
      </w:r>
    </w:p>
    <w:bookmarkEnd w:id="0"/>
    <w:p w14:paraId="569AF558" w14:textId="77777777" w:rsidR="00F100E9" w:rsidRPr="00F100E9" w:rsidRDefault="00740C6B" w:rsidP="00F100E9">
      <w:pPr>
        <w:spacing w:before="240" w:after="120"/>
        <w:rPr>
          <w:b/>
          <w:sz w:val="28"/>
          <w:szCs w:val="28"/>
        </w:rPr>
      </w:pPr>
      <w:r w:rsidRPr="00F100E9">
        <w:rPr>
          <w:b/>
          <w:sz w:val="28"/>
          <w:szCs w:val="28"/>
        </w:rPr>
        <w:t>Contents</w:t>
      </w:r>
    </w:p>
    <w:bookmarkStart w:id="1" w:name="_Toc415423927"/>
    <w:bookmarkStart w:id="2" w:name="_Toc415514155"/>
    <w:bookmarkStart w:id="3" w:name="_Toc524092045"/>
    <w:p w14:paraId="6B638240" w14:textId="77777777" w:rsidR="0002185F" w:rsidRDefault="0002185F">
      <w:pPr>
        <w:pStyle w:val="TOC1"/>
        <w:tabs>
          <w:tab w:val="right" w:leader="dot" w:pos="10762"/>
        </w:tabs>
        <w:rPr>
          <w:rFonts w:asciiTheme="minorHAnsi" w:eastAsiaTheme="minorEastAsia" w:hAnsiTheme="minorHAnsi"/>
          <w:noProof/>
          <w:lang w:eastAsia="en-AU"/>
        </w:rPr>
      </w:pPr>
      <w:r>
        <w:fldChar w:fldCharType="begin"/>
      </w:r>
      <w:r>
        <w:instrText xml:space="preserve"> TOC \o "1-3" \h \z \u </w:instrText>
      </w:r>
      <w:r>
        <w:fldChar w:fldCharType="separate"/>
      </w:r>
      <w:hyperlink w:anchor="_Toc524095213" w:history="1">
        <w:r w:rsidRPr="00191FA5">
          <w:rPr>
            <w:rStyle w:val="Hyperlink"/>
            <w:noProof/>
          </w:rPr>
          <w:t>Introduction</w:t>
        </w:r>
        <w:r>
          <w:rPr>
            <w:noProof/>
            <w:webHidden/>
          </w:rPr>
          <w:tab/>
        </w:r>
        <w:r>
          <w:rPr>
            <w:noProof/>
            <w:webHidden/>
          </w:rPr>
          <w:fldChar w:fldCharType="begin"/>
        </w:r>
        <w:r>
          <w:rPr>
            <w:noProof/>
            <w:webHidden/>
          </w:rPr>
          <w:instrText xml:space="preserve"> PAGEREF _Toc524095213 \h </w:instrText>
        </w:r>
        <w:r>
          <w:rPr>
            <w:noProof/>
            <w:webHidden/>
          </w:rPr>
        </w:r>
        <w:r>
          <w:rPr>
            <w:noProof/>
            <w:webHidden/>
          </w:rPr>
          <w:fldChar w:fldCharType="separate"/>
        </w:r>
        <w:r>
          <w:rPr>
            <w:noProof/>
            <w:webHidden/>
          </w:rPr>
          <w:t>1</w:t>
        </w:r>
        <w:r>
          <w:rPr>
            <w:noProof/>
            <w:webHidden/>
          </w:rPr>
          <w:fldChar w:fldCharType="end"/>
        </w:r>
      </w:hyperlink>
    </w:p>
    <w:p w14:paraId="6388BFD8" w14:textId="77777777" w:rsidR="0002185F" w:rsidRDefault="0002185F">
      <w:pPr>
        <w:pStyle w:val="TOC2"/>
        <w:tabs>
          <w:tab w:val="right" w:leader="dot" w:pos="10762"/>
        </w:tabs>
        <w:rPr>
          <w:rFonts w:asciiTheme="minorHAnsi" w:eastAsiaTheme="minorEastAsia" w:hAnsiTheme="minorHAnsi"/>
          <w:noProof/>
          <w:lang w:eastAsia="en-AU"/>
        </w:rPr>
      </w:pPr>
      <w:hyperlink w:anchor="_Toc524095214" w:history="1">
        <w:r w:rsidRPr="00191FA5">
          <w:rPr>
            <w:rStyle w:val="Hyperlink"/>
            <w:noProof/>
          </w:rPr>
          <w:t>Scope</w:t>
        </w:r>
        <w:r>
          <w:rPr>
            <w:noProof/>
            <w:webHidden/>
          </w:rPr>
          <w:tab/>
        </w:r>
        <w:r>
          <w:rPr>
            <w:noProof/>
            <w:webHidden/>
          </w:rPr>
          <w:fldChar w:fldCharType="begin"/>
        </w:r>
        <w:r>
          <w:rPr>
            <w:noProof/>
            <w:webHidden/>
          </w:rPr>
          <w:instrText xml:space="preserve"> PAGEREF _Toc524095214 \h </w:instrText>
        </w:r>
        <w:r>
          <w:rPr>
            <w:noProof/>
            <w:webHidden/>
          </w:rPr>
        </w:r>
        <w:r>
          <w:rPr>
            <w:noProof/>
            <w:webHidden/>
          </w:rPr>
          <w:fldChar w:fldCharType="separate"/>
        </w:r>
        <w:r>
          <w:rPr>
            <w:noProof/>
            <w:webHidden/>
          </w:rPr>
          <w:t>1</w:t>
        </w:r>
        <w:r>
          <w:rPr>
            <w:noProof/>
            <w:webHidden/>
          </w:rPr>
          <w:fldChar w:fldCharType="end"/>
        </w:r>
      </w:hyperlink>
    </w:p>
    <w:p w14:paraId="10349F35" w14:textId="77777777" w:rsidR="0002185F" w:rsidRDefault="0002185F">
      <w:pPr>
        <w:pStyle w:val="TOC1"/>
        <w:tabs>
          <w:tab w:val="right" w:leader="dot" w:pos="10762"/>
        </w:tabs>
        <w:rPr>
          <w:rFonts w:asciiTheme="minorHAnsi" w:eastAsiaTheme="minorEastAsia" w:hAnsiTheme="minorHAnsi"/>
          <w:noProof/>
          <w:lang w:eastAsia="en-AU"/>
        </w:rPr>
      </w:pPr>
      <w:hyperlink w:anchor="_Toc524095215" w:history="1">
        <w:r w:rsidRPr="00191FA5">
          <w:rPr>
            <w:rStyle w:val="Hyperlink"/>
            <w:noProof/>
          </w:rPr>
          <w:t>Who must notify</w:t>
        </w:r>
        <w:r>
          <w:rPr>
            <w:noProof/>
            <w:webHidden/>
          </w:rPr>
          <w:tab/>
        </w:r>
        <w:r>
          <w:rPr>
            <w:noProof/>
            <w:webHidden/>
          </w:rPr>
          <w:fldChar w:fldCharType="begin"/>
        </w:r>
        <w:r>
          <w:rPr>
            <w:noProof/>
            <w:webHidden/>
          </w:rPr>
          <w:instrText xml:space="preserve"> PAGEREF _Toc524095215 \h </w:instrText>
        </w:r>
        <w:r>
          <w:rPr>
            <w:noProof/>
            <w:webHidden/>
          </w:rPr>
        </w:r>
        <w:r>
          <w:rPr>
            <w:noProof/>
            <w:webHidden/>
          </w:rPr>
          <w:fldChar w:fldCharType="separate"/>
        </w:r>
        <w:r>
          <w:rPr>
            <w:noProof/>
            <w:webHidden/>
          </w:rPr>
          <w:t>2</w:t>
        </w:r>
        <w:r>
          <w:rPr>
            <w:noProof/>
            <w:webHidden/>
          </w:rPr>
          <w:fldChar w:fldCharType="end"/>
        </w:r>
      </w:hyperlink>
    </w:p>
    <w:p w14:paraId="4DCC70A5" w14:textId="77777777" w:rsidR="0002185F" w:rsidRDefault="0002185F">
      <w:pPr>
        <w:pStyle w:val="TOC2"/>
        <w:tabs>
          <w:tab w:val="right" w:leader="dot" w:pos="10762"/>
        </w:tabs>
        <w:rPr>
          <w:rFonts w:asciiTheme="minorHAnsi" w:eastAsiaTheme="minorEastAsia" w:hAnsiTheme="minorHAnsi"/>
          <w:noProof/>
          <w:lang w:eastAsia="en-AU"/>
        </w:rPr>
      </w:pPr>
      <w:hyperlink w:anchor="_Toc524095216" w:history="1">
        <w:r w:rsidRPr="00191FA5">
          <w:rPr>
            <w:rStyle w:val="Hyperlink"/>
            <w:noProof/>
          </w:rPr>
          <w:t>When to notify</w:t>
        </w:r>
        <w:r>
          <w:rPr>
            <w:noProof/>
            <w:webHidden/>
          </w:rPr>
          <w:tab/>
        </w:r>
        <w:r>
          <w:rPr>
            <w:noProof/>
            <w:webHidden/>
          </w:rPr>
          <w:fldChar w:fldCharType="begin"/>
        </w:r>
        <w:r>
          <w:rPr>
            <w:noProof/>
            <w:webHidden/>
          </w:rPr>
          <w:instrText xml:space="preserve"> PAGEREF _Toc524095216 \h </w:instrText>
        </w:r>
        <w:r>
          <w:rPr>
            <w:noProof/>
            <w:webHidden/>
          </w:rPr>
        </w:r>
        <w:r>
          <w:rPr>
            <w:noProof/>
            <w:webHidden/>
          </w:rPr>
          <w:fldChar w:fldCharType="separate"/>
        </w:r>
        <w:r>
          <w:rPr>
            <w:noProof/>
            <w:webHidden/>
          </w:rPr>
          <w:t>2</w:t>
        </w:r>
        <w:r>
          <w:rPr>
            <w:noProof/>
            <w:webHidden/>
          </w:rPr>
          <w:fldChar w:fldCharType="end"/>
        </w:r>
      </w:hyperlink>
    </w:p>
    <w:p w14:paraId="370A5337" w14:textId="77777777" w:rsidR="0002185F" w:rsidRDefault="0002185F">
      <w:pPr>
        <w:pStyle w:val="TOC1"/>
        <w:tabs>
          <w:tab w:val="right" w:leader="dot" w:pos="10762"/>
        </w:tabs>
        <w:rPr>
          <w:rFonts w:asciiTheme="minorHAnsi" w:eastAsiaTheme="minorEastAsia" w:hAnsiTheme="minorHAnsi"/>
          <w:noProof/>
          <w:lang w:eastAsia="en-AU"/>
        </w:rPr>
      </w:pPr>
      <w:hyperlink w:anchor="_Toc524095217" w:history="1">
        <w:r w:rsidRPr="00191FA5">
          <w:rPr>
            <w:rStyle w:val="Hyperlink"/>
            <w:noProof/>
          </w:rPr>
          <w:t>How to notify</w:t>
        </w:r>
        <w:r>
          <w:rPr>
            <w:noProof/>
            <w:webHidden/>
          </w:rPr>
          <w:tab/>
        </w:r>
        <w:r>
          <w:rPr>
            <w:noProof/>
            <w:webHidden/>
          </w:rPr>
          <w:fldChar w:fldCharType="begin"/>
        </w:r>
        <w:r>
          <w:rPr>
            <w:noProof/>
            <w:webHidden/>
          </w:rPr>
          <w:instrText xml:space="preserve"> PAGEREF _Toc524095217 \h </w:instrText>
        </w:r>
        <w:r>
          <w:rPr>
            <w:noProof/>
            <w:webHidden/>
          </w:rPr>
        </w:r>
        <w:r>
          <w:rPr>
            <w:noProof/>
            <w:webHidden/>
          </w:rPr>
          <w:fldChar w:fldCharType="separate"/>
        </w:r>
        <w:r>
          <w:rPr>
            <w:noProof/>
            <w:webHidden/>
          </w:rPr>
          <w:t>2</w:t>
        </w:r>
        <w:r>
          <w:rPr>
            <w:noProof/>
            <w:webHidden/>
          </w:rPr>
          <w:fldChar w:fldCharType="end"/>
        </w:r>
      </w:hyperlink>
    </w:p>
    <w:p w14:paraId="222746B0" w14:textId="77777777" w:rsidR="0002185F" w:rsidRDefault="0002185F">
      <w:pPr>
        <w:pStyle w:val="TOC2"/>
        <w:tabs>
          <w:tab w:val="right" w:leader="dot" w:pos="10762"/>
        </w:tabs>
        <w:rPr>
          <w:rFonts w:asciiTheme="minorHAnsi" w:eastAsiaTheme="minorEastAsia" w:hAnsiTheme="minorHAnsi"/>
          <w:noProof/>
          <w:lang w:eastAsia="en-AU"/>
        </w:rPr>
      </w:pPr>
      <w:hyperlink w:anchor="_Toc524095218" w:history="1">
        <w:r w:rsidRPr="00191FA5">
          <w:rPr>
            <w:rStyle w:val="Hyperlink"/>
            <w:noProof/>
          </w:rPr>
          <w:t>Fees</w:t>
        </w:r>
        <w:r>
          <w:rPr>
            <w:noProof/>
            <w:webHidden/>
          </w:rPr>
          <w:tab/>
        </w:r>
        <w:r>
          <w:rPr>
            <w:noProof/>
            <w:webHidden/>
          </w:rPr>
          <w:fldChar w:fldCharType="begin"/>
        </w:r>
        <w:r>
          <w:rPr>
            <w:noProof/>
            <w:webHidden/>
          </w:rPr>
          <w:instrText xml:space="preserve"> PAGEREF _Toc524095218 \h </w:instrText>
        </w:r>
        <w:r>
          <w:rPr>
            <w:noProof/>
            <w:webHidden/>
          </w:rPr>
        </w:r>
        <w:r>
          <w:rPr>
            <w:noProof/>
            <w:webHidden/>
          </w:rPr>
          <w:fldChar w:fldCharType="separate"/>
        </w:r>
        <w:r>
          <w:rPr>
            <w:noProof/>
            <w:webHidden/>
          </w:rPr>
          <w:t>2</w:t>
        </w:r>
        <w:r>
          <w:rPr>
            <w:noProof/>
            <w:webHidden/>
          </w:rPr>
          <w:fldChar w:fldCharType="end"/>
        </w:r>
      </w:hyperlink>
    </w:p>
    <w:p w14:paraId="57CFA261" w14:textId="77777777" w:rsidR="0002185F" w:rsidRDefault="0002185F">
      <w:pPr>
        <w:pStyle w:val="TOC1"/>
        <w:tabs>
          <w:tab w:val="right" w:leader="dot" w:pos="10762"/>
        </w:tabs>
        <w:rPr>
          <w:rFonts w:asciiTheme="minorHAnsi" w:eastAsiaTheme="minorEastAsia" w:hAnsiTheme="minorHAnsi"/>
          <w:noProof/>
          <w:lang w:eastAsia="en-AU"/>
        </w:rPr>
      </w:pPr>
      <w:hyperlink w:anchor="_Toc524095219" w:history="1">
        <w:r w:rsidRPr="00191FA5">
          <w:rPr>
            <w:rStyle w:val="Hyperlink"/>
            <w:noProof/>
          </w:rPr>
          <w:t>What information does the regulator require?</w:t>
        </w:r>
        <w:r>
          <w:rPr>
            <w:noProof/>
            <w:webHidden/>
          </w:rPr>
          <w:tab/>
        </w:r>
        <w:r>
          <w:rPr>
            <w:noProof/>
            <w:webHidden/>
          </w:rPr>
          <w:fldChar w:fldCharType="begin"/>
        </w:r>
        <w:r>
          <w:rPr>
            <w:noProof/>
            <w:webHidden/>
          </w:rPr>
          <w:instrText xml:space="preserve"> PAGEREF _Toc524095219 \h </w:instrText>
        </w:r>
        <w:r>
          <w:rPr>
            <w:noProof/>
            <w:webHidden/>
          </w:rPr>
        </w:r>
        <w:r>
          <w:rPr>
            <w:noProof/>
            <w:webHidden/>
          </w:rPr>
          <w:fldChar w:fldCharType="separate"/>
        </w:r>
        <w:r>
          <w:rPr>
            <w:noProof/>
            <w:webHidden/>
          </w:rPr>
          <w:t>2</w:t>
        </w:r>
        <w:r>
          <w:rPr>
            <w:noProof/>
            <w:webHidden/>
          </w:rPr>
          <w:fldChar w:fldCharType="end"/>
        </w:r>
      </w:hyperlink>
    </w:p>
    <w:p w14:paraId="53955847" w14:textId="77777777" w:rsidR="0002185F" w:rsidRDefault="0002185F">
      <w:pPr>
        <w:pStyle w:val="TOC1"/>
        <w:tabs>
          <w:tab w:val="right" w:leader="dot" w:pos="10762"/>
        </w:tabs>
        <w:rPr>
          <w:rFonts w:asciiTheme="minorHAnsi" w:eastAsiaTheme="minorEastAsia" w:hAnsiTheme="minorHAnsi"/>
          <w:noProof/>
          <w:lang w:eastAsia="en-AU"/>
        </w:rPr>
      </w:pPr>
      <w:hyperlink w:anchor="_Toc524095220" w:history="1">
        <w:r w:rsidRPr="00191FA5">
          <w:rPr>
            <w:rStyle w:val="Hyperlink"/>
            <w:noProof/>
          </w:rPr>
          <w:t>Obligations</w:t>
        </w:r>
        <w:r>
          <w:rPr>
            <w:noProof/>
            <w:webHidden/>
          </w:rPr>
          <w:tab/>
        </w:r>
        <w:r>
          <w:rPr>
            <w:noProof/>
            <w:webHidden/>
          </w:rPr>
          <w:fldChar w:fldCharType="begin"/>
        </w:r>
        <w:r>
          <w:rPr>
            <w:noProof/>
            <w:webHidden/>
          </w:rPr>
          <w:instrText xml:space="preserve"> PAGEREF _Toc524095220 \h </w:instrText>
        </w:r>
        <w:r>
          <w:rPr>
            <w:noProof/>
            <w:webHidden/>
          </w:rPr>
        </w:r>
        <w:r>
          <w:rPr>
            <w:noProof/>
            <w:webHidden/>
          </w:rPr>
          <w:fldChar w:fldCharType="separate"/>
        </w:r>
        <w:r>
          <w:rPr>
            <w:noProof/>
            <w:webHidden/>
          </w:rPr>
          <w:t>3</w:t>
        </w:r>
        <w:r>
          <w:rPr>
            <w:noProof/>
            <w:webHidden/>
          </w:rPr>
          <w:fldChar w:fldCharType="end"/>
        </w:r>
      </w:hyperlink>
    </w:p>
    <w:p w14:paraId="23686AFF" w14:textId="77777777" w:rsidR="0002185F" w:rsidRDefault="0002185F">
      <w:pPr>
        <w:pStyle w:val="TOC2"/>
        <w:tabs>
          <w:tab w:val="right" w:leader="dot" w:pos="10762"/>
        </w:tabs>
        <w:rPr>
          <w:rFonts w:asciiTheme="minorHAnsi" w:eastAsiaTheme="minorEastAsia" w:hAnsiTheme="minorHAnsi"/>
          <w:noProof/>
          <w:lang w:eastAsia="en-AU"/>
        </w:rPr>
      </w:pPr>
      <w:hyperlink w:anchor="_Toc524095221" w:history="1">
        <w:r w:rsidRPr="00191FA5">
          <w:rPr>
            <w:rStyle w:val="Hyperlink"/>
            <w:noProof/>
          </w:rPr>
          <w:t>Changes to details</w:t>
        </w:r>
        <w:r>
          <w:rPr>
            <w:noProof/>
            <w:webHidden/>
          </w:rPr>
          <w:tab/>
        </w:r>
        <w:r>
          <w:rPr>
            <w:noProof/>
            <w:webHidden/>
          </w:rPr>
          <w:fldChar w:fldCharType="begin"/>
        </w:r>
        <w:r>
          <w:rPr>
            <w:noProof/>
            <w:webHidden/>
          </w:rPr>
          <w:instrText xml:space="preserve"> PAGEREF _Toc524095221 \h </w:instrText>
        </w:r>
        <w:r>
          <w:rPr>
            <w:noProof/>
            <w:webHidden/>
          </w:rPr>
        </w:r>
        <w:r>
          <w:rPr>
            <w:noProof/>
            <w:webHidden/>
          </w:rPr>
          <w:fldChar w:fldCharType="separate"/>
        </w:r>
        <w:r>
          <w:rPr>
            <w:noProof/>
            <w:webHidden/>
          </w:rPr>
          <w:t>3</w:t>
        </w:r>
        <w:r>
          <w:rPr>
            <w:noProof/>
            <w:webHidden/>
          </w:rPr>
          <w:fldChar w:fldCharType="end"/>
        </w:r>
      </w:hyperlink>
    </w:p>
    <w:p w14:paraId="77DD6BE2" w14:textId="77777777" w:rsidR="0002185F" w:rsidRDefault="0002185F">
      <w:pPr>
        <w:pStyle w:val="TOC2"/>
        <w:tabs>
          <w:tab w:val="right" w:leader="dot" w:pos="10762"/>
        </w:tabs>
        <w:rPr>
          <w:rFonts w:asciiTheme="minorHAnsi" w:eastAsiaTheme="minorEastAsia" w:hAnsiTheme="minorHAnsi"/>
          <w:noProof/>
          <w:lang w:eastAsia="en-AU"/>
        </w:rPr>
      </w:pPr>
      <w:hyperlink w:anchor="_Toc524095222" w:history="1">
        <w:r w:rsidRPr="00191FA5">
          <w:rPr>
            <w:rStyle w:val="Hyperlink"/>
            <w:noProof/>
          </w:rPr>
          <w:t>Labelling of pipeline</w:t>
        </w:r>
        <w:r>
          <w:rPr>
            <w:noProof/>
            <w:webHidden/>
          </w:rPr>
          <w:tab/>
        </w:r>
        <w:r>
          <w:rPr>
            <w:noProof/>
            <w:webHidden/>
          </w:rPr>
          <w:fldChar w:fldCharType="begin"/>
        </w:r>
        <w:r>
          <w:rPr>
            <w:noProof/>
            <w:webHidden/>
          </w:rPr>
          <w:instrText xml:space="preserve"> PAGEREF _Toc524095222 \h </w:instrText>
        </w:r>
        <w:r>
          <w:rPr>
            <w:noProof/>
            <w:webHidden/>
          </w:rPr>
        </w:r>
        <w:r>
          <w:rPr>
            <w:noProof/>
            <w:webHidden/>
          </w:rPr>
          <w:fldChar w:fldCharType="separate"/>
        </w:r>
        <w:r>
          <w:rPr>
            <w:noProof/>
            <w:webHidden/>
          </w:rPr>
          <w:t>3</w:t>
        </w:r>
        <w:r>
          <w:rPr>
            <w:noProof/>
            <w:webHidden/>
          </w:rPr>
          <w:fldChar w:fldCharType="end"/>
        </w:r>
      </w:hyperlink>
    </w:p>
    <w:p w14:paraId="0480C699" w14:textId="77777777" w:rsidR="0002185F" w:rsidRDefault="0002185F">
      <w:pPr>
        <w:pStyle w:val="TOC2"/>
        <w:tabs>
          <w:tab w:val="right" w:leader="dot" w:pos="10762"/>
        </w:tabs>
        <w:rPr>
          <w:rFonts w:asciiTheme="minorHAnsi" w:eastAsiaTheme="minorEastAsia" w:hAnsiTheme="minorHAnsi"/>
          <w:noProof/>
          <w:lang w:eastAsia="en-AU"/>
        </w:rPr>
      </w:pPr>
      <w:hyperlink w:anchor="_Toc524095223" w:history="1">
        <w:r w:rsidRPr="00191FA5">
          <w:rPr>
            <w:rStyle w:val="Hyperlink"/>
            <w:noProof/>
          </w:rPr>
          <w:t>Risks caused by the pipeline</w:t>
        </w:r>
        <w:r>
          <w:rPr>
            <w:noProof/>
            <w:webHidden/>
          </w:rPr>
          <w:tab/>
        </w:r>
        <w:r>
          <w:rPr>
            <w:noProof/>
            <w:webHidden/>
          </w:rPr>
          <w:fldChar w:fldCharType="begin"/>
        </w:r>
        <w:r>
          <w:rPr>
            <w:noProof/>
            <w:webHidden/>
          </w:rPr>
          <w:instrText xml:space="preserve"> PAGEREF _Toc524095223 \h </w:instrText>
        </w:r>
        <w:r>
          <w:rPr>
            <w:noProof/>
            <w:webHidden/>
          </w:rPr>
        </w:r>
        <w:r>
          <w:rPr>
            <w:noProof/>
            <w:webHidden/>
          </w:rPr>
          <w:fldChar w:fldCharType="separate"/>
        </w:r>
        <w:r>
          <w:rPr>
            <w:noProof/>
            <w:webHidden/>
          </w:rPr>
          <w:t>3</w:t>
        </w:r>
        <w:r>
          <w:rPr>
            <w:noProof/>
            <w:webHidden/>
          </w:rPr>
          <w:fldChar w:fldCharType="end"/>
        </w:r>
      </w:hyperlink>
    </w:p>
    <w:p w14:paraId="5B4F9B0C" w14:textId="77777777" w:rsidR="0002185F" w:rsidRDefault="0002185F">
      <w:pPr>
        <w:pStyle w:val="TOC1"/>
        <w:tabs>
          <w:tab w:val="right" w:leader="dot" w:pos="10762"/>
        </w:tabs>
        <w:rPr>
          <w:rFonts w:asciiTheme="minorHAnsi" w:eastAsiaTheme="minorEastAsia" w:hAnsiTheme="minorHAnsi"/>
          <w:noProof/>
          <w:lang w:eastAsia="en-AU"/>
        </w:rPr>
      </w:pPr>
      <w:hyperlink w:anchor="_Toc524095224" w:history="1">
        <w:r w:rsidRPr="00191FA5">
          <w:rPr>
            <w:rStyle w:val="Hyperlink"/>
            <w:noProof/>
          </w:rPr>
          <w:t>Further information</w:t>
        </w:r>
        <w:r>
          <w:rPr>
            <w:noProof/>
            <w:webHidden/>
          </w:rPr>
          <w:tab/>
        </w:r>
        <w:r>
          <w:rPr>
            <w:noProof/>
            <w:webHidden/>
          </w:rPr>
          <w:fldChar w:fldCharType="begin"/>
        </w:r>
        <w:r>
          <w:rPr>
            <w:noProof/>
            <w:webHidden/>
          </w:rPr>
          <w:instrText xml:space="preserve"> PAGEREF _Toc524095224 \h </w:instrText>
        </w:r>
        <w:r>
          <w:rPr>
            <w:noProof/>
            <w:webHidden/>
          </w:rPr>
        </w:r>
        <w:r>
          <w:rPr>
            <w:noProof/>
            <w:webHidden/>
          </w:rPr>
          <w:fldChar w:fldCharType="separate"/>
        </w:r>
        <w:r>
          <w:rPr>
            <w:noProof/>
            <w:webHidden/>
          </w:rPr>
          <w:t>3</w:t>
        </w:r>
        <w:r>
          <w:rPr>
            <w:noProof/>
            <w:webHidden/>
          </w:rPr>
          <w:fldChar w:fldCharType="end"/>
        </w:r>
      </w:hyperlink>
    </w:p>
    <w:p w14:paraId="17FBEF6F" w14:textId="77777777" w:rsidR="0002185F" w:rsidRDefault="0002185F">
      <w:pPr>
        <w:pStyle w:val="TOC2"/>
        <w:tabs>
          <w:tab w:val="right" w:leader="dot" w:pos="10762"/>
        </w:tabs>
        <w:rPr>
          <w:rFonts w:asciiTheme="minorHAnsi" w:eastAsiaTheme="minorEastAsia" w:hAnsiTheme="minorHAnsi"/>
          <w:noProof/>
          <w:lang w:eastAsia="en-AU"/>
        </w:rPr>
      </w:pPr>
      <w:hyperlink w:anchor="_Toc524095225" w:history="1">
        <w:r w:rsidRPr="00191FA5">
          <w:rPr>
            <w:rStyle w:val="Hyperlink"/>
            <w:noProof/>
          </w:rPr>
          <w:t>Legislation</w:t>
        </w:r>
        <w:r>
          <w:rPr>
            <w:noProof/>
            <w:webHidden/>
          </w:rPr>
          <w:tab/>
        </w:r>
        <w:r>
          <w:rPr>
            <w:noProof/>
            <w:webHidden/>
          </w:rPr>
          <w:fldChar w:fldCharType="begin"/>
        </w:r>
        <w:r>
          <w:rPr>
            <w:noProof/>
            <w:webHidden/>
          </w:rPr>
          <w:instrText xml:space="preserve"> PAGEREF _Toc524095225 \h </w:instrText>
        </w:r>
        <w:r>
          <w:rPr>
            <w:noProof/>
            <w:webHidden/>
          </w:rPr>
        </w:r>
        <w:r>
          <w:rPr>
            <w:noProof/>
            <w:webHidden/>
          </w:rPr>
          <w:fldChar w:fldCharType="separate"/>
        </w:r>
        <w:r>
          <w:rPr>
            <w:noProof/>
            <w:webHidden/>
          </w:rPr>
          <w:t>3</w:t>
        </w:r>
        <w:r>
          <w:rPr>
            <w:noProof/>
            <w:webHidden/>
          </w:rPr>
          <w:fldChar w:fldCharType="end"/>
        </w:r>
      </w:hyperlink>
    </w:p>
    <w:p w14:paraId="371D2128" w14:textId="77777777" w:rsidR="0002185F" w:rsidRDefault="0002185F">
      <w:pPr>
        <w:pStyle w:val="TOC2"/>
        <w:tabs>
          <w:tab w:val="right" w:leader="dot" w:pos="10762"/>
        </w:tabs>
        <w:rPr>
          <w:rFonts w:asciiTheme="minorHAnsi" w:eastAsiaTheme="minorEastAsia" w:hAnsiTheme="minorHAnsi"/>
          <w:noProof/>
          <w:lang w:eastAsia="en-AU"/>
        </w:rPr>
      </w:pPr>
      <w:hyperlink w:anchor="_Toc524095226" w:history="1">
        <w:r w:rsidRPr="00191FA5">
          <w:rPr>
            <w:rStyle w:val="Hyperlink"/>
            <w:rFonts w:cs="Arial"/>
            <w:i/>
            <w:noProof/>
          </w:rPr>
          <w:t>The Work Health and Safety (National Uniform Legislation) Act</w:t>
        </w:r>
        <w:r w:rsidRPr="00191FA5">
          <w:rPr>
            <w:rStyle w:val="Hyperlink"/>
            <w:rFonts w:cs="Arial"/>
            <w:noProof/>
          </w:rPr>
          <w:t xml:space="preserve"> and Work Health and Safety (National Uniform Legislation) Regulations are available on NT WorkSafe’s website www.legislation.nt.gov.au.</w:t>
        </w:r>
        <w:r>
          <w:rPr>
            <w:noProof/>
            <w:webHidden/>
          </w:rPr>
          <w:tab/>
        </w:r>
        <w:r>
          <w:rPr>
            <w:noProof/>
            <w:webHidden/>
          </w:rPr>
          <w:fldChar w:fldCharType="begin"/>
        </w:r>
        <w:r>
          <w:rPr>
            <w:noProof/>
            <w:webHidden/>
          </w:rPr>
          <w:instrText xml:space="preserve"> PAGEREF _Toc524095226 \h </w:instrText>
        </w:r>
        <w:r>
          <w:rPr>
            <w:noProof/>
            <w:webHidden/>
          </w:rPr>
        </w:r>
        <w:r>
          <w:rPr>
            <w:noProof/>
            <w:webHidden/>
          </w:rPr>
          <w:fldChar w:fldCharType="separate"/>
        </w:r>
        <w:r>
          <w:rPr>
            <w:noProof/>
            <w:webHidden/>
          </w:rPr>
          <w:t>3</w:t>
        </w:r>
        <w:r>
          <w:rPr>
            <w:noProof/>
            <w:webHidden/>
          </w:rPr>
          <w:fldChar w:fldCharType="end"/>
        </w:r>
      </w:hyperlink>
    </w:p>
    <w:p w14:paraId="738DDF55" w14:textId="77777777" w:rsidR="0002185F" w:rsidRDefault="0002185F">
      <w:pPr>
        <w:pStyle w:val="TOC2"/>
        <w:tabs>
          <w:tab w:val="right" w:leader="dot" w:pos="10762"/>
        </w:tabs>
        <w:rPr>
          <w:rFonts w:asciiTheme="minorHAnsi" w:eastAsiaTheme="minorEastAsia" w:hAnsiTheme="minorHAnsi"/>
          <w:noProof/>
          <w:lang w:eastAsia="en-AU"/>
        </w:rPr>
      </w:pPr>
      <w:hyperlink w:anchor="_Toc524095227" w:history="1">
        <w:r w:rsidRPr="00191FA5">
          <w:rPr>
            <w:rStyle w:val="Hyperlink"/>
            <w:noProof/>
          </w:rPr>
          <w:t>List of jurisdiction contacts</w:t>
        </w:r>
        <w:r>
          <w:rPr>
            <w:noProof/>
            <w:webHidden/>
          </w:rPr>
          <w:tab/>
        </w:r>
        <w:r>
          <w:rPr>
            <w:noProof/>
            <w:webHidden/>
          </w:rPr>
          <w:fldChar w:fldCharType="begin"/>
        </w:r>
        <w:r>
          <w:rPr>
            <w:noProof/>
            <w:webHidden/>
          </w:rPr>
          <w:instrText xml:space="preserve"> PAGEREF _Toc524095227 \h </w:instrText>
        </w:r>
        <w:r>
          <w:rPr>
            <w:noProof/>
            <w:webHidden/>
          </w:rPr>
        </w:r>
        <w:r>
          <w:rPr>
            <w:noProof/>
            <w:webHidden/>
          </w:rPr>
          <w:fldChar w:fldCharType="separate"/>
        </w:r>
        <w:r>
          <w:rPr>
            <w:noProof/>
            <w:webHidden/>
          </w:rPr>
          <w:t>3</w:t>
        </w:r>
        <w:r>
          <w:rPr>
            <w:noProof/>
            <w:webHidden/>
          </w:rPr>
          <w:fldChar w:fldCharType="end"/>
        </w:r>
      </w:hyperlink>
    </w:p>
    <w:p w14:paraId="24BDBDFC" w14:textId="77777777" w:rsidR="0002185F" w:rsidRDefault="0002185F">
      <w:pPr>
        <w:pStyle w:val="TOC1"/>
        <w:tabs>
          <w:tab w:val="right" w:leader="dot" w:pos="10762"/>
        </w:tabs>
        <w:rPr>
          <w:rFonts w:asciiTheme="minorHAnsi" w:eastAsiaTheme="minorEastAsia" w:hAnsiTheme="minorHAnsi"/>
          <w:noProof/>
          <w:lang w:eastAsia="en-AU"/>
        </w:rPr>
      </w:pPr>
      <w:hyperlink w:anchor="_Toc524095228" w:history="1">
        <w:r w:rsidRPr="00191FA5">
          <w:rPr>
            <w:rStyle w:val="Hyperlink"/>
            <w:noProof/>
          </w:rPr>
          <w:t>Contact us</w:t>
        </w:r>
        <w:r>
          <w:rPr>
            <w:noProof/>
            <w:webHidden/>
          </w:rPr>
          <w:tab/>
        </w:r>
        <w:r>
          <w:rPr>
            <w:noProof/>
            <w:webHidden/>
          </w:rPr>
          <w:fldChar w:fldCharType="begin"/>
        </w:r>
        <w:r>
          <w:rPr>
            <w:noProof/>
            <w:webHidden/>
          </w:rPr>
          <w:instrText xml:space="preserve"> PAGEREF _Toc524095228 \h </w:instrText>
        </w:r>
        <w:r>
          <w:rPr>
            <w:noProof/>
            <w:webHidden/>
          </w:rPr>
        </w:r>
        <w:r>
          <w:rPr>
            <w:noProof/>
            <w:webHidden/>
          </w:rPr>
          <w:fldChar w:fldCharType="separate"/>
        </w:r>
        <w:r>
          <w:rPr>
            <w:noProof/>
            <w:webHidden/>
          </w:rPr>
          <w:t>3</w:t>
        </w:r>
        <w:r>
          <w:rPr>
            <w:noProof/>
            <w:webHidden/>
          </w:rPr>
          <w:fldChar w:fldCharType="end"/>
        </w:r>
      </w:hyperlink>
    </w:p>
    <w:p w14:paraId="6E6DFB99" w14:textId="77777777" w:rsidR="0002185F" w:rsidRPr="005B3109" w:rsidRDefault="0002185F" w:rsidP="0002185F">
      <w:pPr>
        <w:pStyle w:val="Heading1"/>
        <w:spacing w:before="240" w:after="60"/>
      </w:pPr>
      <w:r>
        <w:fldChar w:fldCharType="end"/>
      </w:r>
      <w:bookmarkStart w:id="4" w:name="_Toc524095213"/>
      <w:r w:rsidRPr="005B3109">
        <w:t>Introduction</w:t>
      </w:r>
      <w:bookmarkEnd w:id="4"/>
    </w:p>
    <w:p w14:paraId="0C5A009D" w14:textId="77777777" w:rsidR="0002185F" w:rsidRPr="00EA549B" w:rsidRDefault="0002185F" w:rsidP="0002185F">
      <w:pPr>
        <w:spacing w:after="120"/>
      </w:pPr>
      <w:r w:rsidRPr="00EA549B">
        <w:t xml:space="preserve">The </w:t>
      </w:r>
      <w:r w:rsidRPr="000F28BE">
        <w:t>Work Health and Safety (National Uniform Legislation) Regulations</w:t>
      </w:r>
      <w:r w:rsidRPr="0040665C">
        <w:rPr>
          <w:i/>
        </w:rPr>
        <w:t xml:space="preserve"> </w:t>
      </w:r>
      <w:r>
        <w:t xml:space="preserve">provides </w:t>
      </w:r>
      <w:r w:rsidRPr="00EA549B">
        <w:t>for the notification to the</w:t>
      </w:r>
      <w:r>
        <w:rPr>
          <w:szCs w:val="20"/>
        </w:rPr>
        <w:t xml:space="preserve"> Regulator of</w:t>
      </w:r>
      <w:r w:rsidRPr="00EA549B">
        <w:t xml:space="preserve"> pipelines.</w:t>
      </w:r>
    </w:p>
    <w:p w14:paraId="73D64D64" w14:textId="77777777" w:rsidR="0002185F" w:rsidRDefault="0002185F" w:rsidP="0002185F">
      <w:pPr>
        <w:spacing w:after="120"/>
      </w:pPr>
      <w:r>
        <w:t>Notification</w:t>
      </w:r>
      <w:r w:rsidRPr="00DD4AF9">
        <w:t xml:space="preserve"> of pipelines provides risk based information to the </w:t>
      </w:r>
      <w:r>
        <w:t>Regulator</w:t>
      </w:r>
      <w:r w:rsidRPr="00DD4AF9">
        <w:t xml:space="preserve"> so </w:t>
      </w:r>
      <w:r>
        <w:t xml:space="preserve">it can apply </w:t>
      </w:r>
      <w:r w:rsidRPr="00DD4AF9">
        <w:t>resources and target compliance and enforcement actions to areas of greates</w:t>
      </w:r>
      <w:r>
        <w:t>t risk to health and safety. It </w:t>
      </w:r>
      <w:r w:rsidRPr="00DD4AF9">
        <w:t>supports the duty of an owner of a pipeline used to transfer hazardous chemicals to manage the associated risks</w:t>
      </w:r>
      <w:r w:rsidRPr="0040665C">
        <w:rPr>
          <w:i/>
        </w:rPr>
        <w:t xml:space="preserve"> </w:t>
      </w:r>
      <w:r>
        <w:t>– Regulation 389</w:t>
      </w:r>
      <w:r w:rsidRPr="00DD4AF9">
        <w:t>.</w:t>
      </w:r>
    </w:p>
    <w:p w14:paraId="7F63E4AB" w14:textId="77777777" w:rsidR="0002185F" w:rsidRPr="00F5664F" w:rsidRDefault="0002185F" w:rsidP="0002185F">
      <w:pPr>
        <w:pStyle w:val="Heading2"/>
        <w:spacing w:before="240"/>
      </w:pPr>
      <w:bookmarkStart w:id="5" w:name="_Toc301426681"/>
      <w:bookmarkStart w:id="6" w:name="_Toc313954553"/>
      <w:bookmarkStart w:id="7" w:name="_Toc524095214"/>
      <w:r w:rsidRPr="00F5664F">
        <w:t>Scope</w:t>
      </w:r>
      <w:bookmarkEnd w:id="5"/>
      <w:bookmarkEnd w:id="6"/>
      <w:bookmarkEnd w:id="7"/>
    </w:p>
    <w:p w14:paraId="36487154" w14:textId="77777777" w:rsidR="0002185F" w:rsidRPr="00DD4AF9" w:rsidRDefault="0002185F" w:rsidP="0002185F">
      <w:pPr>
        <w:spacing w:after="120"/>
      </w:pPr>
      <w:r w:rsidRPr="00DD4AF9">
        <w:t xml:space="preserve">Notification to the </w:t>
      </w:r>
      <w:r>
        <w:t>Regulator</w:t>
      </w:r>
      <w:r w:rsidRPr="00DD4AF9">
        <w:t xml:space="preserve"> is required where:</w:t>
      </w:r>
    </w:p>
    <w:p w14:paraId="14306B13" w14:textId="77777777" w:rsidR="0002185F" w:rsidRDefault="0002185F" w:rsidP="0002185F">
      <w:pPr>
        <w:pStyle w:val="ListParagraph"/>
        <w:numPr>
          <w:ilvl w:val="0"/>
          <w:numId w:val="34"/>
        </w:numPr>
      </w:pPr>
      <w:r w:rsidRPr="00EA549B">
        <w:t>A pipeline is proposed to be built that will cross into a public place and be used to transfer Sc</w:t>
      </w:r>
      <w:r>
        <w:t xml:space="preserve">hedule 11 hazardous chemicals. </w:t>
      </w:r>
    </w:p>
    <w:p w14:paraId="20887D4A" w14:textId="77777777" w:rsidR="0002185F" w:rsidRPr="00EA549B" w:rsidRDefault="0002185F" w:rsidP="0002185F">
      <w:pPr>
        <w:pStyle w:val="ListParagraph"/>
        <w:numPr>
          <w:ilvl w:val="0"/>
          <w:numId w:val="34"/>
        </w:numPr>
      </w:pPr>
      <w:r w:rsidRPr="00EA549B">
        <w:t>Part of a pipeline that crosses into a public place and is used to transfer Schedule 11 hazardous chemicals is to be repaired, removed, decommissioned, closed or abandoned.</w:t>
      </w:r>
    </w:p>
    <w:p w14:paraId="2F3B3B01" w14:textId="77777777" w:rsidR="0002185F" w:rsidRPr="00DD4AF9" w:rsidRDefault="0002185F" w:rsidP="0002185F">
      <w:pPr>
        <w:spacing w:after="120"/>
      </w:pPr>
      <w:r>
        <w:t>Regulation 390</w:t>
      </w:r>
    </w:p>
    <w:p w14:paraId="0E5354E8" w14:textId="77777777" w:rsidR="0002185F" w:rsidRDefault="0002185F" w:rsidP="0002185F">
      <w:pPr>
        <w:spacing w:after="120"/>
      </w:pPr>
      <w:r w:rsidRPr="00DD4AF9">
        <w:t xml:space="preserve">Notification is not required where the pipeline is regulated under </w:t>
      </w:r>
      <w:r>
        <w:t>the Energy Pipelines Act</w:t>
      </w:r>
      <w:r w:rsidRPr="0040665C">
        <w:rPr>
          <w:i/>
        </w:rPr>
        <w:t xml:space="preserve"> </w:t>
      </w:r>
      <w:r>
        <w:t>– Regulation 328(2).</w:t>
      </w:r>
    </w:p>
    <w:p w14:paraId="2DECFCF5" w14:textId="77777777" w:rsidR="0002185F" w:rsidRDefault="0002185F" w:rsidP="0002185F">
      <w:pPr>
        <w:pStyle w:val="Heading1"/>
        <w:spacing w:before="240"/>
      </w:pPr>
      <w:bookmarkStart w:id="8" w:name="_Toc313954554"/>
      <w:bookmarkStart w:id="9" w:name="_Toc524095215"/>
      <w:r w:rsidRPr="00EA549B">
        <w:lastRenderedPageBreak/>
        <w:t>Who must notify</w:t>
      </w:r>
      <w:bookmarkEnd w:id="8"/>
      <w:bookmarkEnd w:id="9"/>
    </w:p>
    <w:p w14:paraId="77B11113" w14:textId="77777777" w:rsidR="0002185F" w:rsidRPr="000F28BE" w:rsidRDefault="0002185F" w:rsidP="0002185F">
      <w:pPr>
        <w:rPr>
          <w:i/>
        </w:rPr>
      </w:pPr>
      <w:r w:rsidRPr="00DD4AF9">
        <w:t xml:space="preserve">The person who intends to build a pipeline or to </w:t>
      </w:r>
      <w:r w:rsidRPr="00EA549B">
        <w:t xml:space="preserve">repair, remove, decommission, close or abandoned part of a pipeline must notify the </w:t>
      </w:r>
      <w:r>
        <w:t>Regulator</w:t>
      </w:r>
      <w:r w:rsidRPr="0040665C">
        <w:rPr>
          <w:i/>
        </w:rPr>
        <w:t xml:space="preserve"> </w:t>
      </w:r>
      <w:r>
        <w:t>– Regulation 390</w:t>
      </w:r>
      <w:r w:rsidRPr="00EA549B">
        <w:t xml:space="preserve">. “Person conducting a business or undertaking” </w:t>
      </w:r>
      <w:r>
        <w:t xml:space="preserve">(PCBU) </w:t>
      </w:r>
      <w:r w:rsidRPr="00EA549B">
        <w:t xml:space="preserve">is defined in Section 5 of the </w:t>
      </w:r>
      <w:r w:rsidRPr="003B3927">
        <w:rPr>
          <w:i/>
        </w:rPr>
        <w:t>Work Health and Safety (National Uniform Legislation) Act</w:t>
      </w:r>
      <w:r>
        <w:rPr>
          <w:i/>
        </w:rPr>
        <w:t>.</w:t>
      </w:r>
      <w:r w:rsidRPr="00EA549B">
        <w:t xml:space="preserve"> </w:t>
      </w:r>
    </w:p>
    <w:p w14:paraId="5EE91071" w14:textId="77777777" w:rsidR="0002185F" w:rsidRDefault="0002185F" w:rsidP="0002185F">
      <w:r w:rsidRPr="00EA549B">
        <w:t xml:space="preserve">A </w:t>
      </w:r>
      <w:r>
        <w:t>PCBU</w:t>
      </w:r>
      <w:r w:rsidRPr="00EA549B">
        <w:t xml:space="preserve"> may be an individual, a body corporate, a government agency, a partnership or an unincorporated association.</w:t>
      </w:r>
      <w:r>
        <w:t xml:space="preserve"> </w:t>
      </w:r>
      <w:r w:rsidRPr="00EA549B">
        <w:t>The person can be the operator or the owner of the pipeline.</w:t>
      </w:r>
    </w:p>
    <w:p w14:paraId="2E28B9B6" w14:textId="77777777" w:rsidR="0002185F" w:rsidRDefault="0002185F" w:rsidP="0002185F">
      <w:pPr>
        <w:pStyle w:val="Heading2"/>
      </w:pPr>
      <w:bookmarkStart w:id="10" w:name="_Toc301426683"/>
      <w:bookmarkStart w:id="11" w:name="_Toc313954555"/>
      <w:bookmarkStart w:id="12" w:name="_Toc524095216"/>
      <w:r w:rsidRPr="00EA549B">
        <w:t>When to notify</w:t>
      </w:r>
      <w:bookmarkEnd w:id="10"/>
      <w:bookmarkEnd w:id="11"/>
      <w:bookmarkEnd w:id="12"/>
    </w:p>
    <w:p w14:paraId="6B693BDA" w14:textId="77777777" w:rsidR="0002185F" w:rsidRPr="00DD4AF9" w:rsidRDefault="0002185F" w:rsidP="0002185F">
      <w:r w:rsidRPr="00DD4AF9">
        <w:t xml:space="preserve">Notification to the </w:t>
      </w:r>
      <w:r>
        <w:t xml:space="preserve">Regulator </w:t>
      </w:r>
      <w:r w:rsidRPr="00DD4AF9">
        <w:t>must occur:</w:t>
      </w:r>
    </w:p>
    <w:p w14:paraId="3F2A1800" w14:textId="77777777" w:rsidR="0002185F" w:rsidRDefault="0002185F" w:rsidP="0002185F">
      <w:pPr>
        <w:pStyle w:val="ListParagraph"/>
        <w:numPr>
          <w:ilvl w:val="0"/>
          <w:numId w:val="36"/>
        </w:numPr>
      </w:pPr>
      <w:r>
        <w:t>Before the building of the pipeline commences – Regulation 390(2)</w:t>
      </w:r>
    </w:p>
    <w:p w14:paraId="4CE790F0" w14:textId="77777777" w:rsidR="0002185F" w:rsidRPr="00061AA4" w:rsidRDefault="0002185F" w:rsidP="0002185F">
      <w:pPr>
        <w:pStyle w:val="ListParagraph"/>
        <w:numPr>
          <w:ilvl w:val="0"/>
          <w:numId w:val="36"/>
        </w:numPr>
      </w:pPr>
      <w:r w:rsidRPr="00061AA4">
        <w:t xml:space="preserve">Before the pipeline is commissioned and is likely to contain </w:t>
      </w:r>
      <w:r>
        <w:t>Schedule 11 hazardous chemicals</w:t>
      </w:r>
      <w:r w:rsidRPr="0040665C">
        <w:rPr>
          <w:i/>
        </w:rPr>
        <w:t xml:space="preserve"> </w:t>
      </w:r>
      <w:r>
        <w:t xml:space="preserve">– </w:t>
      </w:r>
      <w:r w:rsidRPr="00061AA4">
        <w:t>Regulation 390(3</w:t>
      </w:r>
      <w:proofErr w:type="gramStart"/>
      <w:r w:rsidRPr="00061AA4">
        <w:t>)(</w:t>
      </w:r>
      <w:proofErr w:type="gramEnd"/>
      <w:r w:rsidRPr="00061AA4">
        <w:t>a) and (b) or any changes to this information (c).</w:t>
      </w:r>
    </w:p>
    <w:p w14:paraId="6AB03854" w14:textId="77777777" w:rsidR="0002185F" w:rsidRDefault="0002185F" w:rsidP="0002185F">
      <w:pPr>
        <w:pStyle w:val="ListParagraph"/>
        <w:numPr>
          <w:ilvl w:val="0"/>
          <w:numId w:val="35"/>
        </w:numPr>
      </w:pPr>
      <w:r w:rsidRPr="00061AA4">
        <w:t>If part of the pipeline needs to be repaired, before the repairs commence</w:t>
      </w:r>
      <w:r w:rsidRPr="0040665C">
        <w:rPr>
          <w:i/>
        </w:rPr>
        <w:t xml:space="preserve"> </w:t>
      </w:r>
      <w:r>
        <w:t>– Regulation 390(3</w:t>
      </w:r>
      <w:proofErr w:type="gramStart"/>
      <w:r>
        <w:t>)(</w:t>
      </w:r>
      <w:proofErr w:type="gramEnd"/>
      <w:r>
        <w:t>d).</w:t>
      </w:r>
    </w:p>
    <w:p w14:paraId="056DD300" w14:textId="77777777" w:rsidR="0002185F" w:rsidRDefault="0002185F" w:rsidP="0002185F">
      <w:pPr>
        <w:pStyle w:val="ListParagraph"/>
        <w:numPr>
          <w:ilvl w:val="0"/>
          <w:numId w:val="35"/>
        </w:numPr>
      </w:pPr>
      <w:r w:rsidRPr="00EA549B">
        <w:t>If part of the pipeline needs to be removed, decommissioned, closed or abandoned, when the part of the pipeline is removed, decomm</w:t>
      </w:r>
      <w:r>
        <w:t xml:space="preserve">issioned, closed or abandoned. </w:t>
      </w:r>
      <w:r w:rsidRPr="00EA549B">
        <w:t>Regulation 3</w:t>
      </w:r>
      <w:r>
        <w:t>90(3</w:t>
      </w:r>
      <w:proofErr w:type="gramStart"/>
      <w:r>
        <w:t>)(</w:t>
      </w:r>
      <w:proofErr w:type="gramEnd"/>
      <w:r>
        <w:t>e).</w:t>
      </w:r>
    </w:p>
    <w:p w14:paraId="61444A5D" w14:textId="77777777" w:rsidR="0002185F" w:rsidRDefault="0002185F" w:rsidP="0002185F">
      <w:pPr>
        <w:pStyle w:val="Heading1"/>
        <w:spacing w:before="240"/>
      </w:pPr>
      <w:bookmarkStart w:id="13" w:name="_Toc301426684"/>
      <w:bookmarkStart w:id="14" w:name="_Toc313954556"/>
      <w:bookmarkStart w:id="15" w:name="_Toc524095217"/>
      <w:r w:rsidRPr="00EA549B">
        <w:t>How to notify</w:t>
      </w:r>
      <w:bookmarkEnd w:id="13"/>
      <w:bookmarkEnd w:id="14"/>
      <w:bookmarkEnd w:id="15"/>
    </w:p>
    <w:p w14:paraId="13E5C7CD" w14:textId="77777777" w:rsidR="0002185F" w:rsidRPr="00EA549B" w:rsidRDefault="0002185F" w:rsidP="0002185F">
      <w:r w:rsidRPr="00EA549B">
        <w:t xml:space="preserve">Notifications are required to be made to the </w:t>
      </w:r>
      <w:r>
        <w:t xml:space="preserve">Regulator where </w:t>
      </w:r>
      <w:r w:rsidRPr="00EA549B">
        <w:t xml:space="preserve">the pipeline is located or is proposed to be built. </w:t>
      </w:r>
    </w:p>
    <w:p w14:paraId="712EBA2B" w14:textId="77777777" w:rsidR="0002185F" w:rsidRDefault="0002185F" w:rsidP="0002185F">
      <w:pPr>
        <w:rPr>
          <w:color w:val="0000FF"/>
          <w:u w:val="single"/>
        </w:rPr>
      </w:pPr>
      <w:r w:rsidRPr="00EA549B">
        <w:t xml:space="preserve">Notification forms are available on NT </w:t>
      </w:r>
      <w:proofErr w:type="spellStart"/>
      <w:r w:rsidRPr="00EA549B">
        <w:t>WorkSafe’s</w:t>
      </w:r>
      <w:proofErr w:type="spellEnd"/>
      <w:r w:rsidRPr="00EA549B">
        <w:t xml:space="preserve"> website </w:t>
      </w:r>
      <w:r w:rsidRPr="003B3927">
        <w:rPr>
          <w:color w:val="0000FF"/>
          <w:u w:val="single"/>
        </w:rPr>
        <w:t>www.worksafe.nt.gov.au</w:t>
      </w:r>
    </w:p>
    <w:p w14:paraId="28A8F464" w14:textId="77777777" w:rsidR="0002185F" w:rsidRPr="00EA549B" w:rsidRDefault="0002185F" w:rsidP="0002185F">
      <w:pPr>
        <w:pStyle w:val="Heading2"/>
      </w:pPr>
      <w:bookmarkStart w:id="16" w:name="_Toc301426685"/>
      <w:bookmarkStart w:id="17" w:name="_Toc313954557"/>
      <w:bookmarkStart w:id="18" w:name="_Toc524095218"/>
      <w:r w:rsidRPr="00EA549B">
        <w:t>Fees</w:t>
      </w:r>
      <w:bookmarkEnd w:id="16"/>
      <w:bookmarkEnd w:id="17"/>
      <w:bookmarkEnd w:id="18"/>
    </w:p>
    <w:p w14:paraId="74B4620A" w14:textId="77777777" w:rsidR="0002185F" w:rsidRDefault="0002185F" w:rsidP="0002185F">
      <w:r w:rsidRPr="00EA549B">
        <w:t>There is no fee for a notification of a pipeline.</w:t>
      </w:r>
    </w:p>
    <w:p w14:paraId="4721FEF0" w14:textId="77777777" w:rsidR="0002185F" w:rsidRDefault="0002185F" w:rsidP="0002185F">
      <w:pPr>
        <w:pStyle w:val="Heading1"/>
        <w:spacing w:before="240"/>
      </w:pPr>
      <w:bookmarkStart w:id="19" w:name="_Toc301426686"/>
      <w:bookmarkStart w:id="20" w:name="_Toc313954558"/>
      <w:bookmarkStart w:id="21" w:name="_Toc524095219"/>
      <w:r w:rsidRPr="00EA549B">
        <w:t>What information does the regulator require?</w:t>
      </w:r>
      <w:bookmarkEnd w:id="19"/>
      <w:bookmarkEnd w:id="20"/>
      <w:bookmarkEnd w:id="21"/>
    </w:p>
    <w:p w14:paraId="7E3E06D7" w14:textId="77777777" w:rsidR="0002185F" w:rsidRPr="00EA549B" w:rsidRDefault="0002185F" w:rsidP="0002185F">
      <w:r>
        <w:t xml:space="preserve">The </w:t>
      </w:r>
      <w:r w:rsidRPr="003F44E6">
        <w:rPr>
          <w:b/>
        </w:rPr>
        <w:t>Builder</w:t>
      </w:r>
      <w:r>
        <w:t xml:space="preserve"> is to supply w</w:t>
      </w:r>
      <w:r w:rsidRPr="00EA549B">
        <w:t xml:space="preserve">ritten notification to the </w:t>
      </w:r>
      <w:r>
        <w:t xml:space="preserve">Regulator </w:t>
      </w:r>
      <w:r w:rsidRPr="00EA549B">
        <w:t>of a proposed pipeline or the repair, removal, decommissioning, closure or abandonment of a pipeline requires the following information to be provided:</w:t>
      </w:r>
    </w:p>
    <w:p w14:paraId="2C995527" w14:textId="77777777" w:rsidR="0002185F" w:rsidRPr="00061AA4" w:rsidRDefault="0002185F" w:rsidP="0002185F">
      <w:pPr>
        <w:pStyle w:val="ListParagraph"/>
        <w:numPr>
          <w:ilvl w:val="0"/>
          <w:numId w:val="35"/>
        </w:numPr>
      </w:pPr>
      <w:r w:rsidRPr="00061AA4">
        <w:t>The name of the intended owner and operator of the pipeline</w:t>
      </w:r>
      <w:r>
        <w:t>,</w:t>
      </w:r>
      <w:r w:rsidRPr="00061AA4">
        <w:t xml:space="preserve"> and</w:t>
      </w:r>
    </w:p>
    <w:p w14:paraId="11647424" w14:textId="77777777" w:rsidR="0002185F" w:rsidRPr="00061AA4" w:rsidRDefault="0002185F" w:rsidP="0002185F">
      <w:pPr>
        <w:pStyle w:val="ListParagraph"/>
        <w:numPr>
          <w:ilvl w:val="0"/>
          <w:numId w:val="35"/>
        </w:numPr>
      </w:pPr>
      <w:r w:rsidRPr="00061AA4">
        <w:t>The pipelines specifications; and</w:t>
      </w:r>
    </w:p>
    <w:p w14:paraId="55C83AAE" w14:textId="77777777" w:rsidR="0002185F" w:rsidRPr="00061AA4" w:rsidRDefault="0002185F" w:rsidP="0002185F">
      <w:pPr>
        <w:pStyle w:val="ListParagraph"/>
        <w:numPr>
          <w:ilvl w:val="0"/>
          <w:numId w:val="35"/>
        </w:numPr>
      </w:pPr>
      <w:r w:rsidRPr="00061AA4">
        <w:t>The intended procedures for the operation, maintenance, renewal and relaying of the pipeline</w:t>
      </w:r>
      <w:r>
        <w:t>,</w:t>
      </w:r>
      <w:r w:rsidRPr="00061AA4">
        <w:t xml:space="preserve"> and</w:t>
      </w:r>
    </w:p>
    <w:p w14:paraId="7D80087D" w14:textId="77777777" w:rsidR="0002185F" w:rsidRPr="00061AA4" w:rsidRDefault="0002185F" w:rsidP="0002185F">
      <w:pPr>
        <w:pStyle w:val="ListParagraph"/>
        <w:numPr>
          <w:ilvl w:val="0"/>
          <w:numId w:val="35"/>
        </w:numPr>
      </w:pPr>
      <w:r w:rsidRPr="00061AA4">
        <w:t>Any public place that the pipeline will cross, preferably specified on a map (for example a photocopy of a street directory) indicating the pipelines location in terms of public place/s into wh</w:t>
      </w:r>
      <w:r>
        <w:t>ich the pipeline will cross,</w:t>
      </w:r>
      <w:r w:rsidRPr="00061AA4">
        <w:t xml:space="preserve"> and</w:t>
      </w:r>
    </w:p>
    <w:p w14:paraId="33D2971A" w14:textId="77777777" w:rsidR="0002185F" w:rsidRPr="00061AA4" w:rsidRDefault="0002185F" w:rsidP="0002185F">
      <w:pPr>
        <w:pStyle w:val="ListParagraph"/>
        <w:numPr>
          <w:ilvl w:val="0"/>
          <w:numId w:val="35"/>
        </w:numPr>
      </w:pPr>
      <w:r w:rsidRPr="00061AA4">
        <w:t>The intended emergency response procedures.</w:t>
      </w:r>
    </w:p>
    <w:p w14:paraId="30FB854E" w14:textId="77777777" w:rsidR="0002185F" w:rsidRDefault="0002185F" w:rsidP="0002185F">
      <w:r>
        <w:t>Regulation 390(2)</w:t>
      </w:r>
    </w:p>
    <w:p w14:paraId="3C35D867" w14:textId="77777777" w:rsidR="0002185F" w:rsidRDefault="0002185F" w:rsidP="0002185F">
      <w:r>
        <w:t xml:space="preserve">The </w:t>
      </w:r>
      <w:r>
        <w:rPr>
          <w:b/>
        </w:rPr>
        <w:t>Operator</w:t>
      </w:r>
      <w:r>
        <w:t xml:space="preserve"> of the pipeline that transfers a Schedule 11 Hazardous Chemical into a public place is to supply w</w:t>
      </w:r>
      <w:r w:rsidRPr="00EA549B">
        <w:t xml:space="preserve">ritten notification </w:t>
      </w:r>
      <w:r>
        <w:t>to the Regulator of:</w:t>
      </w:r>
    </w:p>
    <w:p w14:paraId="78BBC3CD" w14:textId="77777777" w:rsidR="0002185F" w:rsidRPr="00061AA4" w:rsidRDefault="0002185F" w:rsidP="0002185F">
      <w:pPr>
        <w:pStyle w:val="ListParagraph"/>
        <w:numPr>
          <w:ilvl w:val="0"/>
          <w:numId w:val="38"/>
        </w:numPr>
      </w:pPr>
      <w:r w:rsidRPr="00061AA4">
        <w:t>The supplier of the Schedule 11 hazardous chemical. The supplier refers to the person that provides the Schedule 11 hazardous chemical at the start of the pipe</w:t>
      </w:r>
      <w:r>
        <w:t>line (first supplier)</w:t>
      </w:r>
    </w:p>
    <w:p w14:paraId="56538E40" w14:textId="77777777" w:rsidR="0002185F" w:rsidRPr="00061AA4" w:rsidRDefault="0002185F" w:rsidP="0002185F">
      <w:pPr>
        <w:pStyle w:val="ListParagraph"/>
        <w:numPr>
          <w:ilvl w:val="0"/>
          <w:numId w:val="37"/>
        </w:numPr>
      </w:pPr>
      <w:r w:rsidRPr="00061AA4">
        <w:t>The receiver of the Schedule 11 hazardous chemical.  The receiver refers to the person that receives the Schedule 11 hazardous chemical at the end o</w:t>
      </w:r>
      <w:r>
        <w:t>f the pipeline (last recipient)</w:t>
      </w:r>
    </w:p>
    <w:p w14:paraId="5E8513FA" w14:textId="77777777" w:rsidR="0002185F" w:rsidRPr="00061AA4" w:rsidRDefault="0002185F" w:rsidP="0002185F">
      <w:pPr>
        <w:pStyle w:val="ListParagraph"/>
        <w:numPr>
          <w:ilvl w:val="0"/>
          <w:numId w:val="37"/>
        </w:numPr>
      </w:pPr>
      <w:r w:rsidRPr="00061AA4">
        <w:t>The correct classification of the Schedule 11 hazardous chemical.</w:t>
      </w:r>
    </w:p>
    <w:p w14:paraId="325C38C9" w14:textId="77777777" w:rsidR="0002185F" w:rsidRDefault="0002185F" w:rsidP="0002185F">
      <w:pPr>
        <w:rPr>
          <w:rFonts w:cs="Arial"/>
        </w:rPr>
      </w:pPr>
      <w:r>
        <w:rPr>
          <w:rFonts w:cs="Arial"/>
        </w:rPr>
        <w:t>Regulation 391(3)</w:t>
      </w:r>
    </w:p>
    <w:p w14:paraId="16FB3E21" w14:textId="77777777" w:rsidR="0002185F" w:rsidRDefault="0002185F" w:rsidP="0002185F">
      <w:pPr>
        <w:pStyle w:val="Heading1"/>
      </w:pPr>
      <w:bookmarkStart w:id="22" w:name="_Toc301426687"/>
      <w:bookmarkStart w:id="23" w:name="_Toc313954559"/>
      <w:bookmarkStart w:id="24" w:name="_Toc524095220"/>
      <w:r w:rsidRPr="00EA549B">
        <w:lastRenderedPageBreak/>
        <w:t>Obligations</w:t>
      </w:r>
      <w:bookmarkEnd w:id="22"/>
      <w:bookmarkEnd w:id="23"/>
      <w:bookmarkEnd w:id="24"/>
    </w:p>
    <w:p w14:paraId="3F8B39ED" w14:textId="77777777" w:rsidR="0002185F" w:rsidRDefault="0002185F" w:rsidP="0002185F">
      <w:pPr>
        <w:pStyle w:val="Heading2"/>
        <w:spacing w:before="120"/>
      </w:pPr>
      <w:bookmarkStart w:id="25" w:name="_Toc524095221"/>
      <w:r w:rsidRPr="00061AA4">
        <w:t>Changes to details</w:t>
      </w:r>
      <w:bookmarkEnd w:id="25"/>
    </w:p>
    <w:p w14:paraId="5B3A0CF1" w14:textId="77777777" w:rsidR="0002185F" w:rsidRDefault="0002185F" w:rsidP="0002185F">
      <w:r w:rsidRPr="00EA549B">
        <w:t xml:space="preserve">Changes to information provided to the </w:t>
      </w:r>
      <w:r>
        <w:t xml:space="preserve">Regulator </w:t>
      </w:r>
      <w:r w:rsidRPr="00EA549B">
        <w:t xml:space="preserve">in a notification for a proposed pipeline or the repair, removal, decommissioning, closure or abandonment of a pipeline must be provided to the </w:t>
      </w:r>
      <w:r>
        <w:t xml:space="preserve">Regulator </w:t>
      </w:r>
      <w:r w:rsidRPr="00EA549B">
        <w:t>when the information changes</w:t>
      </w:r>
      <w:r w:rsidRPr="0040665C">
        <w:rPr>
          <w:i/>
        </w:rPr>
        <w:t xml:space="preserve"> </w:t>
      </w:r>
      <w:r>
        <w:t>– Regulation 390(3</w:t>
      </w:r>
      <w:proofErr w:type="gramStart"/>
      <w:r>
        <w:t>)(</w:t>
      </w:r>
      <w:proofErr w:type="gramEnd"/>
      <w:r>
        <w:t>c)</w:t>
      </w:r>
      <w:r w:rsidRPr="00EA549B">
        <w:t>.</w:t>
      </w:r>
    </w:p>
    <w:p w14:paraId="5D0F5D34" w14:textId="77777777" w:rsidR="0002185F" w:rsidRDefault="0002185F" w:rsidP="0002185F">
      <w:pPr>
        <w:pStyle w:val="Heading2"/>
        <w:spacing w:before="240"/>
      </w:pPr>
      <w:bookmarkStart w:id="26" w:name="_Toc524095222"/>
      <w:r w:rsidRPr="00061AA4">
        <w:t>Labelling of pipeline</w:t>
      </w:r>
      <w:bookmarkEnd w:id="26"/>
    </w:p>
    <w:p w14:paraId="3177840F" w14:textId="77777777" w:rsidR="0002185F" w:rsidRDefault="0002185F" w:rsidP="0002185F">
      <w:r w:rsidRPr="00EA549B">
        <w:t>The operator of a pipeline used to transfer a Schedule 11 hazardous chemical must ensure so far as is reasonably practicable that the chemical transferred is identified by a label, sign or another way on or near the pipeline</w:t>
      </w:r>
      <w:r w:rsidRPr="0040665C">
        <w:rPr>
          <w:i/>
        </w:rPr>
        <w:t xml:space="preserve"> </w:t>
      </w:r>
      <w:r>
        <w:t>– Regulation 391(2).</w:t>
      </w:r>
    </w:p>
    <w:p w14:paraId="51120A11" w14:textId="77777777" w:rsidR="0002185F" w:rsidRDefault="0002185F" w:rsidP="0002185F">
      <w:pPr>
        <w:pStyle w:val="Heading2"/>
        <w:spacing w:before="240"/>
      </w:pPr>
      <w:bookmarkStart w:id="27" w:name="_Toc524095223"/>
      <w:r w:rsidRPr="00061AA4">
        <w:t>Risks caused by the pipeline</w:t>
      </w:r>
      <w:bookmarkEnd w:id="27"/>
    </w:p>
    <w:p w14:paraId="3C19071E" w14:textId="77777777" w:rsidR="0002185F" w:rsidRDefault="0002185F" w:rsidP="0002185F">
      <w:r w:rsidRPr="00EA549B">
        <w:t>The operator of a pipeline used to transfer a Schedule 11 hazardous chemical must manage risks to health and safety arising from the transfer of the hazardous chemical through the pipeline</w:t>
      </w:r>
      <w:r w:rsidRPr="0040665C">
        <w:rPr>
          <w:i/>
        </w:rPr>
        <w:t xml:space="preserve"> </w:t>
      </w:r>
      <w:r>
        <w:t>– Regulation 391(1)</w:t>
      </w:r>
      <w:r w:rsidRPr="00EA549B">
        <w:t>.</w:t>
      </w:r>
    </w:p>
    <w:p w14:paraId="43661AB6" w14:textId="77777777" w:rsidR="00CB4F6B" w:rsidRPr="00D535B1" w:rsidRDefault="00CB4F6B" w:rsidP="0002185F">
      <w:pPr>
        <w:pStyle w:val="Heading1"/>
        <w:spacing w:before="240"/>
      </w:pPr>
      <w:bookmarkStart w:id="28" w:name="_Toc313872096"/>
      <w:bookmarkStart w:id="29" w:name="_Toc414869365"/>
      <w:bookmarkStart w:id="30" w:name="_Toc414871077"/>
      <w:bookmarkStart w:id="31" w:name="_Toc414886183"/>
      <w:bookmarkStart w:id="32" w:name="_Toc524095224"/>
      <w:r w:rsidRPr="00D535B1">
        <w:t>Further information</w:t>
      </w:r>
      <w:bookmarkEnd w:id="28"/>
      <w:bookmarkEnd w:id="29"/>
      <w:bookmarkEnd w:id="30"/>
      <w:bookmarkEnd w:id="31"/>
      <w:bookmarkEnd w:id="32"/>
    </w:p>
    <w:p w14:paraId="3F1B91BB" w14:textId="77777777" w:rsidR="00CB4F6B" w:rsidRPr="00E4605B" w:rsidRDefault="00CB4F6B" w:rsidP="00CB4F6B">
      <w:pPr>
        <w:pStyle w:val="Heading2"/>
        <w:spacing w:before="240"/>
      </w:pPr>
      <w:bookmarkStart w:id="33" w:name="_Toc313872097"/>
      <w:bookmarkStart w:id="34" w:name="_Toc414869366"/>
      <w:bookmarkStart w:id="35" w:name="_Toc414871078"/>
      <w:bookmarkStart w:id="36" w:name="_Toc414886184"/>
      <w:bookmarkStart w:id="37" w:name="_Toc524095225"/>
      <w:r w:rsidRPr="00E4605B">
        <w:t>Legislation</w:t>
      </w:r>
      <w:bookmarkEnd w:id="33"/>
      <w:bookmarkEnd w:id="34"/>
      <w:bookmarkEnd w:id="35"/>
      <w:bookmarkEnd w:id="36"/>
      <w:bookmarkEnd w:id="37"/>
    </w:p>
    <w:p w14:paraId="66D3DCB2" w14:textId="704FFE52" w:rsidR="00CB4F6B" w:rsidRPr="00CB4F6B" w:rsidRDefault="00CB4F6B" w:rsidP="00CB4F6B">
      <w:pPr>
        <w:pStyle w:val="Heading2"/>
        <w:rPr>
          <w:rFonts w:eastAsiaTheme="minorHAnsi" w:cs="Arial"/>
          <w:b w:val="0"/>
          <w:bCs w:val="0"/>
          <w:color w:val="auto"/>
          <w:sz w:val="22"/>
          <w:szCs w:val="22"/>
        </w:rPr>
      </w:pPr>
      <w:bookmarkStart w:id="38" w:name="_Toc524095226"/>
      <w:r w:rsidRPr="00CB4F6B">
        <w:rPr>
          <w:rFonts w:eastAsiaTheme="minorHAnsi" w:cs="Arial"/>
          <w:b w:val="0"/>
          <w:bCs w:val="0"/>
          <w:i/>
          <w:color w:val="auto"/>
          <w:sz w:val="22"/>
          <w:szCs w:val="22"/>
        </w:rPr>
        <w:t>The Work Health and Safety (National Uniform Legislation) Act</w:t>
      </w:r>
      <w:r w:rsidRPr="00CB4F6B">
        <w:rPr>
          <w:rFonts w:eastAsiaTheme="minorHAnsi" w:cs="Arial"/>
          <w:b w:val="0"/>
          <w:bCs w:val="0"/>
          <w:color w:val="auto"/>
          <w:sz w:val="22"/>
          <w:szCs w:val="22"/>
        </w:rPr>
        <w:t xml:space="preserve"> and Work Health and Safety (National Uniform Legislation) Regulations are available on NT </w:t>
      </w:r>
      <w:proofErr w:type="spellStart"/>
      <w:r w:rsidRPr="00CB4F6B">
        <w:rPr>
          <w:rFonts w:eastAsiaTheme="minorHAnsi" w:cs="Arial"/>
          <w:b w:val="0"/>
          <w:bCs w:val="0"/>
          <w:color w:val="auto"/>
          <w:sz w:val="22"/>
          <w:szCs w:val="22"/>
        </w:rPr>
        <w:t>WorkSafe’s</w:t>
      </w:r>
      <w:proofErr w:type="spellEnd"/>
      <w:r w:rsidRPr="00CB4F6B">
        <w:rPr>
          <w:rFonts w:eastAsiaTheme="minorHAnsi" w:cs="Arial"/>
          <w:b w:val="0"/>
          <w:bCs w:val="0"/>
          <w:color w:val="auto"/>
          <w:sz w:val="22"/>
          <w:szCs w:val="22"/>
        </w:rPr>
        <w:t xml:space="preserve"> website </w:t>
      </w:r>
      <w:hyperlink r:id="rId11" w:history="1">
        <w:r w:rsidRPr="00A00331">
          <w:rPr>
            <w:rStyle w:val="Hyperlink"/>
            <w:rFonts w:eastAsiaTheme="minorHAnsi" w:cs="Arial"/>
            <w:b w:val="0"/>
            <w:bCs w:val="0"/>
            <w:sz w:val="22"/>
            <w:szCs w:val="22"/>
          </w:rPr>
          <w:t>www.legislation.nt.gov.au</w:t>
        </w:r>
      </w:hyperlink>
      <w:r>
        <w:rPr>
          <w:rFonts w:eastAsiaTheme="minorHAnsi" w:cs="Arial"/>
          <w:b w:val="0"/>
          <w:bCs w:val="0"/>
          <w:color w:val="auto"/>
          <w:sz w:val="22"/>
          <w:szCs w:val="22"/>
        </w:rPr>
        <w:t>.</w:t>
      </w:r>
      <w:bookmarkEnd w:id="38"/>
      <w:r>
        <w:rPr>
          <w:rFonts w:eastAsiaTheme="minorHAnsi" w:cs="Arial"/>
          <w:b w:val="0"/>
          <w:bCs w:val="0"/>
          <w:color w:val="auto"/>
          <w:sz w:val="22"/>
          <w:szCs w:val="22"/>
        </w:rPr>
        <w:t xml:space="preserve"> </w:t>
      </w:r>
      <w:r w:rsidRPr="00CB4F6B">
        <w:rPr>
          <w:rFonts w:eastAsiaTheme="minorHAnsi" w:cs="Arial"/>
          <w:b w:val="0"/>
          <w:bCs w:val="0"/>
          <w:color w:val="auto"/>
          <w:sz w:val="22"/>
          <w:szCs w:val="22"/>
        </w:rPr>
        <w:t xml:space="preserve"> </w:t>
      </w:r>
    </w:p>
    <w:p w14:paraId="401D29FD" w14:textId="68C6884E" w:rsidR="00F100E9" w:rsidRDefault="00F100E9" w:rsidP="00CB4F6B">
      <w:pPr>
        <w:pStyle w:val="Heading2"/>
      </w:pPr>
      <w:bookmarkStart w:id="39" w:name="_Toc524095227"/>
      <w:r w:rsidRPr="00CC2EE0">
        <w:t>List of jurisdiction contacts</w:t>
      </w:r>
      <w:bookmarkEnd w:id="1"/>
      <w:bookmarkEnd w:id="2"/>
      <w:bookmarkEnd w:id="3"/>
      <w:bookmarkEnd w:id="39"/>
    </w:p>
    <w:tbl>
      <w:tblPr>
        <w:tblStyle w:val="TableGrid"/>
        <w:tblW w:w="10738" w:type="dxa"/>
        <w:tblInd w:w="108" w:type="dxa"/>
        <w:tblLook w:val="04A0" w:firstRow="1" w:lastRow="0" w:firstColumn="1" w:lastColumn="0" w:noHBand="0" w:noVBand="1"/>
        <w:tblDescription w:val="4 column Table laying out the Jurisdiction, the name of the Regulator, the phone number contact and then the website address"/>
      </w:tblPr>
      <w:tblGrid>
        <w:gridCol w:w="2501"/>
        <w:gridCol w:w="2470"/>
        <w:gridCol w:w="2432"/>
        <w:gridCol w:w="3335"/>
      </w:tblGrid>
      <w:tr w:rsidR="00F100E9" w:rsidRPr="001053FA" w14:paraId="00FBC122" w14:textId="77777777" w:rsidTr="00A51BDA">
        <w:trPr>
          <w:tblHeader/>
        </w:trPr>
        <w:tc>
          <w:tcPr>
            <w:tcW w:w="2501" w:type="dxa"/>
            <w:shd w:val="clear" w:color="auto" w:fill="D9D9D9" w:themeFill="background1" w:themeFillShade="D9"/>
          </w:tcPr>
          <w:p w14:paraId="39E0A813" w14:textId="77777777" w:rsidR="00F100E9" w:rsidRPr="001053FA" w:rsidRDefault="00F100E9" w:rsidP="00A51BDA">
            <w:pPr>
              <w:spacing w:before="60" w:after="60"/>
              <w:rPr>
                <w:b/>
              </w:rPr>
            </w:pPr>
            <w:r w:rsidRPr="001053FA">
              <w:rPr>
                <w:b/>
                <w:lang w:eastAsia="en-AU"/>
              </w:rPr>
              <w:t>Jurisdiction</w:t>
            </w:r>
          </w:p>
        </w:tc>
        <w:tc>
          <w:tcPr>
            <w:tcW w:w="2470" w:type="dxa"/>
            <w:shd w:val="clear" w:color="auto" w:fill="D9D9D9" w:themeFill="background1" w:themeFillShade="D9"/>
          </w:tcPr>
          <w:p w14:paraId="7A9CC095" w14:textId="77777777" w:rsidR="00F100E9" w:rsidRPr="001053FA" w:rsidRDefault="00F100E9" w:rsidP="00A51BDA">
            <w:pPr>
              <w:spacing w:before="60" w:after="60"/>
              <w:rPr>
                <w:b/>
              </w:rPr>
            </w:pPr>
            <w:r>
              <w:rPr>
                <w:b/>
                <w:lang w:eastAsia="en-AU"/>
              </w:rPr>
              <w:t>Name of R</w:t>
            </w:r>
            <w:r w:rsidRPr="001053FA">
              <w:rPr>
                <w:b/>
                <w:lang w:eastAsia="en-AU"/>
              </w:rPr>
              <w:t>egulator</w:t>
            </w:r>
          </w:p>
        </w:tc>
        <w:tc>
          <w:tcPr>
            <w:tcW w:w="2432" w:type="dxa"/>
            <w:shd w:val="clear" w:color="auto" w:fill="D9D9D9" w:themeFill="background1" w:themeFillShade="D9"/>
          </w:tcPr>
          <w:p w14:paraId="6A95129B" w14:textId="77777777" w:rsidR="00F100E9" w:rsidRPr="001053FA" w:rsidRDefault="00F100E9" w:rsidP="00A51BDA">
            <w:pPr>
              <w:spacing w:before="60" w:after="60"/>
              <w:rPr>
                <w:b/>
              </w:rPr>
            </w:pPr>
            <w:r w:rsidRPr="001053FA">
              <w:rPr>
                <w:b/>
                <w:lang w:eastAsia="en-AU"/>
              </w:rPr>
              <w:t>Telephone</w:t>
            </w:r>
          </w:p>
        </w:tc>
        <w:tc>
          <w:tcPr>
            <w:tcW w:w="3335" w:type="dxa"/>
            <w:shd w:val="clear" w:color="auto" w:fill="D9D9D9" w:themeFill="background1" w:themeFillShade="D9"/>
          </w:tcPr>
          <w:p w14:paraId="73F7B586" w14:textId="77777777" w:rsidR="00F100E9" w:rsidRPr="001053FA" w:rsidRDefault="00F100E9" w:rsidP="00A51BDA">
            <w:pPr>
              <w:spacing w:before="60" w:after="60"/>
              <w:rPr>
                <w:b/>
              </w:rPr>
            </w:pPr>
            <w:r w:rsidRPr="001053FA">
              <w:rPr>
                <w:b/>
                <w:lang w:eastAsia="en-AU"/>
              </w:rPr>
              <w:t>Web site</w:t>
            </w:r>
          </w:p>
        </w:tc>
      </w:tr>
      <w:tr w:rsidR="00F100E9" w:rsidRPr="001053FA" w14:paraId="17DF8229" w14:textId="77777777" w:rsidTr="00A51BDA">
        <w:tc>
          <w:tcPr>
            <w:tcW w:w="2501" w:type="dxa"/>
          </w:tcPr>
          <w:p w14:paraId="552CD4BF" w14:textId="77777777" w:rsidR="00F100E9" w:rsidRPr="001053FA" w:rsidRDefault="00F100E9" w:rsidP="00A51BDA">
            <w:pPr>
              <w:spacing w:before="60" w:after="60"/>
            </w:pPr>
            <w:r w:rsidRPr="00B8492F">
              <w:rPr>
                <w:lang w:eastAsia="en-AU"/>
              </w:rPr>
              <w:t xml:space="preserve">Commonwealth </w:t>
            </w:r>
          </w:p>
        </w:tc>
        <w:tc>
          <w:tcPr>
            <w:tcW w:w="2470" w:type="dxa"/>
          </w:tcPr>
          <w:p w14:paraId="33EA8159" w14:textId="77777777" w:rsidR="00F100E9" w:rsidRPr="001053FA" w:rsidRDefault="00F100E9" w:rsidP="00A51BDA">
            <w:pPr>
              <w:spacing w:before="60" w:after="60"/>
            </w:pPr>
            <w:proofErr w:type="spellStart"/>
            <w:r w:rsidRPr="00B8492F">
              <w:t>Comcare</w:t>
            </w:r>
            <w:proofErr w:type="spellEnd"/>
          </w:p>
        </w:tc>
        <w:tc>
          <w:tcPr>
            <w:tcW w:w="2432" w:type="dxa"/>
          </w:tcPr>
          <w:p w14:paraId="46711018" w14:textId="77777777" w:rsidR="00F100E9" w:rsidRPr="001053FA" w:rsidRDefault="00F100E9" w:rsidP="00A51BDA">
            <w:pPr>
              <w:spacing w:before="60" w:after="60"/>
            </w:pPr>
            <w:r w:rsidRPr="00B8492F">
              <w:t>1300 366 979</w:t>
            </w:r>
          </w:p>
        </w:tc>
        <w:tc>
          <w:tcPr>
            <w:tcW w:w="3335" w:type="dxa"/>
          </w:tcPr>
          <w:p w14:paraId="7A833D9C" w14:textId="77777777" w:rsidR="00F100E9" w:rsidRPr="001053FA" w:rsidRDefault="00F100E9" w:rsidP="00A51BDA">
            <w:pPr>
              <w:spacing w:before="60" w:after="60"/>
            </w:pPr>
            <w:r w:rsidRPr="001053FA">
              <w:rPr>
                <w:szCs w:val="20"/>
              </w:rPr>
              <w:t>www.comcare.gov.au</w:t>
            </w:r>
            <w:r>
              <w:t xml:space="preserve"> </w:t>
            </w:r>
          </w:p>
        </w:tc>
      </w:tr>
      <w:tr w:rsidR="00F100E9" w:rsidRPr="001053FA" w14:paraId="7239E1AA" w14:textId="77777777" w:rsidTr="00A51BDA">
        <w:tc>
          <w:tcPr>
            <w:tcW w:w="2501" w:type="dxa"/>
          </w:tcPr>
          <w:p w14:paraId="7491155D" w14:textId="77777777" w:rsidR="00F100E9" w:rsidRPr="001053FA" w:rsidRDefault="00F100E9" w:rsidP="00A51BDA">
            <w:pPr>
              <w:spacing w:before="60" w:after="60"/>
            </w:pPr>
            <w:r w:rsidRPr="00B8492F">
              <w:rPr>
                <w:lang w:eastAsia="en-AU"/>
              </w:rPr>
              <w:t>New South Wales</w:t>
            </w:r>
          </w:p>
        </w:tc>
        <w:tc>
          <w:tcPr>
            <w:tcW w:w="2470" w:type="dxa"/>
          </w:tcPr>
          <w:p w14:paraId="7CED9302" w14:textId="77777777" w:rsidR="00F100E9" w:rsidRPr="001053FA" w:rsidRDefault="00F100E9" w:rsidP="00A51BDA">
            <w:pPr>
              <w:spacing w:before="60" w:after="60"/>
            </w:pPr>
            <w:r w:rsidRPr="00B8492F">
              <w:t>WorkCover NSW</w:t>
            </w:r>
          </w:p>
        </w:tc>
        <w:tc>
          <w:tcPr>
            <w:tcW w:w="2432" w:type="dxa"/>
          </w:tcPr>
          <w:p w14:paraId="412DA83E" w14:textId="77777777" w:rsidR="00F100E9" w:rsidRPr="001053FA" w:rsidRDefault="00F100E9" w:rsidP="00A51BDA">
            <w:pPr>
              <w:spacing w:before="60" w:after="60"/>
            </w:pPr>
            <w:r w:rsidRPr="00B8492F">
              <w:t>13 10 50</w:t>
            </w:r>
          </w:p>
        </w:tc>
        <w:tc>
          <w:tcPr>
            <w:tcW w:w="3335" w:type="dxa"/>
          </w:tcPr>
          <w:p w14:paraId="0F9C1763" w14:textId="77777777" w:rsidR="00F100E9" w:rsidRPr="001053FA" w:rsidRDefault="00F100E9" w:rsidP="00A51BDA">
            <w:pPr>
              <w:spacing w:before="60" w:after="60"/>
            </w:pPr>
            <w:r w:rsidRPr="001053FA">
              <w:rPr>
                <w:szCs w:val="20"/>
              </w:rPr>
              <w:t>www.workcover.nsw.gov.au</w:t>
            </w:r>
          </w:p>
        </w:tc>
      </w:tr>
      <w:tr w:rsidR="00F100E9" w:rsidRPr="001053FA" w14:paraId="546C38EF" w14:textId="77777777" w:rsidTr="00A51BDA">
        <w:tc>
          <w:tcPr>
            <w:tcW w:w="2501" w:type="dxa"/>
          </w:tcPr>
          <w:p w14:paraId="31933982" w14:textId="77777777" w:rsidR="00F100E9" w:rsidRPr="001053FA" w:rsidRDefault="00F100E9" w:rsidP="00A51BDA">
            <w:pPr>
              <w:spacing w:before="60" w:after="60"/>
            </w:pPr>
            <w:r w:rsidRPr="00B8492F">
              <w:rPr>
                <w:lang w:eastAsia="en-AU"/>
              </w:rPr>
              <w:t>Victoria</w:t>
            </w:r>
          </w:p>
        </w:tc>
        <w:tc>
          <w:tcPr>
            <w:tcW w:w="2470" w:type="dxa"/>
          </w:tcPr>
          <w:p w14:paraId="781208B7" w14:textId="77777777" w:rsidR="00F100E9" w:rsidRPr="001053FA" w:rsidRDefault="00F100E9" w:rsidP="00A51BDA">
            <w:pPr>
              <w:spacing w:before="60" w:after="60"/>
            </w:pPr>
            <w:r w:rsidRPr="00B8492F">
              <w:t>WorkSafe Victoria</w:t>
            </w:r>
          </w:p>
        </w:tc>
        <w:tc>
          <w:tcPr>
            <w:tcW w:w="2432" w:type="dxa"/>
          </w:tcPr>
          <w:p w14:paraId="66E5422C" w14:textId="77777777" w:rsidR="00F100E9" w:rsidRDefault="00F100E9" w:rsidP="00A51BDA">
            <w:pPr>
              <w:spacing w:before="60" w:after="60"/>
            </w:pPr>
            <w:r w:rsidRPr="00B8492F">
              <w:t>1800 136 089</w:t>
            </w:r>
            <w:r>
              <w:t xml:space="preserve"> or</w:t>
            </w:r>
          </w:p>
          <w:p w14:paraId="04288F32" w14:textId="77777777" w:rsidR="00F100E9" w:rsidRPr="001053FA" w:rsidRDefault="00F100E9" w:rsidP="00A51BDA">
            <w:pPr>
              <w:spacing w:before="60" w:after="60"/>
            </w:pPr>
            <w:r>
              <w:t>(03) 9641 1444</w:t>
            </w:r>
          </w:p>
        </w:tc>
        <w:tc>
          <w:tcPr>
            <w:tcW w:w="3335" w:type="dxa"/>
          </w:tcPr>
          <w:p w14:paraId="230A1249" w14:textId="77777777" w:rsidR="00F100E9" w:rsidRPr="001053FA" w:rsidRDefault="00F100E9" w:rsidP="00A51BDA">
            <w:pPr>
              <w:spacing w:before="60" w:after="60"/>
            </w:pPr>
            <w:r w:rsidRPr="001053FA">
              <w:rPr>
                <w:szCs w:val="20"/>
              </w:rPr>
              <w:t>www.worksafe.vic.gov.au</w:t>
            </w:r>
          </w:p>
        </w:tc>
      </w:tr>
      <w:tr w:rsidR="00F100E9" w:rsidRPr="001053FA" w14:paraId="43EDF66B" w14:textId="77777777" w:rsidTr="00A51BDA">
        <w:tc>
          <w:tcPr>
            <w:tcW w:w="2501" w:type="dxa"/>
          </w:tcPr>
          <w:p w14:paraId="56D10E6D" w14:textId="77777777" w:rsidR="00F100E9" w:rsidRPr="001053FA" w:rsidRDefault="00F100E9" w:rsidP="00A51BDA">
            <w:pPr>
              <w:spacing w:before="60" w:after="60"/>
            </w:pPr>
            <w:r w:rsidRPr="00B8492F">
              <w:rPr>
                <w:lang w:eastAsia="en-AU"/>
              </w:rPr>
              <w:t>Queensland</w:t>
            </w:r>
          </w:p>
        </w:tc>
        <w:tc>
          <w:tcPr>
            <w:tcW w:w="2470" w:type="dxa"/>
          </w:tcPr>
          <w:p w14:paraId="2D235121" w14:textId="23FAC642" w:rsidR="00F100E9" w:rsidRPr="001053FA" w:rsidRDefault="00CB4F6B" w:rsidP="00A51BDA">
            <w:pPr>
              <w:spacing w:before="60" w:after="60"/>
            </w:pPr>
            <w:r>
              <w:t>WorkCover QLD</w:t>
            </w:r>
          </w:p>
        </w:tc>
        <w:tc>
          <w:tcPr>
            <w:tcW w:w="2432" w:type="dxa"/>
          </w:tcPr>
          <w:p w14:paraId="3EEC172F" w14:textId="77777777" w:rsidR="00F100E9" w:rsidRPr="001053FA" w:rsidRDefault="00F100E9" w:rsidP="00A51BDA">
            <w:pPr>
              <w:spacing w:before="60" w:after="60"/>
            </w:pPr>
            <w:r w:rsidRPr="00B8492F">
              <w:t xml:space="preserve">1300 </w:t>
            </w:r>
            <w:r>
              <w:t>362 128</w:t>
            </w:r>
          </w:p>
        </w:tc>
        <w:tc>
          <w:tcPr>
            <w:tcW w:w="3335" w:type="dxa"/>
          </w:tcPr>
          <w:p w14:paraId="024248C2" w14:textId="77777777" w:rsidR="00F100E9" w:rsidRPr="001053FA" w:rsidRDefault="00F100E9" w:rsidP="00A51BDA">
            <w:pPr>
              <w:spacing w:before="60" w:after="60"/>
            </w:pPr>
            <w:r w:rsidRPr="001053FA">
              <w:rPr>
                <w:szCs w:val="20"/>
              </w:rPr>
              <w:t>www.</w:t>
            </w:r>
            <w:r>
              <w:rPr>
                <w:szCs w:val="20"/>
              </w:rPr>
              <w:t>worksafe</w:t>
            </w:r>
            <w:r w:rsidRPr="001053FA">
              <w:rPr>
                <w:szCs w:val="20"/>
              </w:rPr>
              <w:t>.qld.gov.au</w:t>
            </w:r>
          </w:p>
        </w:tc>
      </w:tr>
      <w:tr w:rsidR="00F100E9" w:rsidRPr="001053FA" w14:paraId="14E02693" w14:textId="77777777" w:rsidTr="00A51BDA">
        <w:tc>
          <w:tcPr>
            <w:tcW w:w="2501" w:type="dxa"/>
          </w:tcPr>
          <w:p w14:paraId="1B134CB4" w14:textId="77777777" w:rsidR="00F100E9" w:rsidRPr="001053FA" w:rsidRDefault="00F100E9" w:rsidP="00A51BDA">
            <w:pPr>
              <w:spacing w:before="60" w:after="60"/>
            </w:pPr>
            <w:r w:rsidRPr="00B8492F">
              <w:rPr>
                <w:lang w:eastAsia="en-AU"/>
              </w:rPr>
              <w:t>South Australia</w:t>
            </w:r>
          </w:p>
        </w:tc>
        <w:tc>
          <w:tcPr>
            <w:tcW w:w="2470" w:type="dxa"/>
          </w:tcPr>
          <w:p w14:paraId="4E725A19" w14:textId="77777777" w:rsidR="00F100E9" w:rsidRPr="001053FA" w:rsidRDefault="00F100E9" w:rsidP="00A51BDA">
            <w:pPr>
              <w:spacing w:before="60" w:after="60"/>
            </w:pPr>
            <w:proofErr w:type="spellStart"/>
            <w:r w:rsidRPr="00B8492F">
              <w:t>SafeWork</w:t>
            </w:r>
            <w:proofErr w:type="spellEnd"/>
            <w:r w:rsidRPr="00B8492F">
              <w:t xml:space="preserve"> SA</w:t>
            </w:r>
          </w:p>
        </w:tc>
        <w:tc>
          <w:tcPr>
            <w:tcW w:w="2432" w:type="dxa"/>
          </w:tcPr>
          <w:p w14:paraId="13F76094" w14:textId="77777777" w:rsidR="00F100E9" w:rsidRPr="001053FA" w:rsidRDefault="00F100E9" w:rsidP="00A51BDA">
            <w:pPr>
              <w:spacing w:before="60" w:after="60"/>
            </w:pPr>
            <w:r w:rsidRPr="00B8492F">
              <w:t>1300 365 255</w:t>
            </w:r>
          </w:p>
        </w:tc>
        <w:tc>
          <w:tcPr>
            <w:tcW w:w="3335" w:type="dxa"/>
          </w:tcPr>
          <w:p w14:paraId="1440CC09" w14:textId="77777777" w:rsidR="00F100E9" w:rsidRPr="001053FA" w:rsidRDefault="00F100E9" w:rsidP="00A51BDA">
            <w:pPr>
              <w:spacing w:before="60" w:after="60"/>
            </w:pPr>
            <w:r w:rsidRPr="001053FA">
              <w:rPr>
                <w:szCs w:val="20"/>
              </w:rPr>
              <w:t>www.safework.sa.gov.au</w:t>
            </w:r>
          </w:p>
        </w:tc>
      </w:tr>
      <w:tr w:rsidR="00F100E9" w:rsidRPr="001053FA" w14:paraId="4C0A5D8B" w14:textId="77777777" w:rsidTr="00A51BDA">
        <w:tc>
          <w:tcPr>
            <w:tcW w:w="2501" w:type="dxa"/>
          </w:tcPr>
          <w:p w14:paraId="76349CCE" w14:textId="77777777" w:rsidR="00F100E9" w:rsidRPr="001053FA" w:rsidRDefault="00F100E9" w:rsidP="00A51BDA">
            <w:pPr>
              <w:spacing w:before="60" w:after="60"/>
            </w:pPr>
            <w:r w:rsidRPr="00B8492F">
              <w:rPr>
                <w:lang w:eastAsia="en-AU"/>
              </w:rPr>
              <w:t>Western Australia</w:t>
            </w:r>
          </w:p>
        </w:tc>
        <w:tc>
          <w:tcPr>
            <w:tcW w:w="2470" w:type="dxa"/>
          </w:tcPr>
          <w:p w14:paraId="5B708F02" w14:textId="77777777" w:rsidR="00F100E9" w:rsidRPr="001053FA" w:rsidRDefault="00F100E9" w:rsidP="00A51BDA">
            <w:pPr>
              <w:spacing w:before="60" w:after="60"/>
            </w:pPr>
            <w:r w:rsidRPr="00B8492F">
              <w:t>WorkSafe WA</w:t>
            </w:r>
          </w:p>
        </w:tc>
        <w:tc>
          <w:tcPr>
            <w:tcW w:w="2432" w:type="dxa"/>
          </w:tcPr>
          <w:p w14:paraId="082B2974" w14:textId="77777777" w:rsidR="00F100E9" w:rsidRPr="001053FA" w:rsidRDefault="00F100E9" w:rsidP="00A51BDA">
            <w:pPr>
              <w:spacing w:before="60" w:after="60"/>
            </w:pPr>
            <w:r w:rsidRPr="00B8492F">
              <w:t>1300 307 877</w:t>
            </w:r>
          </w:p>
        </w:tc>
        <w:tc>
          <w:tcPr>
            <w:tcW w:w="3335" w:type="dxa"/>
          </w:tcPr>
          <w:p w14:paraId="7AE205ED" w14:textId="77777777" w:rsidR="00F100E9" w:rsidRPr="001053FA" w:rsidRDefault="00F100E9" w:rsidP="00A51BDA">
            <w:pPr>
              <w:spacing w:before="60" w:after="60"/>
            </w:pPr>
            <w:r w:rsidRPr="001053FA">
              <w:rPr>
                <w:szCs w:val="20"/>
              </w:rPr>
              <w:t>www.worksafe.wa.gov.au</w:t>
            </w:r>
          </w:p>
        </w:tc>
      </w:tr>
      <w:tr w:rsidR="00F100E9" w:rsidRPr="001053FA" w14:paraId="0379105F" w14:textId="77777777" w:rsidTr="00A51BDA">
        <w:tc>
          <w:tcPr>
            <w:tcW w:w="2501" w:type="dxa"/>
          </w:tcPr>
          <w:p w14:paraId="44B36E7E" w14:textId="77777777" w:rsidR="00F100E9" w:rsidRPr="001053FA" w:rsidRDefault="00F100E9" w:rsidP="00A51BDA">
            <w:pPr>
              <w:spacing w:before="60" w:after="60"/>
            </w:pPr>
            <w:r w:rsidRPr="00B8492F">
              <w:rPr>
                <w:lang w:eastAsia="en-AU"/>
              </w:rPr>
              <w:t>Australian Capital Territory</w:t>
            </w:r>
          </w:p>
        </w:tc>
        <w:tc>
          <w:tcPr>
            <w:tcW w:w="2470" w:type="dxa"/>
          </w:tcPr>
          <w:p w14:paraId="32A2BF2D" w14:textId="77777777" w:rsidR="00F100E9" w:rsidRPr="001053FA" w:rsidRDefault="00F100E9" w:rsidP="00A51BDA">
            <w:pPr>
              <w:spacing w:before="60" w:after="60"/>
            </w:pPr>
            <w:r w:rsidRPr="00B8492F">
              <w:t>WorkSafe ACT</w:t>
            </w:r>
          </w:p>
        </w:tc>
        <w:tc>
          <w:tcPr>
            <w:tcW w:w="2432" w:type="dxa"/>
          </w:tcPr>
          <w:p w14:paraId="288CEE4D" w14:textId="77777777" w:rsidR="00F100E9" w:rsidRPr="001053FA" w:rsidRDefault="00F100E9" w:rsidP="00A51BDA">
            <w:pPr>
              <w:spacing w:before="60" w:after="60"/>
            </w:pPr>
            <w:r w:rsidRPr="00B8492F">
              <w:t>(02) 6207 3000</w:t>
            </w:r>
          </w:p>
        </w:tc>
        <w:tc>
          <w:tcPr>
            <w:tcW w:w="3335" w:type="dxa"/>
          </w:tcPr>
          <w:p w14:paraId="419EC85B" w14:textId="77777777" w:rsidR="00F100E9" w:rsidRPr="001053FA" w:rsidRDefault="00F100E9" w:rsidP="00A51BDA">
            <w:pPr>
              <w:spacing w:before="60" w:after="60"/>
            </w:pPr>
            <w:r w:rsidRPr="001053FA">
              <w:rPr>
                <w:szCs w:val="20"/>
              </w:rPr>
              <w:t>www.worksafe.act.gov.au</w:t>
            </w:r>
          </w:p>
        </w:tc>
      </w:tr>
      <w:tr w:rsidR="00F100E9" w:rsidRPr="001053FA" w14:paraId="08822951" w14:textId="77777777" w:rsidTr="00A51BDA">
        <w:tc>
          <w:tcPr>
            <w:tcW w:w="2501" w:type="dxa"/>
          </w:tcPr>
          <w:p w14:paraId="5675C0A9" w14:textId="77777777" w:rsidR="00F100E9" w:rsidRPr="001053FA" w:rsidRDefault="00F100E9" w:rsidP="00A51BDA">
            <w:pPr>
              <w:spacing w:before="60" w:after="60"/>
            </w:pPr>
            <w:r w:rsidRPr="00B8492F">
              <w:rPr>
                <w:lang w:eastAsia="en-AU"/>
              </w:rPr>
              <w:t>Tasmania</w:t>
            </w:r>
          </w:p>
        </w:tc>
        <w:tc>
          <w:tcPr>
            <w:tcW w:w="2470" w:type="dxa"/>
          </w:tcPr>
          <w:p w14:paraId="7E6CFD6A" w14:textId="77777777" w:rsidR="00F100E9" w:rsidRPr="001053FA" w:rsidRDefault="00F100E9" w:rsidP="00A51BDA">
            <w:pPr>
              <w:spacing w:before="60" w:after="60"/>
            </w:pPr>
            <w:r>
              <w:t>WorkSafe Tasmania</w:t>
            </w:r>
          </w:p>
        </w:tc>
        <w:tc>
          <w:tcPr>
            <w:tcW w:w="2432" w:type="dxa"/>
          </w:tcPr>
          <w:p w14:paraId="3642CC89" w14:textId="77777777" w:rsidR="00F100E9" w:rsidRPr="001053FA" w:rsidRDefault="00F100E9" w:rsidP="00A51BDA">
            <w:pPr>
              <w:spacing w:before="60" w:after="60"/>
            </w:pPr>
            <w:r w:rsidRPr="00B8492F">
              <w:t xml:space="preserve">1300 366 322 </w:t>
            </w:r>
            <w:r>
              <w:br/>
            </w:r>
            <w:r w:rsidRPr="00B8492F">
              <w:t>(Inside Tasmania)</w:t>
            </w:r>
            <w:r w:rsidRPr="00B8492F">
              <w:br/>
              <w:t xml:space="preserve">(03) </w:t>
            </w:r>
            <w:r>
              <w:t>6166 4600</w:t>
            </w:r>
            <w:r w:rsidRPr="00B8492F">
              <w:t xml:space="preserve"> (Outside Tasmania)</w:t>
            </w:r>
          </w:p>
        </w:tc>
        <w:tc>
          <w:tcPr>
            <w:tcW w:w="3335" w:type="dxa"/>
          </w:tcPr>
          <w:p w14:paraId="3BAD7584" w14:textId="77777777" w:rsidR="00F100E9" w:rsidRPr="001053FA" w:rsidRDefault="00F100E9" w:rsidP="00A51BDA">
            <w:pPr>
              <w:spacing w:before="60" w:after="60"/>
            </w:pPr>
            <w:r w:rsidRPr="001053FA">
              <w:rPr>
                <w:szCs w:val="20"/>
              </w:rPr>
              <w:t>www.w</w:t>
            </w:r>
            <w:r>
              <w:rPr>
                <w:szCs w:val="20"/>
              </w:rPr>
              <w:t>orksafe</w:t>
            </w:r>
            <w:r w:rsidRPr="001053FA">
              <w:rPr>
                <w:szCs w:val="20"/>
              </w:rPr>
              <w:t>.tas.gov.au</w:t>
            </w:r>
          </w:p>
        </w:tc>
      </w:tr>
    </w:tbl>
    <w:p w14:paraId="52A66982" w14:textId="76249787" w:rsidR="00A06A1E" w:rsidRPr="00FF5AE6" w:rsidRDefault="00A06A1E" w:rsidP="00E45467">
      <w:pPr>
        <w:pStyle w:val="Heading1"/>
        <w:spacing w:before="240"/>
      </w:pPr>
      <w:bookmarkStart w:id="40" w:name="_Toc524092046"/>
      <w:bookmarkStart w:id="41" w:name="_Toc524095228"/>
      <w:r w:rsidRPr="00FF5AE6">
        <w:t>Contact us</w:t>
      </w:r>
      <w:bookmarkEnd w:id="40"/>
      <w:bookmarkEnd w:id="41"/>
    </w:p>
    <w:p w14:paraId="4F11E6A5" w14:textId="7A9B333F" w:rsidR="003478B9" w:rsidRDefault="00A06A1E" w:rsidP="00A06A1E">
      <w:pPr>
        <w:rPr>
          <w:rStyle w:val="Hyperlink"/>
        </w:rPr>
      </w:pPr>
      <w:r>
        <w:t xml:space="preserve">For further information please contact us on 1800 019 115, via email at </w:t>
      </w:r>
      <w:hyperlink r:id="rId12" w:history="1">
        <w:r w:rsidRPr="001D037A">
          <w:rPr>
            <w:rStyle w:val="Hyperlink"/>
          </w:rPr>
          <w:t>ntworksafe@nt.gov.au</w:t>
        </w:r>
      </w:hyperlink>
      <w:r>
        <w:t xml:space="preserve"> or go to the NT WorkSafe website at </w:t>
      </w:r>
      <w:hyperlink r:id="rId13" w:history="1">
        <w:r w:rsidR="003478B9" w:rsidRPr="0048326C">
          <w:rPr>
            <w:rStyle w:val="Hyperlink"/>
          </w:rPr>
          <w:t>www.worksafe.nt.gov.au</w:t>
        </w:r>
      </w:hyperlink>
      <w:r w:rsidR="00740C6B">
        <w:rPr>
          <w:rStyle w:val="Hyperlink"/>
        </w:rPr>
        <w:t>.</w:t>
      </w:r>
    </w:p>
    <w:p w14:paraId="2F09E13D" w14:textId="77777777" w:rsidR="00740C6B" w:rsidRPr="001053FA" w:rsidRDefault="00740C6B" w:rsidP="00740C6B">
      <w:pPr>
        <w:rPr>
          <w:rFonts w:cs="Arial"/>
          <w:b/>
          <w:color w:val="000000"/>
          <w:sz w:val="16"/>
          <w:szCs w:val="16"/>
        </w:rPr>
      </w:pPr>
      <w:r w:rsidRPr="001053FA">
        <w:rPr>
          <w:b/>
          <w:sz w:val="16"/>
          <w:szCs w:val="16"/>
        </w:rPr>
        <w:t>DISCLAIMER</w:t>
      </w:r>
    </w:p>
    <w:p w14:paraId="0A97BF86" w14:textId="732C8CE4" w:rsidR="00740C6B" w:rsidRDefault="00740C6B" w:rsidP="00A06A1E">
      <w:r w:rsidRPr="001053FA">
        <w:rPr>
          <w:rFonts w:cs="Arial"/>
          <w:sz w:val="16"/>
          <w:szCs w:val="16"/>
        </w:rPr>
        <w:t xml:space="preserve">This publication contains information regarding work health and safety. It includes some of your obligations under the </w:t>
      </w:r>
      <w:r w:rsidRPr="001053FA">
        <w:rPr>
          <w:rFonts w:cs="Arial"/>
          <w:i/>
          <w:sz w:val="16"/>
          <w:szCs w:val="16"/>
        </w:rPr>
        <w:t>Work Health and Safety (National Uniform Legislation) Act</w:t>
      </w:r>
      <w:r w:rsidRPr="001053FA">
        <w:rPr>
          <w:rFonts w:cs="Arial"/>
          <w:sz w:val="16"/>
          <w:szCs w:val="16"/>
        </w:rPr>
        <w:t xml:space="preserve"> </w:t>
      </w:r>
      <w:r>
        <w:rPr>
          <w:rFonts w:cs="Arial"/>
          <w:sz w:val="16"/>
          <w:szCs w:val="16"/>
        </w:rPr>
        <w:t xml:space="preserve">– the WHS (NUL) Act – </w:t>
      </w:r>
      <w:r w:rsidRPr="001053FA">
        <w:rPr>
          <w:rFonts w:cs="Arial"/>
          <w:sz w:val="16"/>
          <w:szCs w:val="16"/>
        </w:rPr>
        <w:t>that NT WorkSafe administers. The information provided is a guide only and must be read in conjunction with the appropriate legislation to ensure you understand and comply with your legal obligations. NT WorkSafe does not warrant the information in this publication is complete or up-to-date and does not accept any liability for the information in this report or as to its use.</w:t>
      </w:r>
    </w:p>
    <w:sectPr w:rsidR="00740C6B" w:rsidSect="00E73B01">
      <w:headerReference w:type="even" r:id="rId14"/>
      <w:headerReference w:type="default" r:id="rId15"/>
      <w:footerReference w:type="default" r:id="rId16"/>
      <w:headerReference w:type="first" r:id="rId17"/>
      <w:footerReference w:type="first" r:id="rId18"/>
      <w:type w:val="continuous"/>
      <w:pgSz w:w="11906" w:h="16838" w:code="9"/>
      <w:pgMar w:top="1701" w:right="567" w:bottom="907" w:left="56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D3972" w14:textId="77777777" w:rsidR="00487B02" w:rsidRDefault="00487B02" w:rsidP="00E73B01">
      <w:r>
        <w:separator/>
      </w:r>
    </w:p>
  </w:endnote>
  <w:endnote w:type="continuationSeparator" w:id="0">
    <w:p w14:paraId="1D666CBF" w14:textId="77777777" w:rsidR="00487B02" w:rsidRDefault="00487B02" w:rsidP="00E7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945472"/>
      <w:docPartObj>
        <w:docPartGallery w:val="Page Numbers (Bottom of Page)"/>
        <w:docPartUnique/>
      </w:docPartObj>
    </w:sdtPr>
    <w:sdtEndPr/>
    <w:sdtContent>
      <w:p w14:paraId="480385AF" w14:textId="77777777" w:rsidR="00E27344" w:rsidRDefault="002F3E97" w:rsidP="00E73B01">
        <w:pPr>
          <w:pStyle w:val="Footer"/>
          <w:tabs>
            <w:tab w:val="clear" w:pos="4513"/>
            <w:tab w:val="clear" w:pos="9026"/>
            <w:tab w:val="right" w:pos="10773"/>
          </w:tabs>
          <w:ind w:left="-567"/>
        </w:pPr>
        <w:r>
          <w:rPr>
            <w:noProof/>
            <w:lang w:eastAsia="en-AU"/>
          </w:rPr>
          <w:drawing>
            <wp:inline distT="0" distB="0" distL="0" distR="0" wp14:anchorId="480385B8" wp14:editId="480385B9">
              <wp:extent cx="2246110" cy="190244"/>
              <wp:effectExtent l="0" t="0" r="1905" b="635"/>
              <wp:docPr id="8" name="Picture 8"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2nd.jpg"/>
                      <pic:cNvPicPr/>
                    </pic:nvPicPr>
                    <pic:blipFill>
                      <a:blip r:embed="rId1">
                        <a:extLst>
                          <a:ext uri="{28A0092B-C50C-407E-A947-70E740481C1C}">
                            <a14:useLocalDpi xmlns:a14="http://schemas.microsoft.com/office/drawing/2010/main" val="0"/>
                          </a:ext>
                        </a:extLst>
                      </a:blip>
                      <a:stretch>
                        <a:fillRect/>
                      </a:stretch>
                    </pic:blipFill>
                    <pic:spPr>
                      <a:xfrm>
                        <a:off x="0" y="0"/>
                        <a:ext cx="2246110" cy="190244"/>
                      </a:xfrm>
                      <a:prstGeom prst="rect">
                        <a:avLst/>
                      </a:prstGeom>
                    </pic:spPr>
                  </pic:pic>
                </a:graphicData>
              </a:graphic>
            </wp:inline>
          </w:drawing>
        </w:r>
        <w:r>
          <w:tab/>
        </w:r>
        <w:r w:rsidR="00FA5776" w:rsidRPr="007278C5">
          <w:fldChar w:fldCharType="begin"/>
        </w:r>
        <w:r w:rsidR="007278C5" w:rsidRPr="007278C5">
          <w:instrText xml:space="preserve"> PAGE   \* MERGEFORMAT </w:instrText>
        </w:r>
        <w:r w:rsidR="00FA5776" w:rsidRPr="007278C5">
          <w:fldChar w:fldCharType="separate"/>
        </w:r>
        <w:r w:rsidR="0002185F">
          <w:rPr>
            <w:noProof/>
          </w:rPr>
          <w:t>3</w:t>
        </w:r>
        <w:r w:rsidR="00FA5776" w:rsidRPr="007278C5">
          <w:fldChar w:fldCharType="end"/>
        </w:r>
      </w:p>
      <w:p w14:paraId="480385B0" w14:textId="6D044A59" w:rsidR="00A872D9" w:rsidRPr="00E27344" w:rsidRDefault="00E27344" w:rsidP="00DA5753">
        <w:pPr>
          <w:pStyle w:val="Footer"/>
          <w:tabs>
            <w:tab w:val="clear" w:pos="4513"/>
            <w:tab w:val="clear" w:pos="9026"/>
            <w:tab w:val="right" w:pos="10773"/>
          </w:tabs>
          <w:spacing w:after="240"/>
          <w:ind w:left="-567"/>
        </w:pPr>
        <w:r>
          <w:tab/>
        </w:r>
        <w:r w:rsidR="00F100E9">
          <w:rPr>
            <w:szCs w:val="20"/>
          </w:rPr>
          <w:t>G</w:t>
        </w:r>
        <w:r w:rsidR="00F100E9" w:rsidRPr="00732ACB">
          <w:rPr>
            <w:szCs w:val="20"/>
          </w:rPr>
          <w:t>uide</w:t>
        </w:r>
        <w:r w:rsidR="00F100E9">
          <w:rPr>
            <w:szCs w:val="20"/>
          </w:rPr>
          <w:t xml:space="preserve"> to </w:t>
        </w:r>
        <w:r w:rsidR="0002185F">
          <w:rPr>
            <w:szCs w:val="20"/>
          </w:rPr>
          <w:t>pipeline notifications</w:t>
        </w:r>
        <w:r w:rsidR="00F100E9" w:rsidRPr="00732ACB">
          <w:rPr>
            <w:szCs w:val="20"/>
          </w:rPr>
          <w:t xml:space="preserve"> </w:t>
        </w:r>
        <w:r w:rsidR="00B50196" w:rsidRPr="000E79D7">
          <w:rPr>
            <w:szCs w:val="20"/>
          </w:rPr>
          <w:t>(</w:t>
        </w:r>
        <w:r w:rsidR="0002185F">
          <w:rPr>
            <w:szCs w:val="20"/>
          </w:rPr>
          <w:t>V2.1</w:t>
        </w:r>
        <w:r w:rsidR="00B50196" w:rsidRPr="000E79D7">
          <w:rPr>
            <w:szCs w:val="20"/>
          </w:rPr>
          <w:t xml:space="preserve"> – </w:t>
        </w:r>
        <w:r w:rsidR="00F100E9">
          <w:rPr>
            <w:szCs w:val="20"/>
          </w:rPr>
          <w:t>07 September 2018</w:t>
        </w:r>
        <w:r w:rsidR="00B50196" w:rsidRPr="000E79D7">
          <w:rPr>
            <w:szCs w:val="20"/>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3" w14:textId="77777777" w:rsidR="008901BF" w:rsidRPr="00550351" w:rsidRDefault="00550351" w:rsidP="00E73B01">
    <w:pPr>
      <w:pStyle w:val="Footer"/>
      <w:ind w:left="-567"/>
    </w:pPr>
    <w:r>
      <w:rPr>
        <w:noProof/>
        <w:lang w:eastAsia="en-AU"/>
      </w:rPr>
      <w:drawing>
        <wp:inline distT="0" distB="0" distL="0" distR="0" wp14:anchorId="480385BC" wp14:editId="643C86B9">
          <wp:extent cx="7577891" cy="818901"/>
          <wp:effectExtent l="0" t="0" r="444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1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891" cy="8189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66253" w14:textId="77777777" w:rsidR="00487B02" w:rsidRDefault="00487B02" w:rsidP="00E73B01">
      <w:r>
        <w:separator/>
      </w:r>
    </w:p>
  </w:footnote>
  <w:footnote w:type="continuationSeparator" w:id="0">
    <w:p w14:paraId="52F8F142" w14:textId="77777777" w:rsidR="00487B02" w:rsidRDefault="00487B02" w:rsidP="00E73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B" w14:textId="77777777" w:rsidR="00DF6EB7" w:rsidRDefault="00DF6EB7" w:rsidP="00E73B01">
    <w:pPr>
      <w:pStyle w:val="Header"/>
    </w:pPr>
    <w:r>
      <w:rPr>
        <w:noProof/>
        <w:lang w:eastAsia="en-AU"/>
      </w:rPr>
      <w:drawing>
        <wp:inline distT="0" distB="0" distL="0" distR="0" wp14:anchorId="480385B4" wp14:editId="480385B5">
          <wp:extent cx="7955650" cy="923925"/>
          <wp:effectExtent l="0" t="0" r="7620" b="0"/>
          <wp:docPr id="6" name="Picture 6"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p w14:paraId="480385AC" w14:textId="77777777" w:rsidR="00DF6EB7" w:rsidRDefault="00DF6EB7" w:rsidP="00E73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D" w14:textId="77777777" w:rsidR="00A872D9" w:rsidRDefault="002F3E97" w:rsidP="00E73B01">
    <w:pPr>
      <w:pStyle w:val="Header"/>
      <w:ind w:left="-567"/>
    </w:pPr>
    <w:r>
      <w:rPr>
        <w:noProof/>
        <w:lang w:eastAsia="en-AU"/>
      </w:rPr>
      <w:drawing>
        <wp:inline distT="0" distB="0" distL="0" distR="0" wp14:anchorId="480385B6" wp14:editId="480385B7">
          <wp:extent cx="7955650" cy="923925"/>
          <wp:effectExtent l="0" t="0" r="7620" b="0"/>
          <wp:docPr id="7" name="Picture 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1" w14:textId="77777777" w:rsidR="008901BF" w:rsidRDefault="000606D9" w:rsidP="00E73B01">
    <w:pPr>
      <w:pStyle w:val="Header"/>
      <w:ind w:left="-567"/>
    </w:pPr>
    <w:r>
      <w:rPr>
        <w:noProof/>
        <w:lang w:eastAsia="en-AU"/>
      </w:rPr>
      <w:drawing>
        <wp:inline distT="0" distB="0" distL="0" distR="0" wp14:anchorId="480385BA" wp14:editId="480385BB">
          <wp:extent cx="7572375" cy="1628775"/>
          <wp:effectExtent l="0" t="0" r="0" b="9525"/>
          <wp:docPr id="9" name="Picture 9"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1st.jpg"/>
                  <pic:cNvPicPr/>
                </pic:nvPicPr>
                <pic:blipFill>
                  <a:blip r:embed="rId1">
                    <a:extLst>
                      <a:ext uri="{28A0092B-C50C-407E-A947-70E740481C1C}">
                        <a14:useLocalDpi xmlns:a14="http://schemas.microsoft.com/office/drawing/2010/main" val="0"/>
                      </a:ext>
                    </a:extLst>
                  </a:blip>
                  <a:stretch>
                    <a:fillRect/>
                  </a:stretch>
                </pic:blipFill>
                <pic:spPr>
                  <a:xfrm>
                    <a:off x="0" y="0"/>
                    <a:ext cx="7574591" cy="1629252"/>
                  </a:xfrm>
                  <a:prstGeom prst="rect">
                    <a:avLst/>
                  </a:prstGeom>
                </pic:spPr>
              </pic:pic>
            </a:graphicData>
          </a:graphic>
        </wp:inline>
      </w:drawing>
    </w:r>
  </w:p>
  <w:p w14:paraId="480385B2" w14:textId="0C9DBB58" w:rsidR="00550351" w:rsidRPr="00550351" w:rsidRDefault="00A868F6" w:rsidP="00A06A1E">
    <w:pPr>
      <w:pStyle w:val="Subtitle"/>
    </w:pPr>
    <w:r>
      <w:t>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4E3D"/>
    <w:multiLevelType w:val="hybridMultilevel"/>
    <w:tmpl w:val="5EBA6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66A18"/>
    <w:multiLevelType w:val="hybridMultilevel"/>
    <w:tmpl w:val="F3E88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3D4DD0"/>
    <w:multiLevelType w:val="hybridMultilevel"/>
    <w:tmpl w:val="BF26AE98"/>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56194"/>
    <w:multiLevelType w:val="hybridMultilevel"/>
    <w:tmpl w:val="67409FC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 w15:restartNumberingAfterBreak="0">
    <w:nsid w:val="0E576153"/>
    <w:multiLevelType w:val="hybridMultilevel"/>
    <w:tmpl w:val="D56C4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7D7D14"/>
    <w:multiLevelType w:val="hybridMultilevel"/>
    <w:tmpl w:val="56BE495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31C70"/>
    <w:multiLevelType w:val="hybridMultilevel"/>
    <w:tmpl w:val="6F9AC09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87024"/>
    <w:multiLevelType w:val="hybridMultilevel"/>
    <w:tmpl w:val="A11AEE66"/>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5B10E2"/>
    <w:multiLevelType w:val="hybridMultilevel"/>
    <w:tmpl w:val="CCDCB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11477C"/>
    <w:multiLevelType w:val="hybridMultilevel"/>
    <w:tmpl w:val="685AA04C"/>
    <w:lvl w:ilvl="0" w:tplc="5188456A">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B48306E"/>
    <w:multiLevelType w:val="hybridMultilevel"/>
    <w:tmpl w:val="3B84C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E742BC"/>
    <w:multiLevelType w:val="hybridMultilevel"/>
    <w:tmpl w:val="BBA8D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4147C3"/>
    <w:multiLevelType w:val="hybridMultilevel"/>
    <w:tmpl w:val="A0263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8D492F"/>
    <w:multiLevelType w:val="hybridMultilevel"/>
    <w:tmpl w:val="97A07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BD4AEE"/>
    <w:multiLevelType w:val="hybridMultilevel"/>
    <w:tmpl w:val="A40AAFF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B6FCB"/>
    <w:multiLevelType w:val="hybridMultilevel"/>
    <w:tmpl w:val="1C4E6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4B0594"/>
    <w:multiLevelType w:val="hybridMultilevel"/>
    <w:tmpl w:val="71A2A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583608"/>
    <w:multiLevelType w:val="hybridMultilevel"/>
    <w:tmpl w:val="023C1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D12245"/>
    <w:multiLevelType w:val="hybridMultilevel"/>
    <w:tmpl w:val="EC005A7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D36435"/>
    <w:multiLevelType w:val="hybridMultilevel"/>
    <w:tmpl w:val="436CD80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6646FD"/>
    <w:multiLevelType w:val="hybridMultilevel"/>
    <w:tmpl w:val="3CB8A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59787E"/>
    <w:multiLevelType w:val="hybridMultilevel"/>
    <w:tmpl w:val="7F66D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DF6772"/>
    <w:multiLevelType w:val="hybridMultilevel"/>
    <w:tmpl w:val="B558A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0278B5"/>
    <w:multiLevelType w:val="hybridMultilevel"/>
    <w:tmpl w:val="765C319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095AA1"/>
    <w:multiLevelType w:val="hybridMultilevel"/>
    <w:tmpl w:val="5162A13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7010D0"/>
    <w:multiLevelType w:val="hybridMultilevel"/>
    <w:tmpl w:val="42B45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A45C30"/>
    <w:multiLevelType w:val="hybridMultilevel"/>
    <w:tmpl w:val="AE9C4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FB074A"/>
    <w:multiLevelType w:val="hybridMultilevel"/>
    <w:tmpl w:val="87B80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C0368D"/>
    <w:multiLevelType w:val="hybridMultilevel"/>
    <w:tmpl w:val="4DC4D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8C2B87"/>
    <w:multiLevelType w:val="hybridMultilevel"/>
    <w:tmpl w:val="0A744F94"/>
    <w:lvl w:ilvl="0" w:tplc="5188456A">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AD37903"/>
    <w:multiLevelType w:val="hybridMultilevel"/>
    <w:tmpl w:val="0C7407C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86EBB"/>
    <w:multiLevelType w:val="hybridMultilevel"/>
    <w:tmpl w:val="954E7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BF22B0"/>
    <w:multiLevelType w:val="hybridMultilevel"/>
    <w:tmpl w:val="FBBA9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33022E"/>
    <w:multiLevelType w:val="hybridMultilevel"/>
    <w:tmpl w:val="759E9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F325A0"/>
    <w:multiLevelType w:val="hybridMultilevel"/>
    <w:tmpl w:val="2744A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436654"/>
    <w:multiLevelType w:val="hybridMultilevel"/>
    <w:tmpl w:val="F86A8CF6"/>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AA5A39"/>
    <w:multiLevelType w:val="hybridMultilevel"/>
    <w:tmpl w:val="F454EE1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AE7DAF"/>
    <w:multiLevelType w:val="hybridMultilevel"/>
    <w:tmpl w:val="EBACB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23"/>
  </w:num>
  <w:num w:numId="4">
    <w:abstractNumId w:val="36"/>
  </w:num>
  <w:num w:numId="5">
    <w:abstractNumId w:val="18"/>
  </w:num>
  <w:num w:numId="6">
    <w:abstractNumId w:val="6"/>
  </w:num>
  <w:num w:numId="7">
    <w:abstractNumId w:val="24"/>
  </w:num>
  <w:num w:numId="8">
    <w:abstractNumId w:val="19"/>
  </w:num>
  <w:num w:numId="9">
    <w:abstractNumId w:val="7"/>
  </w:num>
  <w:num w:numId="10">
    <w:abstractNumId w:val="5"/>
  </w:num>
  <w:num w:numId="11">
    <w:abstractNumId w:val="35"/>
  </w:num>
  <w:num w:numId="12">
    <w:abstractNumId w:val="14"/>
  </w:num>
  <w:num w:numId="13">
    <w:abstractNumId w:val="4"/>
  </w:num>
  <w:num w:numId="14">
    <w:abstractNumId w:val="16"/>
  </w:num>
  <w:num w:numId="15">
    <w:abstractNumId w:val="20"/>
  </w:num>
  <w:num w:numId="16">
    <w:abstractNumId w:val="15"/>
  </w:num>
  <w:num w:numId="17">
    <w:abstractNumId w:val="37"/>
  </w:num>
  <w:num w:numId="18">
    <w:abstractNumId w:val="27"/>
  </w:num>
  <w:num w:numId="19">
    <w:abstractNumId w:val="17"/>
  </w:num>
  <w:num w:numId="20">
    <w:abstractNumId w:val="33"/>
  </w:num>
  <w:num w:numId="21">
    <w:abstractNumId w:val="12"/>
  </w:num>
  <w:num w:numId="22">
    <w:abstractNumId w:val="32"/>
  </w:num>
  <w:num w:numId="23">
    <w:abstractNumId w:val="13"/>
  </w:num>
  <w:num w:numId="24">
    <w:abstractNumId w:val="21"/>
  </w:num>
  <w:num w:numId="25">
    <w:abstractNumId w:val="8"/>
  </w:num>
  <w:num w:numId="26">
    <w:abstractNumId w:val="10"/>
  </w:num>
  <w:num w:numId="27">
    <w:abstractNumId w:val="22"/>
  </w:num>
  <w:num w:numId="28">
    <w:abstractNumId w:val="9"/>
  </w:num>
  <w:num w:numId="29">
    <w:abstractNumId w:val="34"/>
  </w:num>
  <w:num w:numId="30">
    <w:abstractNumId w:val="29"/>
  </w:num>
  <w:num w:numId="31">
    <w:abstractNumId w:val="0"/>
  </w:num>
  <w:num w:numId="32">
    <w:abstractNumId w:val="26"/>
  </w:num>
  <w:num w:numId="33">
    <w:abstractNumId w:val="3"/>
  </w:num>
  <w:num w:numId="34">
    <w:abstractNumId w:val="25"/>
  </w:num>
  <w:num w:numId="35">
    <w:abstractNumId w:val="28"/>
  </w:num>
  <w:num w:numId="36">
    <w:abstractNumId w:val="31"/>
  </w:num>
  <w:num w:numId="37">
    <w:abstractNumId w:val="11"/>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B7"/>
    <w:rsid w:val="00011823"/>
    <w:rsid w:val="0002185F"/>
    <w:rsid w:val="000606D9"/>
    <w:rsid w:val="001F03BE"/>
    <w:rsid w:val="00221DAE"/>
    <w:rsid w:val="002408E3"/>
    <w:rsid w:val="002A41FB"/>
    <w:rsid w:val="002F3E97"/>
    <w:rsid w:val="00307B76"/>
    <w:rsid w:val="00307E70"/>
    <w:rsid w:val="00310ADC"/>
    <w:rsid w:val="003165E1"/>
    <w:rsid w:val="003478B9"/>
    <w:rsid w:val="003514FA"/>
    <w:rsid w:val="003D7C13"/>
    <w:rsid w:val="00487B02"/>
    <w:rsid w:val="004A1B2B"/>
    <w:rsid w:val="004A797B"/>
    <w:rsid w:val="00507331"/>
    <w:rsid w:val="0053256B"/>
    <w:rsid w:val="00550351"/>
    <w:rsid w:val="00551407"/>
    <w:rsid w:val="005770AC"/>
    <w:rsid w:val="005A2778"/>
    <w:rsid w:val="005C5FB5"/>
    <w:rsid w:val="006370E6"/>
    <w:rsid w:val="0066252B"/>
    <w:rsid w:val="00685D69"/>
    <w:rsid w:val="0070276A"/>
    <w:rsid w:val="00727842"/>
    <w:rsid w:val="007278C5"/>
    <w:rsid w:val="00740C6B"/>
    <w:rsid w:val="007D47E0"/>
    <w:rsid w:val="007F6818"/>
    <w:rsid w:val="00852250"/>
    <w:rsid w:val="00856EB0"/>
    <w:rsid w:val="008901BF"/>
    <w:rsid w:val="008A7733"/>
    <w:rsid w:val="008C1BD8"/>
    <w:rsid w:val="008E160C"/>
    <w:rsid w:val="009559B8"/>
    <w:rsid w:val="00A06138"/>
    <w:rsid w:val="00A06A1E"/>
    <w:rsid w:val="00A42D1C"/>
    <w:rsid w:val="00A75DE9"/>
    <w:rsid w:val="00A868F6"/>
    <w:rsid w:val="00A872D9"/>
    <w:rsid w:val="00AA0352"/>
    <w:rsid w:val="00B50196"/>
    <w:rsid w:val="00B84D01"/>
    <w:rsid w:val="00B912DB"/>
    <w:rsid w:val="00C01F77"/>
    <w:rsid w:val="00CA3078"/>
    <w:rsid w:val="00CB480E"/>
    <w:rsid w:val="00CB4F6B"/>
    <w:rsid w:val="00CB793E"/>
    <w:rsid w:val="00CD3184"/>
    <w:rsid w:val="00CE5F78"/>
    <w:rsid w:val="00DA5753"/>
    <w:rsid w:val="00DD2006"/>
    <w:rsid w:val="00DF6EB7"/>
    <w:rsid w:val="00E1075C"/>
    <w:rsid w:val="00E27344"/>
    <w:rsid w:val="00E317B6"/>
    <w:rsid w:val="00E45467"/>
    <w:rsid w:val="00E73B01"/>
    <w:rsid w:val="00E95DC3"/>
    <w:rsid w:val="00EA1072"/>
    <w:rsid w:val="00ED2575"/>
    <w:rsid w:val="00F100E9"/>
    <w:rsid w:val="00F34049"/>
    <w:rsid w:val="00FA5776"/>
    <w:rsid w:val="00FB0216"/>
    <w:rsid w:val="00FF5A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03859D"/>
  <w15:docId w15:val="{C8ADB120-13E9-404E-A991-4835BFA2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B01"/>
    <w:pPr>
      <w:spacing w:line="240" w:lineRule="auto"/>
    </w:pPr>
    <w:rPr>
      <w:rFonts w:ascii="Arial" w:hAnsi="Arial"/>
    </w:rPr>
  </w:style>
  <w:style w:type="paragraph" w:styleId="Heading1">
    <w:name w:val="heading 1"/>
    <w:basedOn w:val="Normal"/>
    <w:next w:val="Normal"/>
    <w:link w:val="Heading1Char"/>
    <w:uiPriority w:val="9"/>
    <w:qFormat/>
    <w:rsid w:val="00E73B01"/>
    <w:pPr>
      <w:keepNext/>
      <w:keepLines/>
      <w:spacing w:before="36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73B01"/>
    <w:pPr>
      <w:keepNext/>
      <w:keepLines/>
      <w:spacing w:before="360" w:after="120"/>
      <w:outlineLvl w:val="1"/>
    </w:pPr>
    <w:rPr>
      <w:rFonts w:eastAsiaTheme="majorEastAsia" w:cstheme="majorBidi"/>
      <w:b/>
      <w:bCs/>
      <w:color w:val="808080" w:themeColor="background1" w:themeShade="80"/>
      <w:sz w:val="24"/>
      <w:szCs w:val="24"/>
    </w:rPr>
  </w:style>
  <w:style w:type="paragraph" w:styleId="Heading3">
    <w:name w:val="heading 3"/>
    <w:basedOn w:val="Normal"/>
    <w:next w:val="Normal"/>
    <w:link w:val="Heading3Char"/>
    <w:uiPriority w:val="9"/>
    <w:unhideWhenUsed/>
    <w:rsid w:val="00E73B01"/>
    <w:pPr>
      <w:keepNext/>
      <w:keepLines/>
      <w:spacing w:before="360" w:after="12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73B01"/>
    <w:pPr>
      <w:keepNext/>
      <w:keepLines/>
      <w:spacing w:before="360" w:after="120"/>
      <w:outlineLvl w:val="3"/>
    </w:pPr>
    <w:rPr>
      <w:rFonts w:eastAsiaTheme="majorEastAsia" w:cstheme="majorBidi"/>
      <w:b/>
      <w:bCs/>
      <w:iCs/>
      <w:color w:val="808080" w:themeColor="background1" w:themeShade="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basedOn w:val="DefaultParagraphFont"/>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basedOn w:val="DefaultParagraphFont"/>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2D9"/>
    <w:rPr>
      <w:rFonts w:ascii="Tahoma" w:hAnsi="Tahoma" w:cs="Tahoma"/>
      <w:sz w:val="16"/>
      <w:szCs w:val="16"/>
      <w:lang w:val="en-US"/>
    </w:rPr>
  </w:style>
  <w:style w:type="paragraph" w:styleId="NoSpacing">
    <w:name w:val="No Spacing"/>
    <w:uiPriority w:val="1"/>
    <w:rsid w:val="00E73B01"/>
    <w:pPr>
      <w:spacing w:after="0" w:line="240" w:lineRule="auto"/>
    </w:pPr>
    <w:rPr>
      <w:rFonts w:ascii="Arial" w:hAnsi="Arial"/>
    </w:rPr>
  </w:style>
  <w:style w:type="character" w:customStyle="1" w:styleId="Heading1Char">
    <w:name w:val="Heading 1 Char"/>
    <w:basedOn w:val="DefaultParagraphFont"/>
    <w:link w:val="Heading1"/>
    <w:uiPriority w:val="9"/>
    <w:rsid w:val="00E73B01"/>
    <w:rPr>
      <w:rFonts w:ascii="Arial" w:eastAsiaTheme="majorEastAsia" w:hAnsi="Arial" w:cstheme="majorBidi"/>
      <w:b/>
      <w:bCs/>
      <w:sz w:val="28"/>
      <w:szCs w:val="28"/>
      <w:lang w:val="en-US"/>
    </w:rPr>
  </w:style>
  <w:style w:type="character" w:customStyle="1" w:styleId="Heading2Char">
    <w:name w:val="Heading 2 Char"/>
    <w:basedOn w:val="DefaultParagraphFont"/>
    <w:link w:val="Heading2"/>
    <w:uiPriority w:val="9"/>
    <w:rsid w:val="00E73B01"/>
    <w:rPr>
      <w:rFonts w:ascii="Arial" w:eastAsiaTheme="majorEastAsia" w:hAnsi="Arial" w:cstheme="majorBidi"/>
      <w:b/>
      <w:bCs/>
      <w:color w:val="808080" w:themeColor="background1" w:themeShade="80"/>
      <w:sz w:val="24"/>
      <w:szCs w:val="24"/>
      <w:lang w:val="en-US"/>
    </w:rPr>
  </w:style>
  <w:style w:type="paragraph" w:styleId="Title">
    <w:name w:val="Title"/>
    <w:basedOn w:val="Normal"/>
    <w:next w:val="Normal"/>
    <w:link w:val="TitleChar"/>
    <w:uiPriority w:val="10"/>
    <w:qFormat/>
    <w:rsid w:val="00E73B01"/>
    <w:pPr>
      <w:numPr>
        <w:ilvl w:val="1"/>
      </w:numPr>
      <w:spacing w:before="240" w:after="120"/>
    </w:pPr>
    <w:rPr>
      <w:rFonts w:ascii="Arial Bold" w:eastAsiaTheme="majorEastAsia" w:hAnsi="Arial Bold" w:cstheme="majorBidi"/>
      <w:b/>
      <w:iCs/>
      <w:spacing w:val="15"/>
      <w:sz w:val="56"/>
      <w:szCs w:val="56"/>
    </w:rPr>
  </w:style>
  <w:style w:type="character" w:customStyle="1" w:styleId="TitleChar">
    <w:name w:val="Title Char"/>
    <w:basedOn w:val="DefaultParagraphFont"/>
    <w:link w:val="Title"/>
    <w:uiPriority w:val="10"/>
    <w:rsid w:val="00E73B01"/>
    <w:rPr>
      <w:rFonts w:ascii="Arial Bold" w:eastAsiaTheme="majorEastAsia" w:hAnsi="Arial Bold" w:cstheme="majorBidi"/>
      <w:b/>
      <w:iCs/>
      <w:spacing w:val="15"/>
      <w:sz w:val="56"/>
      <w:szCs w:val="56"/>
      <w:lang w:val="en-US"/>
    </w:rPr>
  </w:style>
  <w:style w:type="character" w:customStyle="1" w:styleId="Heading3Char">
    <w:name w:val="Heading 3 Char"/>
    <w:basedOn w:val="DefaultParagraphFont"/>
    <w:link w:val="Heading3"/>
    <w:uiPriority w:val="9"/>
    <w:rsid w:val="00E73B01"/>
    <w:rPr>
      <w:rFonts w:ascii="Arial" w:eastAsiaTheme="majorEastAsia" w:hAnsi="Arial" w:cstheme="majorBidi"/>
      <w:b/>
      <w:bCs/>
      <w:lang w:val="en-US"/>
    </w:rPr>
  </w:style>
  <w:style w:type="paragraph" w:styleId="Subtitle">
    <w:name w:val="Subtitle"/>
    <w:basedOn w:val="Normal"/>
    <w:next w:val="Normal"/>
    <w:link w:val="SubtitleChar"/>
    <w:uiPriority w:val="11"/>
    <w:qFormat/>
    <w:rsid w:val="00A06A1E"/>
    <w:pPr>
      <w:numPr>
        <w:ilvl w:val="1"/>
      </w:numPr>
      <w:spacing w:after="0"/>
    </w:pPr>
    <w:rPr>
      <w:rFonts w:ascii="Arial Bold" w:eastAsiaTheme="majorEastAsia" w:hAnsi="Arial Bold" w:cs="Arial"/>
      <w:b/>
      <w:iCs/>
      <w:color w:val="DB7310"/>
      <w:sz w:val="36"/>
      <w:szCs w:val="36"/>
    </w:rPr>
  </w:style>
  <w:style w:type="character" w:customStyle="1" w:styleId="SubtitleChar">
    <w:name w:val="Subtitle Char"/>
    <w:basedOn w:val="DefaultParagraphFont"/>
    <w:link w:val="Subtitle"/>
    <w:uiPriority w:val="11"/>
    <w:rsid w:val="00A06A1E"/>
    <w:rPr>
      <w:rFonts w:ascii="Arial Bold" w:eastAsiaTheme="majorEastAsia" w:hAnsi="Arial Bold" w:cs="Arial"/>
      <w:b/>
      <w:iCs/>
      <w:color w:val="DB7310"/>
      <w:sz w:val="36"/>
      <w:szCs w:val="36"/>
    </w:rPr>
  </w:style>
  <w:style w:type="character" w:customStyle="1" w:styleId="Heading4Char">
    <w:name w:val="Heading 4 Char"/>
    <w:basedOn w:val="DefaultParagraphFont"/>
    <w:link w:val="Heading4"/>
    <w:uiPriority w:val="9"/>
    <w:semiHidden/>
    <w:rsid w:val="00E73B01"/>
    <w:rPr>
      <w:rFonts w:ascii="Arial" w:eastAsiaTheme="majorEastAsia" w:hAnsi="Arial" w:cstheme="majorBidi"/>
      <w:b/>
      <w:bCs/>
      <w:iCs/>
      <w:color w:val="808080" w:themeColor="background1" w:themeShade="80"/>
      <w:sz w:val="20"/>
    </w:rPr>
  </w:style>
  <w:style w:type="paragraph" w:styleId="BodyText">
    <w:name w:val="Body Text"/>
    <w:basedOn w:val="Normal"/>
    <w:link w:val="BodyTextChar"/>
    <w:rsid w:val="00727842"/>
    <w:pPr>
      <w:spacing w:after="120"/>
    </w:pPr>
    <w:rPr>
      <w:rFonts w:eastAsia="Times New Roman" w:cs="Arial"/>
      <w:color w:val="3C3C3B"/>
      <w:lang w:val="en-US"/>
    </w:rPr>
  </w:style>
  <w:style w:type="character" w:customStyle="1" w:styleId="BodyTextChar">
    <w:name w:val="Body Text Char"/>
    <w:basedOn w:val="DefaultParagraphFont"/>
    <w:link w:val="BodyText"/>
    <w:rsid w:val="00727842"/>
    <w:rPr>
      <w:rFonts w:ascii="Arial" w:eastAsia="Times New Roman" w:hAnsi="Arial" w:cs="Arial"/>
      <w:color w:val="3C3C3B"/>
      <w:lang w:val="en-US"/>
    </w:rPr>
  </w:style>
  <w:style w:type="paragraph" w:customStyle="1" w:styleId="BulletinContent">
    <w:name w:val="Bulletin Content"/>
    <w:rsid w:val="00727842"/>
    <w:pPr>
      <w:spacing w:after="120" w:line="240" w:lineRule="auto"/>
    </w:pPr>
    <w:rPr>
      <w:rFonts w:ascii="Arial" w:eastAsia="Times New Roman" w:hAnsi="Arial" w:cs="Arial"/>
      <w:noProof/>
      <w:color w:val="000000"/>
    </w:rPr>
  </w:style>
  <w:style w:type="character" w:styleId="Hyperlink">
    <w:name w:val="Hyperlink"/>
    <w:basedOn w:val="DefaultParagraphFont"/>
    <w:uiPriority w:val="99"/>
    <w:unhideWhenUsed/>
    <w:rsid w:val="00A06A1E"/>
    <w:rPr>
      <w:color w:val="0000FF" w:themeColor="hyperlink"/>
      <w:u w:val="single"/>
    </w:rPr>
  </w:style>
  <w:style w:type="paragraph" w:styleId="ListParagraph">
    <w:name w:val="List Paragraph"/>
    <w:basedOn w:val="Normal"/>
    <w:uiPriority w:val="34"/>
    <w:rsid w:val="00F100E9"/>
    <w:pPr>
      <w:ind w:left="720"/>
      <w:contextualSpacing/>
    </w:pPr>
  </w:style>
  <w:style w:type="table" w:styleId="TableGrid">
    <w:name w:val="Table Grid"/>
    <w:basedOn w:val="TableNormal"/>
    <w:uiPriority w:val="59"/>
    <w:rsid w:val="00F1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00E9"/>
    <w:pPr>
      <w:spacing w:after="100"/>
    </w:pPr>
  </w:style>
  <w:style w:type="paragraph" w:styleId="TOC2">
    <w:name w:val="toc 2"/>
    <w:basedOn w:val="Normal"/>
    <w:next w:val="Normal"/>
    <w:autoRedefine/>
    <w:uiPriority w:val="39"/>
    <w:unhideWhenUsed/>
    <w:rsid w:val="00F100E9"/>
    <w:pPr>
      <w:spacing w:after="100"/>
      <w:ind w:left="220"/>
    </w:pPr>
  </w:style>
  <w:style w:type="paragraph" w:styleId="TOC3">
    <w:name w:val="toc 3"/>
    <w:basedOn w:val="Normal"/>
    <w:next w:val="Normal"/>
    <w:autoRedefine/>
    <w:uiPriority w:val="39"/>
    <w:unhideWhenUsed/>
    <w:rsid w:val="00CB4F6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ksafe.nt.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tworksafe@nt.gov.au?subject=Bulletin%20enquiry%20-%20name%20of%20bulleti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nt.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 xsi:nil="true"/>
    <PDFFileSize xmlns="eb399b68-b676-431b-a7f2-330aea86a718">213509</PDFFileSize>
    <Topics xmlns="eb399b68-b676-431b-a7f2-330aea86a718">
      <Value>Construction</Value>
      <Value>Notification requirements</Value>
    </Topics>
    <Document_x0020_type xmlns="eb399b68-b676-431b-a7f2-330aea86a718">Guide</Document_x0020_type>
    <Web_x0020_Section xmlns="eb399b68-b676-431b-a7f2-330aea86a718">
      <Value>Safety and prevention</Value>
    </Web_x0020_Section>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8AF1EF-58CE-4428-A2DC-93069B5D77E1}"/>
</file>

<file path=customXml/itemProps2.xml><?xml version="1.0" encoding="utf-8"?>
<ds:datastoreItem xmlns:ds="http://schemas.openxmlformats.org/officeDocument/2006/customXml" ds:itemID="{28FC4229-55EF-4F85-B1FE-8B5521AC18C6}"/>
</file>

<file path=customXml/itemProps3.xml><?xml version="1.0" encoding="utf-8"?>
<ds:datastoreItem xmlns:ds="http://schemas.openxmlformats.org/officeDocument/2006/customXml" ds:itemID="{54799629-5E35-4574-8CD8-DED322417DBB}"/>
</file>

<file path=customXml/itemProps4.xml><?xml version="1.0" encoding="utf-8"?>
<ds:datastoreItem xmlns:ds="http://schemas.openxmlformats.org/officeDocument/2006/customXml" ds:itemID="{5C9C8546-DB77-4281-B227-D2CA604DD656}"/>
</file>

<file path=docProps/app.xml><?xml version="1.0" encoding="utf-8"?>
<Properties xmlns="http://schemas.openxmlformats.org/officeDocument/2006/extended-properties" xmlns:vt="http://schemas.openxmlformats.org/officeDocument/2006/docPropsVTypes">
  <Template>Normal.dotm</Template>
  <TotalTime>2</TotalTime>
  <Pages>3</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Exemptions</vt:lpstr>
    </vt:vector>
  </TitlesOfParts>
  <Company>NTG</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Pipeline notifications</dc:title>
  <dc:creator>mezl</dc:creator>
  <cp:lastModifiedBy>Amanda Baker</cp:lastModifiedBy>
  <cp:revision>3</cp:revision>
  <cp:lastPrinted>2012-11-16T05:03:00Z</cp:lastPrinted>
  <dcterms:created xsi:type="dcterms:W3CDTF">2018-09-07T05:19:00Z</dcterms:created>
  <dcterms:modified xsi:type="dcterms:W3CDTF">2018-09-07T05:21:00Z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y fmtid="{D5CDD505-2E9C-101B-9397-08002B2CF9AE}" pid="3" name="Language">
    <vt:lpwstr>English</vt:lpwstr>
  </property>
</Properties>
</file>