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AD7AB" w14:textId="77777777" w:rsidR="007122C9" w:rsidRPr="007122C9" w:rsidRDefault="007122C9" w:rsidP="007122C9">
      <w:pPr>
        <w:pStyle w:val="Title"/>
        <w:rPr>
          <w:sz w:val="52"/>
        </w:rPr>
      </w:pPr>
      <w:bookmarkStart w:id="0" w:name="_GoBack"/>
      <w:r w:rsidRPr="007122C9">
        <w:rPr>
          <w:sz w:val="52"/>
          <w:lang w:eastAsia="en-AU"/>
        </w:rPr>
        <w:t xml:space="preserve">Schedule 11 hazardous chemicals </w:t>
      </w:r>
      <w:r w:rsidRPr="007122C9">
        <w:rPr>
          <w:sz w:val="52"/>
          <w:lang w:eastAsia="en-AU"/>
        </w:rPr>
        <w:br/>
        <w:t>and abandonment of tanks notifications</w:t>
      </w:r>
    </w:p>
    <w:bookmarkEnd w:id="0"/>
    <w:p w14:paraId="569AF558" w14:textId="77777777" w:rsidR="00F100E9" w:rsidRPr="00F100E9" w:rsidRDefault="00740C6B" w:rsidP="00F100E9">
      <w:pPr>
        <w:spacing w:before="240" w:after="120"/>
        <w:rPr>
          <w:b/>
          <w:sz w:val="28"/>
          <w:szCs w:val="28"/>
        </w:rPr>
      </w:pPr>
      <w:r w:rsidRPr="00F100E9">
        <w:rPr>
          <w:b/>
          <w:sz w:val="28"/>
          <w:szCs w:val="28"/>
        </w:rPr>
        <w:t>Contents</w:t>
      </w:r>
    </w:p>
    <w:bookmarkStart w:id="1" w:name="_Toc313872096"/>
    <w:bookmarkStart w:id="2" w:name="_Toc414869365"/>
    <w:bookmarkStart w:id="3" w:name="_Toc414871077"/>
    <w:bookmarkStart w:id="4" w:name="_Toc414886183"/>
    <w:bookmarkStart w:id="5" w:name="_Toc524095441"/>
    <w:bookmarkStart w:id="6" w:name="_Toc415423927"/>
    <w:bookmarkStart w:id="7" w:name="_Toc415514155"/>
    <w:bookmarkStart w:id="8" w:name="_Toc524092045"/>
    <w:p w14:paraId="0524F9D4" w14:textId="77777777" w:rsidR="00BD531E" w:rsidRDefault="007122C9">
      <w:pPr>
        <w:pStyle w:val="TOC1"/>
        <w:tabs>
          <w:tab w:val="right" w:leader="dot" w:pos="10762"/>
        </w:tabs>
        <w:rPr>
          <w:rFonts w:asciiTheme="minorHAnsi" w:eastAsiaTheme="minorEastAsia" w:hAnsiTheme="minorHAnsi"/>
          <w:noProof/>
          <w:lang w:eastAsia="en-AU"/>
        </w:rPr>
      </w:pPr>
      <w:r>
        <w:fldChar w:fldCharType="begin"/>
      </w:r>
      <w:r>
        <w:instrText xml:space="preserve"> TOC \o "1-2" \h \z \u </w:instrText>
      </w:r>
      <w:r>
        <w:fldChar w:fldCharType="separate"/>
      </w:r>
      <w:hyperlink w:anchor="_Toc524331100" w:history="1">
        <w:r w:rsidR="00BD531E" w:rsidRPr="00AB325B">
          <w:rPr>
            <w:rStyle w:val="Hyperlink"/>
            <w:noProof/>
          </w:rPr>
          <w:t>Introduction</w:t>
        </w:r>
        <w:r w:rsidR="00BD531E">
          <w:rPr>
            <w:noProof/>
            <w:webHidden/>
          </w:rPr>
          <w:tab/>
        </w:r>
        <w:r w:rsidR="00BD531E">
          <w:rPr>
            <w:noProof/>
            <w:webHidden/>
          </w:rPr>
          <w:fldChar w:fldCharType="begin"/>
        </w:r>
        <w:r w:rsidR="00BD531E">
          <w:rPr>
            <w:noProof/>
            <w:webHidden/>
          </w:rPr>
          <w:instrText xml:space="preserve"> PAGEREF _Toc524331100 \h </w:instrText>
        </w:r>
        <w:r w:rsidR="00BD531E">
          <w:rPr>
            <w:noProof/>
            <w:webHidden/>
          </w:rPr>
        </w:r>
        <w:r w:rsidR="00BD531E">
          <w:rPr>
            <w:noProof/>
            <w:webHidden/>
          </w:rPr>
          <w:fldChar w:fldCharType="separate"/>
        </w:r>
        <w:r w:rsidR="00BD531E">
          <w:rPr>
            <w:noProof/>
            <w:webHidden/>
          </w:rPr>
          <w:t>1</w:t>
        </w:r>
        <w:r w:rsidR="00BD531E">
          <w:rPr>
            <w:noProof/>
            <w:webHidden/>
          </w:rPr>
          <w:fldChar w:fldCharType="end"/>
        </w:r>
      </w:hyperlink>
    </w:p>
    <w:p w14:paraId="7690F4FB" w14:textId="77777777" w:rsidR="00BD531E" w:rsidRDefault="00BD531E">
      <w:pPr>
        <w:pStyle w:val="TOC2"/>
        <w:rPr>
          <w:rFonts w:asciiTheme="minorHAnsi" w:eastAsiaTheme="minorEastAsia" w:hAnsiTheme="minorHAnsi"/>
          <w:noProof/>
          <w:lang w:eastAsia="en-AU"/>
        </w:rPr>
      </w:pPr>
      <w:hyperlink w:anchor="_Toc524331101" w:history="1">
        <w:r w:rsidRPr="00AB325B">
          <w:rPr>
            <w:rStyle w:val="Hyperlink"/>
            <w:noProof/>
          </w:rPr>
          <w:t>Scope</w:t>
        </w:r>
        <w:r>
          <w:rPr>
            <w:noProof/>
            <w:webHidden/>
          </w:rPr>
          <w:tab/>
        </w:r>
        <w:r>
          <w:rPr>
            <w:noProof/>
            <w:webHidden/>
          </w:rPr>
          <w:fldChar w:fldCharType="begin"/>
        </w:r>
        <w:r>
          <w:rPr>
            <w:noProof/>
            <w:webHidden/>
          </w:rPr>
          <w:instrText xml:space="preserve"> PAGEREF _Toc524331101 \h </w:instrText>
        </w:r>
        <w:r>
          <w:rPr>
            <w:noProof/>
            <w:webHidden/>
          </w:rPr>
        </w:r>
        <w:r>
          <w:rPr>
            <w:noProof/>
            <w:webHidden/>
          </w:rPr>
          <w:fldChar w:fldCharType="separate"/>
        </w:r>
        <w:r>
          <w:rPr>
            <w:noProof/>
            <w:webHidden/>
          </w:rPr>
          <w:t>1</w:t>
        </w:r>
        <w:r>
          <w:rPr>
            <w:noProof/>
            <w:webHidden/>
          </w:rPr>
          <w:fldChar w:fldCharType="end"/>
        </w:r>
      </w:hyperlink>
    </w:p>
    <w:p w14:paraId="32133F84" w14:textId="77777777" w:rsidR="00BD531E" w:rsidRDefault="00BD531E">
      <w:pPr>
        <w:pStyle w:val="TOC1"/>
        <w:tabs>
          <w:tab w:val="right" w:leader="dot" w:pos="10762"/>
        </w:tabs>
        <w:rPr>
          <w:rFonts w:asciiTheme="minorHAnsi" w:eastAsiaTheme="minorEastAsia" w:hAnsiTheme="minorHAnsi"/>
          <w:noProof/>
          <w:lang w:eastAsia="en-AU"/>
        </w:rPr>
      </w:pPr>
      <w:hyperlink w:anchor="_Toc524331102" w:history="1">
        <w:r w:rsidRPr="00AB325B">
          <w:rPr>
            <w:rStyle w:val="Hyperlink"/>
            <w:noProof/>
          </w:rPr>
          <w:t>Who must notify</w:t>
        </w:r>
        <w:r>
          <w:rPr>
            <w:noProof/>
            <w:webHidden/>
          </w:rPr>
          <w:tab/>
        </w:r>
        <w:r>
          <w:rPr>
            <w:noProof/>
            <w:webHidden/>
          </w:rPr>
          <w:fldChar w:fldCharType="begin"/>
        </w:r>
        <w:r>
          <w:rPr>
            <w:noProof/>
            <w:webHidden/>
          </w:rPr>
          <w:instrText xml:space="preserve"> PAGEREF _Toc524331102 \h </w:instrText>
        </w:r>
        <w:r>
          <w:rPr>
            <w:noProof/>
            <w:webHidden/>
          </w:rPr>
        </w:r>
        <w:r>
          <w:rPr>
            <w:noProof/>
            <w:webHidden/>
          </w:rPr>
          <w:fldChar w:fldCharType="separate"/>
        </w:r>
        <w:r>
          <w:rPr>
            <w:noProof/>
            <w:webHidden/>
          </w:rPr>
          <w:t>2</w:t>
        </w:r>
        <w:r>
          <w:rPr>
            <w:noProof/>
            <w:webHidden/>
          </w:rPr>
          <w:fldChar w:fldCharType="end"/>
        </w:r>
      </w:hyperlink>
    </w:p>
    <w:p w14:paraId="27786806" w14:textId="77777777" w:rsidR="00BD531E" w:rsidRDefault="00BD531E">
      <w:pPr>
        <w:pStyle w:val="TOC2"/>
        <w:rPr>
          <w:rFonts w:asciiTheme="minorHAnsi" w:eastAsiaTheme="minorEastAsia" w:hAnsiTheme="minorHAnsi"/>
          <w:noProof/>
          <w:lang w:eastAsia="en-AU"/>
        </w:rPr>
      </w:pPr>
      <w:hyperlink w:anchor="_Toc524331103" w:history="1">
        <w:r w:rsidRPr="00AB325B">
          <w:rPr>
            <w:rStyle w:val="Hyperlink"/>
            <w:noProof/>
          </w:rPr>
          <w:t>When to notify</w:t>
        </w:r>
        <w:r>
          <w:rPr>
            <w:noProof/>
            <w:webHidden/>
          </w:rPr>
          <w:tab/>
        </w:r>
        <w:r>
          <w:rPr>
            <w:noProof/>
            <w:webHidden/>
          </w:rPr>
          <w:fldChar w:fldCharType="begin"/>
        </w:r>
        <w:r>
          <w:rPr>
            <w:noProof/>
            <w:webHidden/>
          </w:rPr>
          <w:instrText xml:space="preserve"> PAGEREF _Toc524331103 \h </w:instrText>
        </w:r>
        <w:r>
          <w:rPr>
            <w:noProof/>
            <w:webHidden/>
          </w:rPr>
        </w:r>
        <w:r>
          <w:rPr>
            <w:noProof/>
            <w:webHidden/>
          </w:rPr>
          <w:fldChar w:fldCharType="separate"/>
        </w:r>
        <w:r>
          <w:rPr>
            <w:noProof/>
            <w:webHidden/>
          </w:rPr>
          <w:t>2</w:t>
        </w:r>
        <w:r>
          <w:rPr>
            <w:noProof/>
            <w:webHidden/>
          </w:rPr>
          <w:fldChar w:fldCharType="end"/>
        </w:r>
      </w:hyperlink>
    </w:p>
    <w:p w14:paraId="513B6314" w14:textId="77777777" w:rsidR="00BD531E" w:rsidRDefault="00BD531E">
      <w:pPr>
        <w:pStyle w:val="TOC1"/>
        <w:tabs>
          <w:tab w:val="right" w:leader="dot" w:pos="10762"/>
        </w:tabs>
        <w:rPr>
          <w:rFonts w:asciiTheme="minorHAnsi" w:eastAsiaTheme="minorEastAsia" w:hAnsiTheme="minorHAnsi"/>
          <w:noProof/>
          <w:lang w:eastAsia="en-AU"/>
        </w:rPr>
      </w:pPr>
      <w:hyperlink w:anchor="_Toc524331104" w:history="1">
        <w:r w:rsidRPr="00AB325B">
          <w:rPr>
            <w:rStyle w:val="Hyperlink"/>
            <w:noProof/>
          </w:rPr>
          <w:t>How to Notify</w:t>
        </w:r>
        <w:r>
          <w:rPr>
            <w:noProof/>
            <w:webHidden/>
          </w:rPr>
          <w:tab/>
        </w:r>
        <w:r>
          <w:rPr>
            <w:noProof/>
            <w:webHidden/>
          </w:rPr>
          <w:fldChar w:fldCharType="begin"/>
        </w:r>
        <w:r>
          <w:rPr>
            <w:noProof/>
            <w:webHidden/>
          </w:rPr>
          <w:instrText xml:space="preserve"> PAGEREF _Toc524331104 \h </w:instrText>
        </w:r>
        <w:r>
          <w:rPr>
            <w:noProof/>
            <w:webHidden/>
          </w:rPr>
        </w:r>
        <w:r>
          <w:rPr>
            <w:noProof/>
            <w:webHidden/>
          </w:rPr>
          <w:fldChar w:fldCharType="separate"/>
        </w:r>
        <w:r>
          <w:rPr>
            <w:noProof/>
            <w:webHidden/>
          </w:rPr>
          <w:t>3</w:t>
        </w:r>
        <w:r>
          <w:rPr>
            <w:noProof/>
            <w:webHidden/>
          </w:rPr>
          <w:fldChar w:fldCharType="end"/>
        </w:r>
      </w:hyperlink>
    </w:p>
    <w:p w14:paraId="6E54D93E" w14:textId="77777777" w:rsidR="00BD531E" w:rsidRDefault="00BD531E">
      <w:pPr>
        <w:pStyle w:val="TOC2"/>
        <w:rPr>
          <w:rFonts w:asciiTheme="minorHAnsi" w:eastAsiaTheme="minorEastAsia" w:hAnsiTheme="minorHAnsi"/>
          <w:noProof/>
          <w:lang w:eastAsia="en-AU"/>
        </w:rPr>
      </w:pPr>
      <w:hyperlink w:anchor="_Toc524331105" w:history="1">
        <w:r w:rsidRPr="00AB325B">
          <w:rPr>
            <w:rStyle w:val="Hyperlink"/>
            <w:noProof/>
          </w:rPr>
          <w:t>Fees</w:t>
        </w:r>
        <w:r>
          <w:rPr>
            <w:noProof/>
            <w:webHidden/>
          </w:rPr>
          <w:tab/>
        </w:r>
        <w:r>
          <w:rPr>
            <w:noProof/>
            <w:webHidden/>
          </w:rPr>
          <w:fldChar w:fldCharType="begin"/>
        </w:r>
        <w:r>
          <w:rPr>
            <w:noProof/>
            <w:webHidden/>
          </w:rPr>
          <w:instrText xml:space="preserve"> PAGEREF _Toc524331105 \h </w:instrText>
        </w:r>
        <w:r>
          <w:rPr>
            <w:noProof/>
            <w:webHidden/>
          </w:rPr>
        </w:r>
        <w:r>
          <w:rPr>
            <w:noProof/>
            <w:webHidden/>
          </w:rPr>
          <w:fldChar w:fldCharType="separate"/>
        </w:r>
        <w:r>
          <w:rPr>
            <w:noProof/>
            <w:webHidden/>
          </w:rPr>
          <w:t>3</w:t>
        </w:r>
        <w:r>
          <w:rPr>
            <w:noProof/>
            <w:webHidden/>
          </w:rPr>
          <w:fldChar w:fldCharType="end"/>
        </w:r>
      </w:hyperlink>
    </w:p>
    <w:p w14:paraId="481F1DB4" w14:textId="77777777" w:rsidR="00BD531E" w:rsidRDefault="00BD531E">
      <w:pPr>
        <w:pStyle w:val="TOC1"/>
        <w:tabs>
          <w:tab w:val="right" w:leader="dot" w:pos="10762"/>
        </w:tabs>
        <w:rPr>
          <w:rFonts w:asciiTheme="minorHAnsi" w:eastAsiaTheme="minorEastAsia" w:hAnsiTheme="minorHAnsi"/>
          <w:noProof/>
          <w:lang w:eastAsia="en-AU"/>
        </w:rPr>
      </w:pPr>
      <w:hyperlink w:anchor="_Toc524331106" w:history="1">
        <w:r w:rsidRPr="00AB325B">
          <w:rPr>
            <w:rStyle w:val="Hyperlink"/>
            <w:noProof/>
          </w:rPr>
          <w:t>What information does the regulator require?</w:t>
        </w:r>
        <w:r>
          <w:rPr>
            <w:noProof/>
            <w:webHidden/>
          </w:rPr>
          <w:tab/>
        </w:r>
        <w:r>
          <w:rPr>
            <w:noProof/>
            <w:webHidden/>
          </w:rPr>
          <w:fldChar w:fldCharType="begin"/>
        </w:r>
        <w:r>
          <w:rPr>
            <w:noProof/>
            <w:webHidden/>
          </w:rPr>
          <w:instrText xml:space="preserve"> PAGEREF _Toc524331106 \h </w:instrText>
        </w:r>
        <w:r>
          <w:rPr>
            <w:noProof/>
            <w:webHidden/>
          </w:rPr>
        </w:r>
        <w:r>
          <w:rPr>
            <w:noProof/>
            <w:webHidden/>
          </w:rPr>
          <w:fldChar w:fldCharType="separate"/>
        </w:r>
        <w:r>
          <w:rPr>
            <w:noProof/>
            <w:webHidden/>
          </w:rPr>
          <w:t>3</w:t>
        </w:r>
        <w:r>
          <w:rPr>
            <w:noProof/>
            <w:webHidden/>
          </w:rPr>
          <w:fldChar w:fldCharType="end"/>
        </w:r>
      </w:hyperlink>
    </w:p>
    <w:p w14:paraId="6CC357BB" w14:textId="77777777" w:rsidR="00BD531E" w:rsidRDefault="00BD531E">
      <w:pPr>
        <w:pStyle w:val="TOC2"/>
        <w:rPr>
          <w:rFonts w:asciiTheme="minorHAnsi" w:eastAsiaTheme="minorEastAsia" w:hAnsiTheme="minorHAnsi"/>
          <w:noProof/>
          <w:lang w:eastAsia="en-AU"/>
        </w:rPr>
      </w:pPr>
      <w:hyperlink w:anchor="_Toc524331107" w:history="1">
        <w:r w:rsidRPr="00AB325B">
          <w:rPr>
            <w:rStyle w:val="Hyperlink"/>
            <w:noProof/>
            <w:lang w:eastAsia="en-AU"/>
          </w:rPr>
          <w:t>Hazardous chemicals</w:t>
        </w:r>
        <w:r>
          <w:rPr>
            <w:noProof/>
            <w:webHidden/>
          </w:rPr>
          <w:tab/>
        </w:r>
        <w:r>
          <w:rPr>
            <w:noProof/>
            <w:webHidden/>
          </w:rPr>
          <w:fldChar w:fldCharType="begin"/>
        </w:r>
        <w:r>
          <w:rPr>
            <w:noProof/>
            <w:webHidden/>
          </w:rPr>
          <w:instrText xml:space="preserve"> PAGEREF _Toc524331107 \h </w:instrText>
        </w:r>
        <w:r>
          <w:rPr>
            <w:noProof/>
            <w:webHidden/>
          </w:rPr>
        </w:r>
        <w:r>
          <w:rPr>
            <w:noProof/>
            <w:webHidden/>
          </w:rPr>
          <w:fldChar w:fldCharType="separate"/>
        </w:r>
        <w:r>
          <w:rPr>
            <w:noProof/>
            <w:webHidden/>
          </w:rPr>
          <w:t>3</w:t>
        </w:r>
        <w:r>
          <w:rPr>
            <w:noProof/>
            <w:webHidden/>
          </w:rPr>
          <w:fldChar w:fldCharType="end"/>
        </w:r>
      </w:hyperlink>
    </w:p>
    <w:p w14:paraId="1D099CDE" w14:textId="77777777" w:rsidR="00BD531E" w:rsidRDefault="00BD531E">
      <w:pPr>
        <w:pStyle w:val="TOC2"/>
        <w:rPr>
          <w:rFonts w:asciiTheme="minorHAnsi" w:eastAsiaTheme="minorEastAsia" w:hAnsiTheme="minorHAnsi"/>
          <w:noProof/>
          <w:lang w:eastAsia="en-AU"/>
        </w:rPr>
      </w:pPr>
      <w:hyperlink w:anchor="_Toc524331108" w:history="1">
        <w:r w:rsidRPr="00AB325B">
          <w:rPr>
            <w:rStyle w:val="Hyperlink"/>
            <w:noProof/>
            <w:lang w:eastAsia="en-AU"/>
          </w:rPr>
          <w:t>Abandonment of tank</w:t>
        </w:r>
        <w:r>
          <w:rPr>
            <w:noProof/>
            <w:webHidden/>
          </w:rPr>
          <w:tab/>
        </w:r>
        <w:r>
          <w:rPr>
            <w:noProof/>
            <w:webHidden/>
          </w:rPr>
          <w:fldChar w:fldCharType="begin"/>
        </w:r>
        <w:r>
          <w:rPr>
            <w:noProof/>
            <w:webHidden/>
          </w:rPr>
          <w:instrText xml:space="preserve"> PAGEREF _Toc524331108 \h </w:instrText>
        </w:r>
        <w:r>
          <w:rPr>
            <w:noProof/>
            <w:webHidden/>
          </w:rPr>
        </w:r>
        <w:r>
          <w:rPr>
            <w:noProof/>
            <w:webHidden/>
          </w:rPr>
          <w:fldChar w:fldCharType="separate"/>
        </w:r>
        <w:r>
          <w:rPr>
            <w:noProof/>
            <w:webHidden/>
          </w:rPr>
          <w:t>4</w:t>
        </w:r>
        <w:r>
          <w:rPr>
            <w:noProof/>
            <w:webHidden/>
          </w:rPr>
          <w:fldChar w:fldCharType="end"/>
        </w:r>
      </w:hyperlink>
    </w:p>
    <w:p w14:paraId="14D3B4E9" w14:textId="77777777" w:rsidR="00BD531E" w:rsidRDefault="00BD531E">
      <w:pPr>
        <w:pStyle w:val="TOC1"/>
        <w:tabs>
          <w:tab w:val="right" w:leader="dot" w:pos="10762"/>
        </w:tabs>
        <w:rPr>
          <w:rFonts w:asciiTheme="minorHAnsi" w:eastAsiaTheme="minorEastAsia" w:hAnsiTheme="minorHAnsi"/>
          <w:noProof/>
          <w:lang w:eastAsia="en-AU"/>
        </w:rPr>
      </w:pPr>
      <w:hyperlink w:anchor="_Toc524331109" w:history="1">
        <w:r w:rsidRPr="00AB325B">
          <w:rPr>
            <w:rStyle w:val="Hyperlink"/>
            <w:noProof/>
          </w:rPr>
          <w:t>Obligations</w:t>
        </w:r>
        <w:r>
          <w:rPr>
            <w:noProof/>
            <w:webHidden/>
          </w:rPr>
          <w:tab/>
        </w:r>
        <w:r>
          <w:rPr>
            <w:noProof/>
            <w:webHidden/>
          </w:rPr>
          <w:fldChar w:fldCharType="begin"/>
        </w:r>
        <w:r>
          <w:rPr>
            <w:noProof/>
            <w:webHidden/>
          </w:rPr>
          <w:instrText xml:space="preserve"> PAGEREF _Toc524331109 \h </w:instrText>
        </w:r>
        <w:r>
          <w:rPr>
            <w:noProof/>
            <w:webHidden/>
          </w:rPr>
        </w:r>
        <w:r>
          <w:rPr>
            <w:noProof/>
            <w:webHidden/>
          </w:rPr>
          <w:fldChar w:fldCharType="separate"/>
        </w:r>
        <w:r>
          <w:rPr>
            <w:noProof/>
            <w:webHidden/>
          </w:rPr>
          <w:t>4</w:t>
        </w:r>
        <w:r>
          <w:rPr>
            <w:noProof/>
            <w:webHidden/>
          </w:rPr>
          <w:fldChar w:fldCharType="end"/>
        </w:r>
      </w:hyperlink>
    </w:p>
    <w:p w14:paraId="18D01455" w14:textId="77777777" w:rsidR="00BD531E" w:rsidRDefault="00BD531E">
      <w:pPr>
        <w:pStyle w:val="TOC2"/>
        <w:rPr>
          <w:rFonts w:asciiTheme="minorHAnsi" w:eastAsiaTheme="minorEastAsia" w:hAnsiTheme="minorHAnsi"/>
          <w:noProof/>
          <w:lang w:eastAsia="en-AU"/>
        </w:rPr>
      </w:pPr>
      <w:hyperlink w:anchor="_Toc524331110" w:history="1">
        <w:r w:rsidRPr="00AB325B">
          <w:rPr>
            <w:rStyle w:val="Hyperlink"/>
            <w:noProof/>
          </w:rPr>
          <w:t>Manifest</w:t>
        </w:r>
        <w:r>
          <w:rPr>
            <w:noProof/>
            <w:webHidden/>
          </w:rPr>
          <w:tab/>
        </w:r>
        <w:r>
          <w:rPr>
            <w:noProof/>
            <w:webHidden/>
          </w:rPr>
          <w:fldChar w:fldCharType="begin"/>
        </w:r>
        <w:r>
          <w:rPr>
            <w:noProof/>
            <w:webHidden/>
          </w:rPr>
          <w:instrText xml:space="preserve"> PAGEREF _Toc524331110 \h </w:instrText>
        </w:r>
        <w:r>
          <w:rPr>
            <w:noProof/>
            <w:webHidden/>
          </w:rPr>
        </w:r>
        <w:r>
          <w:rPr>
            <w:noProof/>
            <w:webHidden/>
          </w:rPr>
          <w:fldChar w:fldCharType="separate"/>
        </w:r>
        <w:r>
          <w:rPr>
            <w:noProof/>
            <w:webHidden/>
          </w:rPr>
          <w:t>4</w:t>
        </w:r>
        <w:r>
          <w:rPr>
            <w:noProof/>
            <w:webHidden/>
          </w:rPr>
          <w:fldChar w:fldCharType="end"/>
        </w:r>
      </w:hyperlink>
    </w:p>
    <w:p w14:paraId="01A8B183" w14:textId="77777777" w:rsidR="00BD531E" w:rsidRDefault="00BD531E">
      <w:pPr>
        <w:pStyle w:val="TOC1"/>
        <w:tabs>
          <w:tab w:val="right" w:leader="dot" w:pos="10762"/>
        </w:tabs>
        <w:rPr>
          <w:rFonts w:asciiTheme="minorHAnsi" w:eastAsiaTheme="minorEastAsia" w:hAnsiTheme="minorHAnsi"/>
          <w:noProof/>
          <w:lang w:eastAsia="en-AU"/>
        </w:rPr>
      </w:pPr>
      <w:hyperlink w:anchor="_Toc524331111" w:history="1">
        <w:r w:rsidRPr="00AB325B">
          <w:rPr>
            <w:rStyle w:val="Hyperlink"/>
            <w:noProof/>
            <w:lang w:eastAsia="en-AU"/>
          </w:rPr>
          <w:t>Further information requested by the Regulator</w:t>
        </w:r>
        <w:r>
          <w:rPr>
            <w:noProof/>
            <w:webHidden/>
          </w:rPr>
          <w:tab/>
        </w:r>
        <w:r>
          <w:rPr>
            <w:noProof/>
            <w:webHidden/>
          </w:rPr>
          <w:fldChar w:fldCharType="begin"/>
        </w:r>
        <w:r>
          <w:rPr>
            <w:noProof/>
            <w:webHidden/>
          </w:rPr>
          <w:instrText xml:space="preserve"> PAGEREF _Toc524331111 \h </w:instrText>
        </w:r>
        <w:r>
          <w:rPr>
            <w:noProof/>
            <w:webHidden/>
          </w:rPr>
        </w:r>
        <w:r>
          <w:rPr>
            <w:noProof/>
            <w:webHidden/>
          </w:rPr>
          <w:fldChar w:fldCharType="separate"/>
        </w:r>
        <w:r>
          <w:rPr>
            <w:noProof/>
            <w:webHidden/>
          </w:rPr>
          <w:t>4</w:t>
        </w:r>
        <w:r>
          <w:rPr>
            <w:noProof/>
            <w:webHidden/>
          </w:rPr>
          <w:fldChar w:fldCharType="end"/>
        </w:r>
      </w:hyperlink>
    </w:p>
    <w:p w14:paraId="3FAE9DA5" w14:textId="77777777" w:rsidR="00BD531E" w:rsidRDefault="00BD531E">
      <w:pPr>
        <w:pStyle w:val="TOC1"/>
        <w:tabs>
          <w:tab w:val="right" w:leader="dot" w:pos="10762"/>
        </w:tabs>
        <w:rPr>
          <w:rFonts w:asciiTheme="minorHAnsi" w:eastAsiaTheme="minorEastAsia" w:hAnsiTheme="minorHAnsi"/>
          <w:noProof/>
          <w:lang w:eastAsia="en-AU"/>
        </w:rPr>
      </w:pPr>
      <w:hyperlink w:anchor="_Toc524331112" w:history="1">
        <w:r w:rsidRPr="00AB325B">
          <w:rPr>
            <w:rStyle w:val="Hyperlink"/>
            <w:noProof/>
          </w:rPr>
          <w:t>Further information</w:t>
        </w:r>
        <w:r>
          <w:rPr>
            <w:noProof/>
            <w:webHidden/>
          </w:rPr>
          <w:tab/>
        </w:r>
        <w:r>
          <w:rPr>
            <w:noProof/>
            <w:webHidden/>
          </w:rPr>
          <w:fldChar w:fldCharType="begin"/>
        </w:r>
        <w:r>
          <w:rPr>
            <w:noProof/>
            <w:webHidden/>
          </w:rPr>
          <w:instrText xml:space="preserve"> PAGEREF _Toc524331112 \h </w:instrText>
        </w:r>
        <w:r>
          <w:rPr>
            <w:noProof/>
            <w:webHidden/>
          </w:rPr>
        </w:r>
        <w:r>
          <w:rPr>
            <w:noProof/>
            <w:webHidden/>
          </w:rPr>
          <w:fldChar w:fldCharType="separate"/>
        </w:r>
        <w:r>
          <w:rPr>
            <w:noProof/>
            <w:webHidden/>
          </w:rPr>
          <w:t>4</w:t>
        </w:r>
        <w:r>
          <w:rPr>
            <w:noProof/>
            <w:webHidden/>
          </w:rPr>
          <w:fldChar w:fldCharType="end"/>
        </w:r>
      </w:hyperlink>
    </w:p>
    <w:p w14:paraId="28E29F7B" w14:textId="77777777" w:rsidR="00BD531E" w:rsidRDefault="00BD531E">
      <w:pPr>
        <w:pStyle w:val="TOC2"/>
        <w:rPr>
          <w:rFonts w:asciiTheme="minorHAnsi" w:eastAsiaTheme="minorEastAsia" w:hAnsiTheme="minorHAnsi"/>
          <w:noProof/>
          <w:lang w:eastAsia="en-AU"/>
        </w:rPr>
      </w:pPr>
      <w:hyperlink w:anchor="_Toc524331113" w:history="1">
        <w:r w:rsidRPr="00AB325B">
          <w:rPr>
            <w:rStyle w:val="Hyperlink"/>
            <w:noProof/>
          </w:rPr>
          <w:t>Legislation</w:t>
        </w:r>
        <w:r>
          <w:rPr>
            <w:noProof/>
            <w:webHidden/>
          </w:rPr>
          <w:tab/>
        </w:r>
        <w:r>
          <w:rPr>
            <w:noProof/>
            <w:webHidden/>
          </w:rPr>
          <w:fldChar w:fldCharType="begin"/>
        </w:r>
        <w:r>
          <w:rPr>
            <w:noProof/>
            <w:webHidden/>
          </w:rPr>
          <w:instrText xml:space="preserve"> PAGEREF _Toc524331113 \h </w:instrText>
        </w:r>
        <w:r>
          <w:rPr>
            <w:noProof/>
            <w:webHidden/>
          </w:rPr>
        </w:r>
        <w:r>
          <w:rPr>
            <w:noProof/>
            <w:webHidden/>
          </w:rPr>
          <w:fldChar w:fldCharType="separate"/>
        </w:r>
        <w:r>
          <w:rPr>
            <w:noProof/>
            <w:webHidden/>
          </w:rPr>
          <w:t>4</w:t>
        </w:r>
        <w:r>
          <w:rPr>
            <w:noProof/>
            <w:webHidden/>
          </w:rPr>
          <w:fldChar w:fldCharType="end"/>
        </w:r>
      </w:hyperlink>
    </w:p>
    <w:p w14:paraId="190CFD24" w14:textId="77777777" w:rsidR="00BD531E" w:rsidRDefault="00BD531E">
      <w:pPr>
        <w:pStyle w:val="TOC2"/>
        <w:rPr>
          <w:rFonts w:asciiTheme="minorHAnsi" w:eastAsiaTheme="minorEastAsia" w:hAnsiTheme="minorHAnsi"/>
          <w:noProof/>
          <w:lang w:eastAsia="en-AU"/>
        </w:rPr>
      </w:pPr>
      <w:hyperlink w:anchor="_Toc524331114" w:history="1">
        <w:r w:rsidRPr="00AB325B">
          <w:rPr>
            <w:rStyle w:val="Hyperlink"/>
            <w:rFonts w:cs="Arial"/>
            <w:i/>
            <w:noProof/>
          </w:rPr>
          <w:t>The Work Health and Safety (National Uniform Legislation) Act</w:t>
        </w:r>
        <w:r w:rsidRPr="00AB325B">
          <w:rPr>
            <w:rStyle w:val="Hyperlink"/>
            <w:rFonts w:cs="Arial"/>
            <w:noProof/>
          </w:rPr>
          <w:t xml:space="preserve"> and Work Health and Safety (National Uniform Legislation) Regulations are available on NT WorkSafe’s website www.legislation.nt.gov.au.</w:t>
        </w:r>
        <w:r>
          <w:rPr>
            <w:noProof/>
            <w:webHidden/>
          </w:rPr>
          <w:tab/>
        </w:r>
        <w:r>
          <w:rPr>
            <w:noProof/>
            <w:webHidden/>
          </w:rPr>
          <w:fldChar w:fldCharType="begin"/>
        </w:r>
        <w:r>
          <w:rPr>
            <w:noProof/>
            <w:webHidden/>
          </w:rPr>
          <w:instrText xml:space="preserve"> PAGEREF _Toc524331114 \h </w:instrText>
        </w:r>
        <w:r>
          <w:rPr>
            <w:noProof/>
            <w:webHidden/>
          </w:rPr>
        </w:r>
        <w:r>
          <w:rPr>
            <w:noProof/>
            <w:webHidden/>
          </w:rPr>
          <w:fldChar w:fldCharType="separate"/>
        </w:r>
        <w:r>
          <w:rPr>
            <w:noProof/>
            <w:webHidden/>
          </w:rPr>
          <w:t>4</w:t>
        </w:r>
        <w:r>
          <w:rPr>
            <w:noProof/>
            <w:webHidden/>
          </w:rPr>
          <w:fldChar w:fldCharType="end"/>
        </w:r>
      </w:hyperlink>
    </w:p>
    <w:p w14:paraId="2257FE2F" w14:textId="77777777" w:rsidR="00BD531E" w:rsidRDefault="00BD531E">
      <w:pPr>
        <w:pStyle w:val="TOC2"/>
        <w:rPr>
          <w:rFonts w:asciiTheme="minorHAnsi" w:eastAsiaTheme="minorEastAsia" w:hAnsiTheme="minorHAnsi"/>
          <w:noProof/>
          <w:lang w:eastAsia="en-AU"/>
        </w:rPr>
      </w:pPr>
      <w:hyperlink w:anchor="_Toc524331115" w:history="1">
        <w:r w:rsidRPr="00AB325B">
          <w:rPr>
            <w:rStyle w:val="Hyperlink"/>
            <w:noProof/>
          </w:rPr>
          <w:t>List of jurisdiction contacts</w:t>
        </w:r>
        <w:r>
          <w:rPr>
            <w:noProof/>
            <w:webHidden/>
          </w:rPr>
          <w:tab/>
        </w:r>
        <w:r>
          <w:rPr>
            <w:noProof/>
            <w:webHidden/>
          </w:rPr>
          <w:fldChar w:fldCharType="begin"/>
        </w:r>
        <w:r>
          <w:rPr>
            <w:noProof/>
            <w:webHidden/>
          </w:rPr>
          <w:instrText xml:space="preserve"> PAGEREF _Toc524331115 \h </w:instrText>
        </w:r>
        <w:r>
          <w:rPr>
            <w:noProof/>
            <w:webHidden/>
          </w:rPr>
        </w:r>
        <w:r>
          <w:rPr>
            <w:noProof/>
            <w:webHidden/>
          </w:rPr>
          <w:fldChar w:fldCharType="separate"/>
        </w:r>
        <w:r>
          <w:rPr>
            <w:noProof/>
            <w:webHidden/>
          </w:rPr>
          <w:t>4</w:t>
        </w:r>
        <w:r>
          <w:rPr>
            <w:noProof/>
            <w:webHidden/>
          </w:rPr>
          <w:fldChar w:fldCharType="end"/>
        </w:r>
      </w:hyperlink>
    </w:p>
    <w:p w14:paraId="24BF1C14" w14:textId="77777777" w:rsidR="00BD531E" w:rsidRDefault="00BD531E">
      <w:pPr>
        <w:pStyle w:val="TOC1"/>
        <w:tabs>
          <w:tab w:val="right" w:leader="dot" w:pos="10762"/>
        </w:tabs>
        <w:rPr>
          <w:rFonts w:asciiTheme="minorHAnsi" w:eastAsiaTheme="minorEastAsia" w:hAnsiTheme="minorHAnsi"/>
          <w:noProof/>
          <w:lang w:eastAsia="en-AU"/>
        </w:rPr>
      </w:pPr>
      <w:hyperlink w:anchor="_Toc524331116" w:history="1">
        <w:r w:rsidRPr="00AB325B">
          <w:rPr>
            <w:rStyle w:val="Hyperlink"/>
            <w:noProof/>
          </w:rPr>
          <w:t>Contact us</w:t>
        </w:r>
        <w:r>
          <w:rPr>
            <w:noProof/>
            <w:webHidden/>
          </w:rPr>
          <w:tab/>
        </w:r>
        <w:r>
          <w:rPr>
            <w:noProof/>
            <w:webHidden/>
          </w:rPr>
          <w:fldChar w:fldCharType="begin"/>
        </w:r>
        <w:r>
          <w:rPr>
            <w:noProof/>
            <w:webHidden/>
          </w:rPr>
          <w:instrText xml:space="preserve"> PAGEREF _Toc524331116 \h </w:instrText>
        </w:r>
        <w:r>
          <w:rPr>
            <w:noProof/>
            <w:webHidden/>
          </w:rPr>
        </w:r>
        <w:r>
          <w:rPr>
            <w:noProof/>
            <w:webHidden/>
          </w:rPr>
          <w:fldChar w:fldCharType="separate"/>
        </w:r>
        <w:r>
          <w:rPr>
            <w:noProof/>
            <w:webHidden/>
          </w:rPr>
          <w:t>5</w:t>
        </w:r>
        <w:r>
          <w:rPr>
            <w:noProof/>
            <w:webHidden/>
          </w:rPr>
          <w:fldChar w:fldCharType="end"/>
        </w:r>
      </w:hyperlink>
    </w:p>
    <w:p w14:paraId="69D11929" w14:textId="77777777" w:rsidR="007122C9" w:rsidRDefault="007122C9" w:rsidP="007122C9">
      <w:pPr>
        <w:pStyle w:val="Heading1"/>
        <w:spacing w:after="60"/>
      </w:pPr>
      <w:r>
        <w:fldChar w:fldCharType="end"/>
      </w:r>
      <w:bookmarkStart w:id="9" w:name="_Toc524331100"/>
      <w:r>
        <w:t>Introduction</w:t>
      </w:r>
      <w:bookmarkEnd w:id="9"/>
    </w:p>
    <w:p w14:paraId="15BF348E" w14:textId="77777777" w:rsidR="007122C9" w:rsidRDefault="007122C9" w:rsidP="007122C9">
      <w:pPr>
        <w:rPr>
          <w:lang w:eastAsia="en-AU"/>
        </w:rPr>
      </w:pPr>
      <w:r>
        <w:rPr>
          <w:lang w:eastAsia="en-AU"/>
        </w:rPr>
        <w:t>The</w:t>
      </w:r>
      <w:r>
        <w:rPr>
          <w:i/>
          <w:lang w:eastAsia="en-AU"/>
        </w:rPr>
        <w:t xml:space="preserve"> </w:t>
      </w:r>
      <w:r w:rsidRPr="005E1079">
        <w:rPr>
          <w:lang w:eastAsia="en-AU"/>
        </w:rPr>
        <w:t>Work Health and Safety (National Uniform Legislation) Regulations – the WH</w:t>
      </w:r>
      <w:r>
        <w:rPr>
          <w:lang w:eastAsia="en-AU"/>
        </w:rPr>
        <w:t>S</w:t>
      </w:r>
      <w:r w:rsidRPr="005E1079">
        <w:rPr>
          <w:lang w:eastAsia="en-AU"/>
        </w:rPr>
        <w:t xml:space="preserve"> (NUL) Regulations –</w:t>
      </w:r>
      <w:r>
        <w:rPr>
          <w:i/>
          <w:lang w:eastAsia="en-AU"/>
        </w:rPr>
        <w:t xml:space="preserve"> </w:t>
      </w:r>
      <w:r w:rsidRPr="009E2955">
        <w:rPr>
          <w:lang w:eastAsia="en-AU"/>
        </w:rPr>
        <w:t xml:space="preserve">provides </w:t>
      </w:r>
      <w:r>
        <w:rPr>
          <w:lang w:eastAsia="en-AU"/>
        </w:rPr>
        <w:t>for the notification of Schedule 11 hazardous chemicals and notification of the abandonment of an underground, partially underground or fully mounded tank.</w:t>
      </w:r>
    </w:p>
    <w:p w14:paraId="634FEC52" w14:textId="77777777" w:rsidR="007122C9" w:rsidRDefault="007122C9" w:rsidP="007122C9">
      <w:pPr>
        <w:rPr>
          <w:lang w:eastAsia="en-AU"/>
        </w:rPr>
      </w:pPr>
      <w:r>
        <w:rPr>
          <w:lang w:eastAsia="en-AU"/>
        </w:rPr>
        <w:t>A person conducting a business or undertaking (PCBU) at a workplace is required to ensure, so far as reasonably practicable, the health and safety of workers and others. Notifications of Schedule 11 hazardous chemicals and abandonment of tanks provides risk based information to the Regulator so it can apply resources and target compliance and enforcement actions to areas of greatest risk to health and safety.</w:t>
      </w:r>
    </w:p>
    <w:p w14:paraId="52A4FE49" w14:textId="77777777" w:rsidR="00BD531E" w:rsidRDefault="00BD531E" w:rsidP="007122C9">
      <w:pPr>
        <w:rPr>
          <w:lang w:eastAsia="en-AU"/>
        </w:rPr>
      </w:pPr>
    </w:p>
    <w:p w14:paraId="2C83EAAD" w14:textId="77777777" w:rsidR="00BD531E" w:rsidRDefault="00BD531E" w:rsidP="007122C9"/>
    <w:p w14:paraId="0C2A0399" w14:textId="77777777" w:rsidR="007122C9" w:rsidRDefault="007122C9" w:rsidP="007122C9">
      <w:pPr>
        <w:pStyle w:val="Heading2"/>
      </w:pPr>
      <w:bookmarkStart w:id="10" w:name="_Toc313963245"/>
      <w:bookmarkStart w:id="11" w:name="_Toc300674168"/>
      <w:bookmarkStart w:id="12" w:name="_Toc524331101"/>
      <w:r>
        <w:lastRenderedPageBreak/>
        <w:t>Scope</w:t>
      </w:r>
      <w:bookmarkEnd w:id="10"/>
      <w:bookmarkEnd w:id="11"/>
      <w:bookmarkEnd w:id="12"/>
    </w:p>
    <w:p w14:paraId="42D8B715" w14:textId="77777777" w:rsidR="007122C9" w:rsidRDefault="007122C9" w:rsidP="007122C9">
      <w:pPr>
        <w:pStyle w:val="Heading3"/>
        <w:rPr>
          <w:lang w:eastAsia="en-AU"/>
        </w:rPr>
      </w:pPr>
      <w:r>
        <w:rPr>
          <w:lang w:eastAsia="en-AU"/>
        </w:rPr>
        <w:t>Hazardous chemicals</w:t>
      </w:r>
    </w:p>
    <w:p w14:paraId="0EF48ACE" w14:textId="77777777" w:rsidR="007122C9" w:rsidRDefault="007122C9" w:rsidP="007122C9">
      <w:pPr>
        <w:rPr>
          <w:lang w:eastAsia="en-AU"/>
        </w:rPr>
      </w:pPr>
      <w:r>
        <w:rPr>
          <w:lang w:eastAsia="en-AU"/>
        </w:rPr>
        <w:t>Notification to the Regulator is required where:</w:t>
      </w:r>
    </w:p>
    <w:p w14:paraId="567DC312" w14:textId="77777777" w:rsidR="007122C9" w:rsidRDefault="007122C9" w:rsidP="007122C9">
      <w:pPr>
        <w:pStyle w:val="ListParagraph"/>
        <w:numPr>
          <w:ilvl w:val="0"/>
          <w:numId w:val="11"/>
        </w:numPr>
      </w:pPr>
      <w:r>
        <w:t xml:space="preserve">A quantity of a Schedule 11 hazardous chemical or group of Schedule 11 hazardous chemicals that exceeds the manifest quantity is used, handled or stored or is to be used, handled or stored, at the workplace </w:t>
      </w:r>
      <w:r w:rsidRPr="005E1079">
        <w:rPr>
          <w:lang w:eastAsia="en-AU"/>
        </w:rPr>
        <w:t xml:space="preserve"> – </w:t>
      </w:r>
      <w:r>
        <w:t>Regulation 348(1).</w:t>
      </w:r>
    </w:p>
    <w:p w14:paraId="31B17942" w14:textId="77777777" w:rsidR="007122C9" w:rsidRDefault="007122C9" w:rsidP="007122C9">
      <w:pPr>
        <w:pStyle w:val="ListParagraph"/>
        <w:numPr>
          <w:ilvl w:val="0"/>
          <w:numId w:val="11"/>
        </w:numPr>
      </w:pPr>
      <w:r>
        <w:t>Immediately after the PCBU knows there will be a significant change in the risk in using, handling or storing the Schedule 11 hazardous chemical at the workplace or at least 14 days before that change, whichever is earlier – Regulation 348 (2)</w:t>
      </w:r>
      <w:proofErr w:type="gramStart"/>
      <w:r>
        <w:t>.</w:t>
      </w:r>
      <w:proofErr w:type="gramEnd"/>
    </w:p>
    <w:p w14:paraId="0085AC27" w14:textId="77777777" w:rsidR="007122C9" w:rsidRDefault="007122C9" w:rsidP="007122C9">
      <w:pPr>
        <w:pStyle w:val="ListParagraph"/>
        <w:numPr>
          <w:ilvl w:val="0"/>
          <w:numId w:val="11"/>
        </w:numPr>
      </w:pPr>
      <w:r>
        <w:t xml:space="preserve">After the Schedule 11 hazardous chemical or group of Schedule 11 hazardous chemicals are no longer </w:t>
      </w:r>
      <w:proofErr w:type="gramStart"/>
      <w:r>
        <w:t>used</w:t>
      </w:r>
      <w:proofErr w:type="gramEnd"/>
      <w:r>
        <w:t>, stored or handled at the workplace and they are not likely to be used, handled or stored at the workplace in the future</w:t>
      </w:r>
      <w:r w:rsidRPr="005E1079">
        <w:rPr>
          <w:lang w:eastAsia="en-AU"/>
        </w:rPr>
        <w:t xml:space="preserve"> – </w:t>
      </w:r>
      <w:r>
        <w:t>Regulation 348(4).</w:t>
      </w:r>
    </w:p>
    <w:p w14:paraId="2329F91C" w14:textId="77777777" w:rsidR="007122C9" w:rsidRDefault="007122C9" w:rsidP="007122C9">
      <w:pPr>
        <w:rPr>
          <w:lang w:eastAsia="en-AU"/>
        </w:rPr>
      </w:pPr>
      <w:r>
        <w:rPr>
          <w:lang w:eastAsia="en-AU"/>
        </w:rPr>
        <w:t>Manifest quantity in relation to a Schedule 11 hazardous chemical, means the manifest quantity referred to in Schedule 11, table 11.1, column 5 of the WHS (NUL) Regulations for that hazardous chemical</w:t>
      </w:r>
      <w:r w:rsidRPr="005E1079">
        <w:rPr>
          <w:lang w:eastAsia="en-AU"/>
        </w:rPr>
        <w:t xml:space="preserve"> – </w:t>
      </w:r>
      <w:r>
        <w:rPr>
          <w:lang w:eastAsia="en-AU"/>
        </w:rPr>
        <w:t>Regulation 5.</w:t>
      </w:r>
    </w:p>
    <w:p w14:paraId="1C466FB5" w14:textId="77777777" w:rsidR="007122C9" w:rsidRDefault="007122C9" w:rsidP="007122C9">
      <w:pPr>
        <w:pStyle w:val="Heading3"/>
        <w:rPr>
          <w:lang w:eastAsia="en-AU"/>
        </w:rPr>
      </w:pPr>
      <w:r>
        <w:rPr>
          <w:lang w:eastAsia="en-AU"/>
        </w:rPr>
        <w:t>Abandonment of tank</w:t>
      </w:r>
    </w:p>
    <w:p w14:paraId="55382B23" w14:textId="77777777" w:rsidR="007122C9" w:rsidRDefault="007122C9" w:rsidP="007122C9">
      <w:pPr>
        <w:rPr>
          <w:lang w:eastAsia="en-AU"/>
        </w:rPr>
      </w:pPr>
      <w:r>
        <w:rPr>
          <w:lang w:eastAsia="en-AU"/>
        </w:rPr>
        <w:t>Notification to the Regulator is also required for the abandonment of an underground, partially underground or fully mounded tank that was used to store flammable gases or flammable liquids</w:t>
      </w:r>
      <w:r w:rsidRPr="005E1079">
        <w:rPr>
          <w:lang w:eastAsia="en-AU"/>
        </w:rPr>
        <w:t xml:space="preserve"> – </w:t>
      </w:r>
      <w:r>
        <w:rPr>
          <w:lang w:eastAsia="en-AU"/>
        </w:rPr>
        <w:t>Regulation 367.</w:t>
      </w:r>
    </w:p>
    <w:p w14:paraId="66DBBEA2" w14:textId="77777777" w:rsidR="007122C9" w:rsidRDefault="007122C9" w:rsidP="007122C9">
      <w:pPr>
        <w:pStyle w:val="Heading1"/>
      </w:pPr>
      <w:bookmarkStart w:id="13" w:name="_Toc313963246"/>
      <w:bookmarkStart w:id="14" w:name="_Toc300674169"/>
      <w:bookmarkStart w:id="15" w:name="_Toc524331102"/>
      <w:r>
        <w:t>Who must notify</w:t>
      </w:r>
      <w:bookmarkEnd w:id="13"/>
      <w:bookmarkEnd w:id="14"/>
      <w:bookmarkEnd w:id="15"/>
    </w:p>
    <w:p w14:paraId="172D3800" w14:textId="77777777" w:rsidR="007122C9" w:rsidRDefault="007122C9" w:rsidP="007122C9">
      <w:pPr>
        <w:rPr>
          <w:lang w:eastAsia="en-AU"/>
        </w:rPr>
      </w:pPr>
      <w:r>
        <w:rPr>
          <w:lang w:eastAsia="en-AU"/>
        </w:rPr>
        <w:t>A person conducting a business or undertaking at the workplace where the quantity of Schedule 11 hazardous chemical exceeds the manifest quantity or is no longer used, handled or stored must notify the Regulator</w:t>
      </w:r>
      <w:r w:rsidRPr="005E1079">
        <w:rPr>
          <w:lang w:eastAsia="en-AU"/>
        </w:rPr>
        <w:t xml:space="preserve"> – </w:t>
      </w:r>
      <w:r>
        <w:rPr>
          <w:lang w:eastAsia="en-AU"/>
        </w:rPr>
        <w:t>Regulation 348(1) and 348(4).</w:t>
      </w:r>
    </w:p>
    <w:p w14:paraId="3CCA2819" w14:textId="77777777" w:rsidR="007122C9" w:rsidRDefault="007122C9" w:rsidP="007122C9">
      <w:pPr>
        <w:rPr>
          <w:lang w:eastAsia="en-AU"/>
        </w:rPr>
      </w:pPr>
      <w:r>
        <w:rPr>
          <w:lang w:eastAsia="en-AU"/>
        </w:rPr>
        <w:t>A PCBU at a workplace where that person controls or manages the tank must notify the Regulator [Regulation 367]. “Person conducting a business or undertaking” is defined in Section 5 of the</w:t>
      </w:r>
      <w:r>
        <w:rPr>
          <w:i/>
          <w:lang w:eastAsia="en-AU"/>
        </w:rPr>
        <w:t xml:space="preserve"> Work Health and Safety (National Uniform Legislation) Act</w:t>
      </w:r>
      <w:r w:rsidRPr="005E1079">
        <w:rPr>
          <w:lang w:eastAsia="en-AU"/>
        </w:rPr>
        <w:t xml:space="preserve"> –</w:t>
      </w:r>
      <w:r>
        <w:rPr>
          <w:lang w:eastAsia="en-AU"/>
        </w:rPr>
        <w:t xml:space="preserve"> the WHS (NUL) Act.</w:t>
      </w:r>
    </w:p>
    <w:p w14:paraId="32712797" w14:textId="77777777" w:rsidR="007122C9" w:rsidRDefault="007122C9" w:rsidP="007122C9">
      <w:pPr>
        <w:rPr>
          <w:lang w:eastAsia="en-AU"/>
        </w:rPr>
      </w:pPr>
      <w:r>
        <w:rPr>
          <w:lang w:eastAsia="en-AU"/>
        </w:rPr>
        <w:t>A PCBU may be an individual, a body corporate, a government agency, a partnership or an unincorporated association.</w:t>
      </w:r>
    </w:p>
    <w:p w14:paraId="3A08A3E6" w14:textId="77777777" w:rsidR="007122C9" w:rsidRDefault="007122C9" w:rsidP="007122C9">
      <w:pPr>
        <w:rPr>
          <w:lang w:eastAsia="en-AU"/>
        </w:rPr>
      </w:pPr>
      <w:r>
        <w:rPr>
          <w:lang w:eastAsia="en-AU"/>
        </w:rPr>
        <w:t>A PCBU at the workplace where the quantity of Schedule 11 hazardous chemical exceeds the manifest quantity must notify the Regulator</w:t>
      </w:r>
      <w:r w:rsidRPr="005E1079">
        <w:rPr>
          <w:lang w:eastAsia="en-AU"/>
        </w:rPr>
        <w:t xml:space="preserve"> – </w:t>
      </w:r>
      <w:r>
        <w:rPr>
          <w:lang w:eastAsia="en-AU"/>
        </w:rPr>
        <w:t>Regulation 348(1).</w:t>
      </w:r>
    </w:p>
    <w:p w14:paraId="78847270" w14:textId="77777777" w:rsidR="007122C9" w:rsidRDefault="007122C9" w:rsidP="007122C9">
      <w:pPr>
        <w:pStyle w:val="Heading2"/>
      </w:pPr>
      <w:bookmarkStart w:id="16" w:name="_Toc313963247"/>
      <w:bookmarkStart w:id="17" w:name="_Toc524331103"/>
      <w:r>
        <w:t>When to notify</w:t>
      </w:r>
      <w:bookmarkEnd w:id="16"/>
      <w:bookmarkEnd w:id="17"/>
    </w:p>
    <w:p w14:paraId="0C272242" w14:textId="77777777" w:rsidR="007122C9" w:rsidRDefault="007122C9" w:rsidP="007122C9">
      <w:pPr>
        <w:pStyle w:val="Heading3"/>
        <w:rPr>
          <w:lang w:eastAsia="en-AU"/>
        </w:rPr>
      </w:pPr>
      <w:r>
        <w:rPr>
          <w:lang w:eastAsia="en-AU"/>
        </w:rPr>
        <w:t>Hazardous chemicals</w:t>
      </w:r>
    </w:p>
    <w:p w14:paraId="545A0349" w14:textId="77777777" w:rsidR="007122C9" w:rsidRDefault="007122C9" w:rsidP="007122C9">
      <w:pPr>
        <w:rPr>
          <w:lang w:eastAsia="en-AU"/>
        </w:rPr>
      </w:pPr>
      <w:r>
        <w:rPr>
          <w:lang w:eastAsia="en-AU"/>
        </w:rPr>
        <w:t>Notification to the Regulator is required:</w:t>
      </w:r>
    </w:p>
    <w:p w14:paraId="1C3CE209" w14:textId="77777777" w:rsidR="007122C9" w:rsidRDefault="007122C9" w:rsidP="007122C9">
      <w:pPr>
        <w:pStyle w:val="ListParagraph"/>
        <w:numPr>
          <w:ilvl w:val="0"/>
          <w:numId w:val="12"/>
        </w:numPr>
      </w:pPr>
      <w:r>
        <w:t>Immediately after it is known that the Schedule 11 hazardous chemical or Schedule 11 group of hazardous chemicals is to be first used, handled or stored or at least 14 days before that first use, handling or storage (whichever is earlier), and</w:t>
      </w:r>
    </w:p>
    <w:p w14:paraId="66B836EE" w14:textId="77777777" w:rsidR="007122C9" w:rsidRDefault="007122C9" w:rsidP="007122C9">
      <w:pPr>
        <w:pStyle w:val="ListParagraph"/>
        <w:numPr>
          <w:ilvl w:val="0"/>
          <w:numId w:val="12"/>
        </w:numPr>
      </w:pPr>
      <w:r>
        <w:t>Immediately after it is known that there will be a significant change in the risk of using, handling or storing the Schedule 11 hazardous chemical or group of Schedule 11 hazardous chemicals at the workplace or at least 14 days before that change (whichever is the earlier), and</w:t>
      </w:r>
    </w:p>
    <w:p w14:paraId="44202320" w14:textId="77777777" w:rsidR="007122C9" w:rsidRDefault="007122C9" w:rsidP="007122C9">
      <w:pPr>
        <w:pStyle w:val="ListParagraph"/>
        <w:numPr>
          <w:ilvl w:val="0"/>
          <w:numId w:val="12"/>
        </w:numPr>
      </w:pPr>
      <w:r>
        <w:t xml:space="preserve">As soon as practicable after the Schedule 11 hazardous chemical or group of Schedule 11 hazardous chemicals is no longer used, stored or handled or it is not likely to be used, handled or stored at the workplace in the future.  </w:t>
      </w:r>
    </w:p>
    <w:p w14:paraId="1FF05439" w14:textId="77777777" w:rsidR="007122C9" w:rsidRDefault="007122C9" w:rsidP="007122C9">
      <w:pPr>
        <w:rPr>
          <w:lang w:eastAsia="en-AU"/>
        </w:rPr>
      </w:pPr>
      <w:r>
        <w:rPr>
          <w:lang w:eastAsia="en-AU"/>
        </w:rPr>
        <w:lastRenderedPageBreak/>
        <w:t>Regulation 348(2) and 348 (4)</w:t>
      </w:r>
    </w:p>
    <w:p w14:paraId="61DBE120" w14:textId="77777777" w:rsidR="007122C9" w:rsidRDefault="007122C9" w:rsidP="007122C9">
      <w:pPr>
        <w:pStyle w:val="Heading3"/>
        <w:rPr>
          <w:lang w:eastAsia="en-AU"/>
        </w:rPr>
      </w:pPr>
      <w:r>
        <w:rPr>
          <w:lang w:eastAsia="en-AU"/>
        </w:rPr>
        <w:t>Abandonment of tank</w:t>
      </w:r>
    </w:p>
    <w:p w14:paraId="4B588156" w14:textId="77777777" w:rsidR="007122C9" w:rsidRDefault="007122C9" w:rsidP="007122C9">
      <w:pPr>
        <w:rPr>
          <w:lang w:eastAsia="en-AU"/>
        </w:rPr>
      </w:pPr>
      <w:r>
        <w:rPr>
          <w:lang w:eastAsia="en-AU"/>
        </w:rPr>
        <w:t>Notification to the Regulator is required as soon as practicable after the tank is abandoned Regulation 367(3)</w:t>
      </w:r>
    </w:p>
    <w:p w14:paraId="1D668B9F" w14:textId="77777777" w:rsidR="007122C9" w:rsidRDefault="007122C9" w:rsidP="007122C9">
      <w:pPr>
        <w:rPr>
          <w:lang w:eastAsia="en-AU"/>
        </w:rPr>
      </w:pPr>
      <w:r>
        <w:rPr>
          <w:lang w:eastAsia="en-AU"/>
        </w:rPr>
        <w:t>The tank is taken to be abandoned if:</w:t>
      </w:r>
    </w:p>
    <w:p w14:paraId="02072244" w14:textId="77777777" w:rsidR="007122C9" w:rsidRDefault="007122C9" w:rsidP="007122C9">
      <w:pPr>
        <w:pStyle w:val="ListParagraph"/>
        <w:numPr>
          <w:ilvl w:val="0"/>
          <w:numId w:val="13"/>
        </w:numPr>
      </w:pPr>
      <w:r>
        <w:t>The tank has not been used to store flammable gases or flammable liquids for 2 years, or</w:t>
      </w:r>
    </w:p>
    <w:p w14:paraId="66BA3376" w14:textId="77777777" w:rsidR="007122C9" w:rsidRDefault="007122C9" w:rsidP="007122C9">
      <w:pPr>
        <w:pStyle w:val="ListParagraph"/>
        <w:numPr>
          <w:ilvl w:val="0"/>
          <w:numId w:val="13"/>
        </w:numPr>
      </w:pPr>
      <w:r>
        <w:t>The person does not intend to use the tank to store flammable gases or flammable liquids again.</w:t>
      </w:r>
    </w:p>
    <w:p w14:paraId="10552EE2" w14:textId="77777777" w:rsidR="007122C9" w:rsidRPr="009D5B8B" w:rsidRDefault="007122C9" w:rsidP="007122C9">
      <w:pPr>
        <w:rPr>
          <w:szCs w:val="24"/>
          <w:lang w:eastAsia="en-AU"/>
        </w:rPr>
      </w:pPr>
      <w:r>
        <w:rPr>
          <w:lang w:eastAsia="en-AU"/>
        </w:rPr>
        <w:t>Regulation 367(2)</w:t>
      </w:r>
    </w:p>
    <w:p w14:paraId="2EF445A1" w14:textId="77777777" w:rsidR="007122C9" w:rsidRDefault="007122C9" w:rsidP="007122C9">
      <w:pPr>
        <w:rPr>
          <w:lang w:eastAsia="en-AU"/>
        </w:rPr>
      </w:pPr>
      <w:r>
        <w:rPr>
          <w:lang w:eastAsia="en-AU"/>
        </w:rPr>
        <w:t>Tank means a container, other than an intermediate bulk container (IBC) designed to use, handle or store hazardous chemicals in bulk, and include fittings, closures and other equipment attached to the container</w:t>
      </w:r>
      <w:r w:rsidRPr="005E1079">
        <w:rPr>
          <w:lang w:eastAsia="en-AU"/>
        </w:rPr>
        <w:t xml:space="preserve"> – </w:t>
      </w:r>
      <w:r>
        <w:rPr>
          <w:lang w:eastAsia="en-AU"/>
        </w:rPr>
        <w:t>Regulation 367(4).</w:t>
      </w:r>
    </w:p>
    <w:p w14:paraId="6C200DCC" w14:textId="77777777" w:rsidR="007122C9" w:rsidRDefault="007122C9" w:rsidP="007122C9">
      <w:pPr>
        <w:pStyle w:val="Heading1"/>
      </w:pPr>
      <w:bookmarkStart w:id="18" w:name="_Toc313963248"/>
      <w:bookmarkStart w:id="19" w:name="_Toc300674172"/>
      <w:bookmarkStart w:id="20" w:name="_Toc524331104"/>
      <w:r>
        <w:t>How to Notify</w:t>
      </w:r>
      <w:bookmarkEnd w:id="18"/>
      <w:bookmarkEnd w:id="19"/>
      <w:bookmarkEnd w:id="20"/>
    </w:p>
    <w:p w14:paraId="24BE42EC" w14:textId="77777777" w:rsidR="007122C9" w:rsidRDefault="007122C9" w:rsidP="007122C9">
      <w:r>
        <w:rPr>
          <w:lang w:eastAsia="en-AU"/>
        </w:rPr>
        <w:t xml:space="preserve">Notifications are required to be made to the Regulator in which the business or undertaking that uses handles or stores Schedule 11 hazardous substances in quantities that exceed manifest quantities is located or in which the tank to be abandoned is/was located. Notification forms are available on NT </w:t>
      </w:r>
      <w:proofErr w:type="spellStart"/>
      <w:r>
        <w:rPr>
          <w:lang w:eastAsia="en-AU"/>
        </w:rPr>
        <w:t>WorkSafe’s</w:t>
      </w:r>
      <w:proofErr w:type="spellEnd"/>
      <w:r>
        <w:rPr>
          <w:lang w:eastAsia="en-AU"/>
        </w:rPr>
        <w:t xml:space="preserve"> website </w:t>
      </w:r>
      <w:hyperlink r:id="rId11" w:history="1">
        <w:r w:rsidRPr="00A82E6F">
          <w:rPr>
            <w:rStyle w:val="Hyperlink"/>
          </w:rPr>
          <w:t>www.worksafe.nt.gov.au</w:t>
        </w:r>
      </w:hyperlink>
    </w:p>
    <w:p w14:paraId="321A1C4C" w14:textId="77777777" w:rsidR="007122C9" w:rsidRPr="00AE293B" w:rsidRDefault="007122C9" w:rsidP="007122C9">
      <w:pPr>
        <w:rPr>
          <w:lang w:eastAsia="en-AU"/>
        </w:rPr>
      </w:pPr>
      <w:r w:rsidRPr="009E2955">
        <w:rPr>
          <w:rFonts w:cs="Arial"/>
          <w:spacing w:val="-6"/>
        </w:rPr>
        <w:t>For information on completing a manifest and site plan refer to the Guide to Manifest Requirements for Hazardous Chemicals</w:t>
      </w:r>
      <w:r>
        <w:rPr>
          <w:rFonts w:cs="Arial"/>
          <w:spacing w:val="-6"/>
        </w:rPr>
        <w:t xml:space="preserve"> </w:t>
      </w:r>
      <w:r>
        <w:rPr>
          <w:lang w:eastAsia="en-AU"/>
        </w:rPr>
        <w:t xml:space="preserve">available on NT </w:t>
      </w:r>
      <w:proofErr w:type="spellStart"/>
      <w:r>
        <w:rPr>
          <w:lang w:eastAsia="en-AU"/>
        </w:rPr>
        <w:t>WorkSafe’s</w:t>
      </w:r>
      <w:proofErr w:type="spellEnd"/>
      <w:r>
        <w:rPr>
          <w:lang w:eastAsia="en-AU"/>
        </w:rPr>
        <w:t xml:space="preserve"> website </w:t>
      </w:r>
      <w:hyperlink r:id="rId12" w:history="1">
        <w:r w:rsidRPr="00A82E6F">
          <w:rPr>
            <w:rStyle w:val="Hyperlink"/>
          </w:rPr>
          <w:t>www.worksafe.nt.gov.au</w:t>
        </w:r>
      </w:hyperlink>
    </w:p>
    <w:p w14:paraId="2EBC4ACE" w14:textId="77777777" w:rsidR="007122C9" w:rsidRDefault="007122C9" w:rsidP="007122C9">
      <w:pPr>
        <w:pStyle w:val="Heading2"/>
      </w:pPr>
      <w:bookmarkStart w:id="21" w:name="_Toc313963249"/>
      <w:bookmarkStart w:id="22" w:name="_Toc300674173"/>
      <w:bookmarkStart w:id="23" w:name="_Toc524331105"/>
      <w:r>
        <w:t>Fees</w:t>
      </w:r>
      <w:bookmarkEnd w:id="21"/>
      <w:bookmarkEnd w:id="22"/>
      <w:bookmarkEnd w:id="23"/>
    </w:p>
    <w:p w14:paraId="088E8759" w14:textId="77777777" w:rsidR="007122C9" w:rsidRDefault="007122C9" w:rsidP="007122C9">
      <w:pPr>
        <w:rPr>
          <w:lang w:eastAsia="en-AU"/>
        </w:rPr>
      </w:pPr>
      <w:r>
        <w:rPr>
          <w:lang w:eastAsia="en-AU"/>
        </w:rPr>
        <w:t>There is no fee for a notification of Schedule 11 hazardous chemicals or for the notification of the abandonment of an underground, partially underground or fully mounded tank.</w:t>
      </w:r>
    </w:p>
    <w:p w14:paraId="5EEB11E2" w14:textId="77777777" w:rsidR="007122C9" w:rsidRDefault="007122C9" w:rsidP="007122C9">
      <w:pPr>
        <w:pStyle w:val="Heading1"/>
      </w:pPr>
      <w:bookmarkStart w:id="24" w:name="_Toc313963250"/>
      <w:bookmarkStart w:id="25" w:name="_Toc300674174"/>
      <w:bookmarkStart w:id="26" w:name="_Toc524331106"/>
      <w:r>
        <w:t>What information does the regulator require?</w:t>
      </w:r>
      <w:bookmarkEnd w:id="24"/>
      <w:bookmarkEnd w:id="25"/>
      <w:bookmarkEnd w:id="26"/>
    </w:p>
    <w:p w14:paraId="7B19FFE9" w14:textId="77777777" w:rsidR="007122C9" w:rsidRDefault="007122C9" w:rsidP="007122C9">
      <w:pPr>
        <w:pStyle w:val="Heading2"/>
        <w:rPr>
          <w:lang w:eastAsia="en-AU"/>
        </w:rPr>
      </w:pPr>
      <w:bookmarkStart w:id="27" w:name="_Toc524331107"/>
      <w:r>
        <w:rPr>
          <w:lang w:eastAsia="en-AU"/>
        </w:rPr>
        <w:t>Hazardous chemicals</w:t>
      </w:r>
      <w:bookmarkEnd w:id="27"/>
    </w:p>
    <w:p w14:paraId="2F7B94AB" w14:textId="77777777" w:rsidR="007122C9" w:rsidRDefault="007122C9" w:rsidP="007122C9">
      <w:pPr>
        <w:rPr>
          <w:lang w:eastAsia="en-AU"/>
        </w:rPr>
      </w:pPr>
      <w:r>
        <w:rPr>
          <w:lang w:eastAsia="en-AU"/>
        </w:rPr>
        <w:t>Written notification to the Regulator of Schedule 11 hazardous chemicals requires the following information to be provided:</w:t>
      </w:r>
    </w:p>
    <w:p w14:paraId="330323E3" w14:textId="77777777" w:rsidR="007122C9" w:rsidRDefault="007122C9" w:rsidP="007122C9">
      <w:pPr>
        <w:pStyle w:val="ListParagraph"/>
        <w:numPr>
          <w:ilvl w:val="0"/>
          <w:numId w:val="14"/>
        </w:numPr>
      </w:pPr>
      <w:r>
        <w:t>The name and contact details of the PCBU including business registration (trading) name (if applicable) and Australian Business number (ABN)</w:t>
      </w:r>
    </w:p>
    <w:p w14:paraId="1A84850C" w14:textId="77777777" w:rsidR="007122C9" w:rsidRDefault="007122C9" w:rsidP="007122C9">
      <w:pPr>
        <w:pStyle w:val="ListParagraph"/>
        <w:numPr>
          <w:ilvl w:val="0"/>
          <w:numId w:val="14"/>
        </w:numPr>
      </w:pPr>
      <w:r>
        <w:t>The type of business or undertaking conducted</w:t>
      </w:r>
    </w:p>
    <w:p w14:paraId="68F0DF12" w14:textId="77777777" w:rsidR="007122C9" w:rsidRDefault="007122C9" w:rsidP="007122C9">
      <w:pPr>
        <w:pStyle w:val="ListParagraph"/>
        <w:numPr>
          <w:ilvl w:val="0"/>
          <w:numId w:val="14"/>
        </w:numPr>
      </w:pPr>
      <w:r>
        <w:t>Address of the business or undertaking where the Schedule11 hazardous chemicals are used, handled or stored</w:t>
      </w:r>
    </w:p>
    <w:p w14:paraId="7BAA9AD7" w14:textId="77777777" w:rsidR="007122C9" w:rsidRDefault="007122C9" w:rsidP="007122C9">
      <w:pPr>
        <w:pStyle w:val="ListParagraph"/>
        <w:numPr>
          <w:ilvl w:val="0"/>
          <w:numId w:val="14"/>
        </w:numPr>
      </w:pPr>
      <w:r>
        <w:t xml:space="preserve">The activities of the business or undertaking that involve using, handling or storing the Schedule 11 hazardous chemicals </w:t>
      </w:r>
    </w:p>
    <w:p w14:paraId="5B031A1F" w14:textId="77777777" w:rsidR="007122C9" w:rsidRDefault="007122C9" w:rsidP="007122C9">
      <w:pPr>
        <w:pStyle w:val="ListParagraph"/>
        <w:numPr>
          <w:ilvl w:val="0"/>
          <w:numId w:val="14"/>
        </w:numPr>
      </w:pPr>
      <w:r>
        <w:t>If the workplace of the business or undertaking was previously occupied by someone else – the name of the previous occupier, if known</w:t>
      </w:r>
    </w:p>
    <w:p w14:paraId="210E0662" w14:textId="77777777" w:rsidR="007122C9" w:rsidRDefault="007122C9" w:rsidP="007122C9">
      <w:pPr>
        <w:pStyle w:val="ListParagraph"/>
        <w:numPr>
          <w:ilvl w:val="0"/>
          <w:numId w:val="14"/>
        </w:numPr>
      </w:pPr>
      <w:r>
        <w:t>Details of the Schedule 11 hazardous chemicals that are used, handled or stored</w:t>
      </w:r>
    </w:p>
    <w:p w14:paraId="32179F64" w14:textId="77777777" w:rsidR="007122C9" w:rsidRDefault="007122C9" w:rsidP="007122C9">
      <w:pPr>
        <w:pStyle w:val="ListParagraph"/>
        <w:numPr>
          <w:ilvl w:val="0"/>
          <w:numId w:val="14"/>
        </w:numPr>
      </w:pPr>
      <w:r>
        <w:t>Details of the storage facilities used to store the Schedule 11 hazardous chemicals</w:t>
      </w:r>
    </w:p>
    <w:p w14:paraId="4F4A853C" w14:textId="77777777" w:rsidR="007122C9" w:rsidRDefault="007122C9" w:rsidP="007122C9">
      <w:pPr>
        <w:pStyle w:val="ListParagraph"/>
        <w:numPr>
          <w:ilvl w:val="0"/>
          <w:numId w:val="14"/>
        </w:numPr>
      </w:pPr>
      <w:r>
        <w:t>The manifest that meets the requirements of Schedule 12 of the WHS Regulations.</w:t>
      </w:r>
    </w:p>
    <w:p w14:paraId="78E63AB1" w14:textId="77777777" w:rsidR="007122C9" w:rsidRDefault="007122C9" w:rsidP="007122C9">
      <w:pPr>
        <w:rPr>
          <w:lang w:eastAsia="en-AU"/>
        </w:rPr>
      </w:pPr>
      <w:r>
        <w:rPr>
          <w:lang w:eastAsia="en-AU"/>
        </w:rPr>
        <w:t>Regulation 348(3)</w:t>
      </w:r>
    </w:p>
    <w:p w14:paraId="336687B8" w14:textId="77777777" w:rsidR="007122C9" w:rsidRDefault="007122C9" w:rsidP="007122C9">
      <w:pPr>
        <w:pStyle w:val="Heading2"/>
        <w:rPr>
          <w:lang w:eastAsia="en-AU"/>
        </w:rPr>
      </w:pPr>
      <w:bookmarkStart w:id="28" w:name="_Toc524331108"/>
      <w:r>
        <w:rPr>
          <w:lang w:eastAsia="en-AU"/>
        </w:rPr>
        <w:lastRenderedPageBreak/>
        <w:t>Abandonment of tank</w:t>
      </w:r>
      <w:bookmarkEnd w:id="28"/>
    </w:p>
    <w:p w14:paraId="7F717B93" w14:textId="77777777" w:rsidR="007122C9" w:rsidRDefault="007122C9" w:rsidP="007122C9">
      <w:pPr>
        <w:keepNext/>
        <w:keepLines/>
        <w:spacing w:after="120"/>
        <w:rPr>
          <w:lang w:eastAsia="en-AU"/>
        </w:rPr>
      </w:pPr>
      <w:r>
        <w:rPr>
          <w:lang w:eastAsia="en-AU"/>
        </w:rPr>
        <w:t>The Regulator requires written notification of the abandonment of a tank to include the following information:</w:t>
      </w:r>
    </w:p>
    <w:p w14:paraId="3F9EBF85" w14:textId="77777777" w:rsidR="007122C9" w:rsidRDefault="007122C9" w:rsidP="007122C9">
      <w:pPr>
        <w:pStyle w:val="ListParagraph"/>
        <w:keepNext/>
        <w:keepLines/>
        <w:numPr>
          <w:ilvl w:val="0"/>
          <w:numId w:val="15"/>
        </w:numPr>
        <w:spacing w:after="120"/>
      </w:pPr>
      <w:r>
        <w:t>The name and contact details of the PCBU who controls or manages a tank including business registration (trading) name (if applicable) and Australian Business Number (ABN)</w:t>
      </w:r>
    </w:p>
    <w:p w14:paraId="48263ABE" w14:textId="77777777" w:rsidR="007122C9" w:rsidRDefault="007122C9" w:rsidP="007122C9">
      <w:pPr>
        <w:pStyle w:val="ListParagraph"/>
        <w:keepNext/>
        <w:keepLines/>
        <w:numPr>
          <w:ilvl w:val="0"/>
          <w:numId w:val="15"/>
        </w:numPr>
        <w:spacing w:after="120"/>
      </w:pPr>
      <w:r>
        <w:t>The address of the workplace on which the tank is/was located</w:t>
      </w:r>
    </w:p>
    <w:p w14:paraId="7DA8544D" w14:textId="77777777" w:rsidR="007122C9" w:rsidRDefault="007122C9" w:rsidP="007122C9">
      <w:pPr>
        <w:pStyle w:val="ListParagraph"/>
        <w:keepNext/>
        <w:keepLines/>
        <w:numPr>
          <w:ilvl w:val="0"/>
          <w:numId w:val="15"/>
        </w:numPr>
        <w:spacing w:after="120"/>
      </w:pPr>
      <w:r>
        <w:t>Details of the tank: identification or code number, type and capacity</w:t>
      </w:r>
    </w:p>
    <w:p w14:paraId="3DB7008A" w14:textId="77777777" w:rsidR="007122C9" w:rsidRDefault="007122C9" w:rsidP="007122C9">
      <w:pPr>
        <w:pStyle w:val="ListParagraph"/>
        <w:keepNext/>
        <w:keepLines/>
        <w:numPr>
          <w:ilvl w:val="0"/>
          <w:numId w:val="15"/>
        </w:numPr>
        <w:spacing w:after="120"/>
      </w:pPr>
      <w:r>
        <w:t>Date the tank was abandoned (DD/MM/YYYY)</w:t>
      </w:r>
    </w:p>
    <w:p w14:paraId="309C7DA2" w14:textId="77777777" w:rsidR="007122C9" w:rsidRDefault="007122C9" w:rsidP="007122C9">
      <w:pPr>
        <w:pStyle w:val="ListParagraph"/>
        <w:keepNext/>
        <w:keepLines/>
        <w:numPr>
          <w:ilvl w:val="0"/>
          <w:numId w:val="15"/>
        </w:numPr>
        <w:spacing w:after="120"/>
      </w:pPr>
      <w:r>
        <w:t>Class of Schedule 11 hazardous chemical that the tank contained</w:t>
      </w:r>
    </w:p>
    <w:p w14:paraId="7E8C7EF9" w14:textId="77777777" w:rsidR="007122C9" w:rsidRDefault="007122C9" w:rsidP="007122C9">
      <w:pPr>
        <w:pStyle w:val="ListParagraph"/>
        <w:keepNext/>
        <w:keepLines/>
        <w:numPr>
          <w:ilvl w:val="0"/>
          <w:numId w:val="15"/>
        </w:numPr>
        <w:spacing w:after="120"/>
        <w:rPr>
          <w:lang w:eastAsia="en-AU"/>
        </w:rPr>
      </w:pPr>
      <w:r>
        <w:t>Copy of the letter or certificate from a competent person/contractor confirming the method of abandonment was in accordance with AS 4976.</w:t>
      </w:r>
    </w:p>
    <w:p w14:paraId="6EF00F77" w14:textId="77777777" w:rsidR="007122C9" w:rsidRDefault="007122C9" w:rsidP="007122C9">
      <w:pPr>
        <w:pStyle w:val="Heading1"/>
      </w:pPr>
      <w:bookmarkStart w:id="29" w:name="_Toc313963251"/>
      <w:bookmarkStart w:id="30" w:name="_Toc300674175"/>
      <w:bookmarkStart w:id="31" w:name="_Toc524331109"/>
      <w:r>
        <w:t>Obligations</w:t>
      </w:r>
      <w:bookmarkEnd w:id="29"/>
      <w:bookmarkEnd w:id="30"/>
      <w:bookmarkEnd w:id="31"/>
    </w:p>
    <w:p w14:paraId="0A8E2F8F" w14:textId="77777777" w:rsidR="007122C9" w:rsidRDefault="007122C9" w:rsidP="007122C9">
      <w:pPr>
        <w:pStyle w:val="Heading2"/>
        <w:spacing w:before="120"/>
      </w:pPr>
      <w:bookmarkStart w:id="32" w:name="_Toc524331110"/>
      <w:r>
        <w:t>Manifest</w:t>
      </w:r>
      <w:bookmarkEnd w:id="32"/>
    </w:p>
    <w:p w14:paraId="0BC34703" w14:textId="77777777" w:rsidR="007122C9" w:rsidRDefault="007122C9" w:rsidP="007122C9">
      <w:pPr>
        <w:spacing w:after="120"/>
        <w:rPr>
          <w:lang w:eastAsia="en-AU"/>
        </w:rPr>
      </w:pPr>
      <w:r>
        <w:rPr>
          <w:lang w:eastAsia="en-AU"/>
        </w:rPr>
        <w:t>A PCBU at a workplace where the quantity of a Schedule 11 hazardous chemicals exceeds the manifest quantity are used stored or handled must:</w:t>
      </w:r>
    </w:p>
    <w:p w14:paraId="5D87EB32" w14:textId="77777777" w:rsidR="007122C9" w:rsidRDefault="007122C9" w:rsidP="007122C9">
      <w:pPr>
        <w:pStyle w:val="ListParagraph"/>
        <w:numPr>
          <w:ilvl w:val="0"/>
          <w:numId w:val="16"/>
        </w:numPr>
        <w:spacing w:after="120"/>
      </w:pPr>
      <w:r>
        <w:t>Prepare a manifest of hazardous chemicals, and</w:t>
      </w:r>
    </w:p>
    <w:p w14:paraId="4256C457" w14:textId="77777777" w:rsidR="007122C9" w:rsidRDefault="007122C9" w:rsidP="007122C9">
      <w:pPr>
        <w:pStyle w:val="ListParagraph"/>
        <w:numPr>
          <w:ilvl w:val="0"/>
          <w:numId w:val="16"/>
        </w:numPr>
        <w:spacing w:after="120"/>
      </w:pPr>
      <w:r>
        <w:t>Amend the manifest as soon as reasonably practicable if:</w:t>
      </w:r>
    </w:p>
    <w:p w14:paraId="15B71C05" w14:textId="77777777" w:rsidR="007122C9" w:rsidRDefault="007122C9" w:rsidP="007122C9">
      <w:pPr>
        <w:pStyle w:val="ListParagraph"/>
        <w:numPr>
          <w:ilvl w:val="0"/>
          <w:numId w:val="16"/>
        </w:numPr>
        <w:spacing w:after="120"/>
      </w:pPr>
      <w:r>
        <w:t>The type or quantity of hazardous chemical that must be listed in the manifest changes, or</w:t>
      </w:r>
    </w:p>
    <w:p w14:paraId="2CBA9A33" w14:textId="77777777" w:rsidR="007122C9" w:rsidRDefault="007122C9" w:rsidP="007122C9">
      <w:pPr>
        <w:pStyle w:val="ListParagraph"/>
        <w:numPr>
          <w:ilvl w:val="0"/>
          <w:numId w:val="16"/>
        </w:numPr>
        <w:spacing w:after="120"/>
      </w:pPr>
      <w:r>
        <w:t>There is a significant change in the information required to be recorded in the manifest.</w:t>
      </w:r>
    </w:p>
    <w:p w14:paraId="0DBA5AB7" w14:textId="77777777" w:rsidR="007122C9" w:rsidRDefault="007122C9" w:rsidP="007122C9">
      <w:pPr>
        <w:pStyle w:val="ListParagraph"/>
        <w:numPr>
          <w:ilvl w:val="0"/>
          <w:numId w:val="16"/>
        </w:numPr>
        <w:spacing w:after="120"/>
      </w:pPr>
      <w:r>
        <w:t>A manifest of Schedule 11 hazardous chemicals must comply with Schedule 12 of the WHS (NUL) Regulations.</w:t>
      </w:r>
    </w:p>
    <w:p w14:paraId="4136DD32" w14:textId="77777777" w:rsidR="007122C9" w:rsidRDefault="007122C9" w:rsidP="007122C9">
      <w:pPr>
        <w:pStyle w:val="ListParagraph"/>
        <w:numPr>
          <w:ilvl w:val="0"/>
          <w:numId w:val="16"/>
        </w:numPr>
        <w:spacing w:after="120"/>
      </w:pPr>
      <w:r>
        <w:t xml:space="preserve">The manifest must be kept in a place determined in agreement with the primary emergency service organisation and be available for inspection under the </w:t>
      </w:r>
      <w:r w:rsidRPr="009E2955">
        <w:rPr>
          <w:i/>
        </w:rPr>
        <w:t>WHS Act</w:t>
      </w:r>
      <w:r>
        <w:t xml:space="preserve"> and be readily accessible to the emergency services organisation.</w:t>
      </w:r>
    </w:p>
    <w:p w14:paraId="70D0A246" w14:textId="77777777" w:rsidR="007122C9" w:rsidRDefault="007122C9" w:rsidP="007122C9">
      <w:pPr>
        <w:spacing w:after="120"/>
        <w:rPr>
          <w:lang w:eastAsia="en-AU"/>
        </w:rPr>
      </w:pPr>
      <w:r>
        <w:rPr>
          <w:lang w:eastAsia="en-AU"/>
        </w:rPr>
        <w:t>Regulation 347</w:t>
      </w:r>
    </w:p>
    <w:p w14:paraId="0EEE52D7" w14:textId="77777777" w:rsidR="007122C9" w:rsidRDefault="007122C9" w:rsidP="007122C9">
      <w:pPr>
        <w:pStyle w:val="Heading1"/>
        <w:rPr>
          <w:lang w:eastAsia="en-AU"/>
        </w:rPr>
      </w:pPr>
      <w:bookmarkStart w:id="33" w:name="_Toc524331111"/>
      <w:r>
        <w:rPr>
          <w:lang w:eastAsia="en-AU"/>
        </w:rPr>
        <w:t>Further information requested by the Regulator</w:t>
      </w:r>
      <w:bookmarkEnd w:id="33"/>
    </w:p>
    <w:p w14:paraId="67ECBBE0" w14:textId="77777777" w:rsidR="007122C9" w:rsidRDefault="007122C9" w:rsidP="007122C9">
      <w:pPr>
        <w:spacing w:after="120"/>
        <w:rPr>
          <w:lang w:eastAsia="en-AU"/>
        </w:rPr>
      </w:pPr>
      <w:r>
        <w:rPr>
          <w:lang w:eastAsia="en-AU"/>
        </w:rPr>
        <w:t>The Regulator may request further information and the PCBU must ensure that information is provided</w:t>
      </w:r>
      <w:r w:rsidRPr="005E1079">
        <w:rPr>
          <w:lang w:eastAsia="en-AU"/>
        </w:rPr>
        <w:t xml:space="preserve"> – </w:t>
      </w:r>
      <w:r>
        <w:rPr>
          <w:lang w:eastAsia="en-AU"/>
        </w:rPr>
        <w:t>Regulation 348(6).</w:t>
      </w:r>
    </w:p>
    <w:p w14:paraId="43661AB6" w14:textId="77777777" w:rsidR="00CB4F6B" w:rsidRPr="00D535B1" w:rsidRDefault="00CB4F6B" w:rsidP="00CB4F6B">
      <w:pPr>
        <w:pStyle w:val="Heading1"/>
      </w:pPr>
      <w:bookmarkStart w:id="34" w:name="_Toc524095580"/>
      <w:bookmarkStart w:id="35" w:name="_Toc524331112"/>
      <w:r w:rsidRPr="00D535B1">
        <w:t>Further information</w:t>
      </w:r>
      <w:bookmarkEnd w:id="1"/>
      <w:bookmarkEnd w:id="2"/>
      <w:bookmarkEnd w:id="3"/>
      <w:bookmarkEnd w:id="4"/>
      <w:bookmarkEnd w:id="5"/>
      <w:bookmarkEnd w:id="34"/>
      <w:bookmarkEnd w:id="35"/>
    </w:p>
    <w:p w14:paraId="3F1B91BB" w14:textId="77777777" w:rsidR="00CB4F6B" w:rsidRPr="00E4605B" w:rsidRDefault="00CB4F6B" w:rsidP="00CB4F6B">
      <w:pPr>
        <w:pStyle w:val="Heading2"/>
        <w:spacing w:before="240"/>
      </w:pPr>
      <w:bookmarkStart w:id="36" w:name="_Toc313872097"/>
      <w:bookmarkStart w:id="37" w:name="_Toc414869366"/>
      <w:bookmarkStart w:id="38" w:name="_Toc414871078"/>
      <w:bookmarkStart w:id="39" w:name="_Toc414886184"/>
      <w:bookmarkStart w:id="40" w:name="_Toc524095442"/>
      <w:bookmarkStart w:id="41" w:name="_Toc524095581"/>
      <w:bookmarkStart w:id="42" w:name="_Toc524331113"/>
      <w:r w:rsidRPr="00E4605B">
        <w:t>Legislation</w:t>
      </w:r>
      <w:bookmarkEnd w:id="36"/>
      <w:bookmarkEnd w:id="37"/>
      <w:bookmarkEnd w:id="38"/>
      <w:bookmarkEnd w:id="39"/>
      <w:bookmarkEnd w:id="40"/>
      <w:bookmarkEnd w:id="41"/>
      <w:bookmarkEnd w:id="42"/>
    </w:p>
    <w:p w14:paraId="66D3DCB2" w14:textId="704FFE52" w:rsidR="00CB4F6B" w:rsidRDefault="00CB4F6B" w:rsidP="00CB4F6B">
      <w:pPr>
        <w:pStyle w:val="Heading2"/>
        <w:rPr>
          <w:rFonts w:eastAsiaTheme="minorHAnsi" w:cs="Arial"/>
          <w:b w:val="0"/>
          <w:bCs w:val="0"/>
          <w:color w:val="auto"/>
          <w:sz w:val="22"/>
          <w:szCs w:val="22"/>
        </w:rPr>
      </w:pPr>
      <w:bookmarkStart w:id="43" w:name="_Toc524095443"/>
      <w:bookmarkStart w:id="44" w:name="_Toc524095582"/>
      <w:bookmarkStart w:id="45" w:name="_Toc524331114"/>
      <w:r w:rsidRPr="00CB4F6B">
        <w:rPr>
          <w:rFonts w:eastAsiaTheme="minorHAnsi" w:cs="Arial"/>
          <w:b w:val="0"/>
          <w:bCs w:val="0"/>
          <w:i/>
          <w:color w:val="auto"/>
          <w:sz w:val="22"/>
          <w:szCs w:val="22"/>
        </w:rPr>
        <w:t>The Work Health and Safety (National Uniform Legislation) Act</w:t>
      </w:r>
      <w:r w:rsidRPr="00CB4F6B">
        <w:rPr>
          <w:rFonts w:eastAsiaTheme="minorHAnsi" w:cs="Arial"/>
          <w:b w:val="0"/>
          <w:bCs w:val="0"/>
          <w:color w:val="auto"/>
          <w:sz w:val="22"/>
          <w:szCs w:val="22"/>
        </w:rPr>
        <w:t xml:space="preserve"> and Work Health and Safety (National Uniform Legislation) Regulations are available on NT </w:t>
      </w:r>
      <w:proofErr w:type="spellStart"/>
      <w:r w:rsidRPr="00CB4F6B">
        <w:rPr>
          <w:rFonts w:eastAsiaTheme="minorHAnsi" w:cs="Arial"/>
          <w:b w:val="0"/>
          <w:bCs w:val="0"/>
          <w:color w:val="auto"/>
          <w:sz w:val="22"/>
          <w:szCs w:val="22"/>
        </w:rPr>
        <w:t>WorkSafe’s</w:t>
      </w:r>
      <w:proofErr w:type="spellEnd"/>
      <w:r w:rsidRPr="00CB4F6B">
        <w:rPr>
          <w:rFonts w:eastAsiaTheme="minorHAnsi" w:cs="Arial"/>
          <w:b w:val="0"/>
          <w:bCs w:val="0"/>
          <w:color w:val="auto"/>
          <w:sz w:val="22"/>
          <w:szCs w:val="22"/>
        </w:rPr>
        <w:t xml:space="preserve"> website </w:t>
      </w:r>
      <w:hyperlink r:id="rId13" w:history="1">
        <w:r w:rsidRPr="00A00331">
          <w:rPr>
            <w:rStyle w:val="Hyperlink"/>
            <w:rFonts w:eastAsiaTheme="minorHAnsi" w:cs="Arial"/>
            <w:b w:val="0"/>
            <w:bCs w:val="0"/>
            <w:sz w:val="22"/>
            <w:szCs w:val="22"/>
          </w:rPr>
          <w:t>www.legislation.nt.gov.au</w:t>
        </w:r>
      </w:hyperlink>
      <w:r>
        <w:rPr>
          <w:rFonts w:eastAsiaTheme="minorHAnsi" w:cs="Arial"/>
          <w:b w:val="0"/>
          <w:bCs w:val="0"/>
          <w:color w:val="auto"/>
          <w:sz w:val="22"/>
          <w:szCs w:val="22"/>
        </w:rPr>
        <w:t>.</w:t>
      </w:r>
      <w:bookmarkEnd w:id="43"/>
      <w:bookmarkEnd w:id="44"/>
      <w:bookmarkEnd w:id="45"/>
      <w:r>
        <w:rPr>
          <w:rFonts w:eastAsiaTheme="minorHAnsi" w:cs="Arial"/>
          <w:b w:val="0"/>
          <w:bCs w:val="0"/>
          <w:color w:val="auto"/>
          <w:sz w:val="22"/>
          <w:szCs w:val="22"/>
        </w:rPr>
        <w:t xml:space="preserve"> </w:t>
      </w:r>
      <w:r w:rsidRPr="00CB4F6B">
        <w:rPr>
          <w:rFonts w:eastAsiaTheme="minorHAnsi" w:cs="Arial"/>
          <w:b w:val="0"/>
          <w:bCs w:val="0"/>
          <w:color w:val="auto"/>
          <w:sz w:val="22"/>
          <w:szCs w:val="22"/>
        </w:rPr>
        <w:t xml:space="preserve"> </w:t>
      </w:r>
    </w:p>
    <w:p w14:paraId="3FFA759E" w14:textId="77777777" w:rsidR="00BD531E" w:rsidRDefault="00BD531E" w:rsidP="00BD531E"/>
    <w:p w14:paraId="067F12CE" w14:textId="77777777" w:rsidR="00BD531E" w:rsidRDefault="00BD531E" w:rsidP="00BD531E"/>
    <w:p w14:paraId="54012B99" w14:textId="77777777" w:rsidR="00BD531E" w:rsidRDefault="00BD531E" w:rsidP="00BD531E"/>
    <w:p w14:paraId="4BF2605A" w14:textId="77777777" w:rsidR="00BD531E" w:rsidRDefault="00BD531E" w:rsidP="00BD531E"/>
    <w:p w14:paraId="2C673962" w14:textId="77777777" w:rsidR="00BD531E" w:rsidRPr="00BD531E" w:rsidRDefault="00BD531E" w:rsidP="00BD531E"/>
    <w:p w14:paraId="401D29FD" w14:textId="68C6884E" w:rsidR="00F100E9" w:rsidRDefault="00F100E9" w:rsidP="00CB4F6B">
      <w:pPr>
        <w:pStyle w:val="Heading2"/>
      </w:pPr>
      <w:bookmarkStart w:id="46" w:name="_Toc524095444"/>
      <w:bookmarkStart w:id="47" w:name="_Toc524095583"/>
      <w:bookmarkStart w:id="48" w:name="_Toc524331115"/>
      <w:r w:rsidRPr="00CC2EE0">
        <w:lastRenderedPageBreak/>
        <w:t>List of jurisdiction contacts</w:t>
      </w:r>
      <w:bookmarkEnd w:id="6"/>
      <w:bookmarkEnd w:id="7"/>
      <w:bookmarkEnd w:id="8"/>
      <w:bookmarkEnd w:id="46"/>
      <w:bookmarkEnd w:id="47"/>
      <w:bookmarkEnd w:id="48"/>
    </w:p>
    <w:tbl>
      <w:tblPr>
        <w:tblStyle w:val="TableGrid"/>
        <w:tblW w:w="10738" w:type="dxa"/>
        <w:tblInd w:w="108" w:type="dxa"/>
        <w:tblLook w:val="04A0" w:firstRow="1" w:lastRow="0" w:firstColumn="1" w:lastColumn="0" w:noHBand="0" w:noVBand="1"/>
        <w:tblDescription w:val="4 column Table laying out the Jurisdiction, the name of the Regulator, the phone number contact and then the website address"/>
      </w:tblPr>
      <w:tblGrid>
        <w:gridCol w:w="2501"/>
        <w:gridCol w:w="2470"/>
        <w:gridCol w:w="2432"/>
        <w:gridCol w:w="3335"/>
      </w:tblGrid>
      <w:tr w:rsidR="00F100E9" w:rsidRPr="001053FA" w14:paraId="00FBC122" w14:textId="77777777" w:rsidTr="00A51BDA">
        <w:trPr>
          <w:tblHeader/>
        </w:trPr>
        <w:tc>
          <w:tcPr>
            <w:tcW w:w="2501" w:type="dxa"/>
            <w:shd w:val="clear" w:color="auto" w:fill="D9D9D9" w:themeFill="background1" w:themeFillShade="D9"/>
          </w:tcPr>
          <w:p w14:paraId="39E0A813" w14:textId="77777777" w:rsidR="00F100E9" w:rsidRPr="001053FA" w:rsidRDefault="00F100E9" w:rsidP="00A51BDA">
            <w:pPr>
              <w:spacing w:before="60" w:after="60"/>
              <w:rPr>
                <w:b/>
              </w:rPr>
            </w:pPr>
            <w:r w:rsidRPr="001053FA">
              <w:rPr>
                <w:b/>
                <w:lang w:eastAsia="en-AU"/>
              </w:rPr>
              <w:t>Jurisdiction</w:t>
            </w:r>
          </w:p>
        </w:tc>
        <w:tc>
          <w:tcPr>
            <w:tcW w:w="2470" w:type="dxa"/>
            <w:shd w:val="clear" w:color="auto" w:fill="D9D9D9" w:themeFill="background1" w:themeFillShade="D9"/>
          </w:tcPr>
          <w:p w14:paraId="7A9CC095" w14:textId="77777777" w:rsidR="00F100E9" w:rsidRPr="001053FA" w:rsidRDefault="00F100E9" w:rsidP="00A51BDA">
            <w:pPr>
              <w:spacing w:before="60" w:after="60"/>
              <w:rPr>
                <w:b/>
              </w:rPr>
            </w:pPr>
            <w:r>
              <w:rPr>
                <w:b/>
                <w:lang w:eastAsia="en-AU"/>
              </w:rPr>
              <w:t>Name of R</w:t>
            </w:r>
            <w:r w:rsidRPr="001053FA">
              <w:rPr>
                <w:b/>
                <w:lang w:eastAsia="en-AU"/>
              </w:rPr>
              <w:t>egulator</w:t>
            </w:r>
          </w:p>
        </w:tc>
        <w:tc>
          <w:tcPr>
            <w:tcW w:w="2432" w:type="dxa"/>
            <w:shd w:val="clear" w:color="auto" w:fill="D9D9D9" w:themeFill="background1" w:themeFillShade="D9"/>
          </w:tcPr>
          <w:p w14:paraId="6A95129B" w14:textId="77777777" w:rsidR="00F100E9" w:rsidRPr="001053FA" w:rsidRDefault="00F100E9" w:rsidP="00A51BDA">
            <w:pPr>
              <w:spacing w:before="60" w:after="60"/>
              <w:rPr>
                <w:b/>
              </w:rPr>
            </w:pPr>
            <w:r w:rsidRPr="001053FA">
              <w:rPr>
                <w:b/>
                <w:lang w:eastAsia="en-AU"/>
              </w:rPr>
              <w:t>Telephone</w:t>
            </w:r>
          </w:p>
        </w:tc>
        <w:tc>
          <w:tcPr>
            <w:tcW w:w="3335" w:type="dxa"/>
            <w:shd w:val="clear" w:color="auto" w:fill="D9D9D9" w:themeFill="background1" w:themeFillShade="D9"/>
          </w:tcPr>
          <w:p w14:paraId="73F7B586" w14:textId="77777777" w:rsidR="00F100E9" w:rsidRPr="001053FA" w:rsidRDefault="00F100E9" w:rsidP="00A51BDA">
            <w:pPr>
              <w:spacing w:before="60" w:after="60"/>
              <w:rPr>
                <w:b/>
              </w:rPr>
            </w:pPr>
            <w:r w:rsidRPr="001053FA">
              <w:rPr>
                <w:b/>
                <w:lang w:eastAsia="en-AU"/>
              </w:rPr>
              <w:t>Web site</w:t>
            </w:r>
          </w:p>
        </w:tc>
      </w:tr>
      <w:tr w:rsidR="00F100E9" w:rsidRPr="001053FA" w14:paraId="17DF8229" w14:textId="77777777" w:rsidTr="00A51BDA">
        <w:tc>
          <w:tcPr>
            <w:tcW w:w="2501" w:type="dxa"/>
          </w:tcPr>
          <w:p w14:paraId="552CD4BF" w14:textId="77777777" w:rsidR="00F100E9" w:rsidRPr="001053FA" w:rsidRDefault="00F100E9" w:rsidP="00A51BDA">
            <w:pPr>
              <w:spacing w:before="60" w:after="60"/>
            </w:pPr>
            <w:r w:rsidRPr="00B8492F">
              <w:rPr>
                <w:lang w:eastAsia="en-AU"/>
              </w:rPr>
              <w:t xml:space="preserve">Commonwealth </w:t>
            </w:r>
          </w:p>
        </w:tc>
        <w:tc>
          <w:tcPr>
            <w:tcW w:w="2470" w:type="dxa"/>
          </w:tcPr>
          <w:p w14:paraId="33EA8159" w14:textId="77777777" w:rsidR="00F100E9" w:rsidRPr="001053FA" w:rsidRDefault="00F100E9" w:rsidP="00A51BDA">
            <w:pPr>
              <w:spacing w:before="60" w:after="60"/>
            </w:pPr>
            <w:proofErr w:type="spellStart"/>
            <w:r w:rsidRPr="00B8492F">
              <w:t>Comcare</w:t>
            </w:r>
            <w:proofErr w:type="spellEnd"/>
          </w:p>
        </w:tc>
        <w:tc>
          <w:tcPr>
            <w:tcW w:w="2432" w:type="dxa"/>
          </w:tcPr>
          <w:p w14:paraId="46711018" w14:textId="77777777" w:rsidR="00F100E9" w:rsidRPr="001053FA" w:rsidRDefault="00F100E9" w:rsidP="00A51BDA">
            <w:pPr>
              <w:spacing w:before="60" w:after="60"/>
            </w:pPr>
            <w:r w:rsidRPr="00B8492F">
              <w:t>1300 366 979</w:t>
            </w:r>
          </w:p>
        </w:tc>
        <w:tc>
          <w:tcPr>
            <w:tcW w:w="3335" w:type="dxa"/>
          </w:tcPr>
          <w:p w14:paraId="7A833D9C" w14:textId="77777777" w:rsidR="00F100E9" w:rsidRPr="001053FA" w:rsidRDefault="00F100E9" w:rsidP="00A51BDA">
            <w:pPr>
              <w:spacing w:before="60" w:after="60"/>
            </w:pPr>
            <w:r w:rsidRPr="001053FA">
              <w:rPr>
                <w:szCs w:val="20"/>
              </w:rPr>
              <w:t>www.comcare.gov.au</w:t>
            </w:r>
            <w:r>
              <w:t xml:space="preserve"> </w:t>
            </w:r>
          </w:p>
        </w:tc>
      </w:tr>
      <w:tr w:rsidR="00F100E9" w:rsidRPr="001053FA" w14:paraId="7239E1AA" w14:textId="77777777" w:rsidTr="00A51BDA">
        <w:tc>
          <w:tcPr>
            <w:tcW w:w="2501" w:type="dxa"/>
          </w:tcPr>
          <w:p w14:paraId="7491155D" w14:textId="77777777" w:rsidR="00F100E9" w:rsidRPr="001053FA" w:rsidRDefault="00F100E9" w:rsidP="00A51BDA">
            <w:pPr>
              <w:spacing w:before="60" w:after="60"/>
            </w:pPr>
            <w:r w:rsidRPr="00B8492F">
              <w:rPr>
                <w:lang w:eastAsia="en-AU"/>
              </w:rPr>
              <w:t>New South Wales</w:t>
            </w:r>
          </w:p>
        </w:tc>
        <w:tc>
          <w:tcPr>
            <w:tcW w:w="2470" w:type="dxa"/>
          </w:tcPr>
          <w:p w14:paraId="7CED9302" w14:textId="77777777" w:rsidR="00F100E9" w:rsidRPr="001053FA" w:rsidRDefault="00F100E9" w:rsidP="00A51BDA">
            <w:pPr>
              <w:spacing w:before="60" w:after="60"/>
            </w:pPr>
            <w:r w:rsidRPr="00B8492F">
              <w:t>WorkCover NSW</w:t>
            </w:r>
          </w:p>
        </w:tc>
        <w:tc>
          <w:tcPr>
            <w:tcW w:w="2432" w:type="dxa"/>
          </w:tcPr>
          <w:p w14:paraId="412DA83E" w14:textId="77777777" w:rsidR="00F100E9" w:rsidRPr="001053FA" w:rsidRDefault="00F100E9" w:rsidP="00A51BDA">
            <w:pPr>
              <w:spacing w:before="60" w:after="60"/>
            </w:pPr>
            <w:r w:rsidRPr="00B8492F">
              <w:t>13 10 50</w:t>
            </w:r>
          </w:p>
        </w:tc>
        <w:tc>
          <w:tcPr>
            <w:tcW w:w="3335" w:type="dxa"/>
          </w:tcPr>
          <w:p w14:paraId="0F9C1763" w14:textId="77777777" w:rsidR="00F100E9" w:rsidRPr="001053FA" w:rsidRDefault="00F100E9" w:rsidP="00A51BDA">
            <w:pPr>
              <w:spacing w:before="60" w:after="60"/>
            </w:pPr>
            <w:r w:rsidRPr="001053FA">
              <w:rPr>
                <w:szCs w:val="20"/>
              </w:rPr>
              <w:t>www.workcover.nsw.gov.au</w:t>
            </w:r>
          </w:p>
        </w:tc>
      </w:tr>
      <w:tr w:rsidR="00F100E9" w:rsidRPr="001053FA" w14:paraId="546C38EF" w14:textId="77777777" w:rsidTr="00A51BDA">
        <w:tc>
          <w:tcPr>
            <w:tcW w:w="2501" w:type="dxa"/>
          </w:tcPr>
          <w:p w14:paraId="31933982" w14:textId="77777777" w:rsidR="00F100E9" w:rsidRPr="001053FA" w:rsidRDefault="00F100E9" w:rsidP="00A51BDA">
            <w:pPr>
              <w:spacing w:before="60" w:after="60"/>
            </w:pPr>
            <w:r w:rsidRPr="00B8492F">
              <w:rPr>
                <w:lang w:eastAsia="en-AU"/>
              </w:rPr>
              <w:t>Victoria</w:t>
            </w:r>
          </w:p>
        </w:tc>
        <w:tc>
          <w:tcPr>
            <w:tcW w:w="2470" w:type="dxa"/>
          </w:tcPr>
          <w:p w14:paraId="781208B7" w14:textId="77777777" w:rsidR="00F100E9" w:rsidRPr="001053FA" w:rsidRDefault="00F100E9" w:rsidP="00A51BDA">
            <w:pPr>
              <w:spacing w:before="60" w:after="60"/>
            </w:pPr>
            <w:r w:rsidRPr="00B8492F">
              <w:t>WorkSafe Victoria</w:t>
            </w:r>
          </w:p>
        </w:tc>
        <w:tc>
          <w:tcPr>
            <w:tcW w:w="2432" w:type="dxa"/>
          </w:tcPr>
          <w:p w14:paraId="66E5422C" w14:textId="77777777" w:rsidR="00F100E9" w:rsidRDefault="00F100E9" w:rsidP="00A51BDA">
            <w:pPr>
              <w:spacing w:before="60" w:after="60"/>
            </w:pPr>
            <w:r w:rsidRPr="00B8492F">
              <w:t>1800 136 089</w:t>
            </w:r>
            <w:r>
              <w:t xml:space="preserve"> or</w:t>
            </w:r>
          </w:p>
          <w:p w14:paraId="04288F32" w14:textId="77777777" w:rsidR="00F100E9" w:rsidRPr="001053FA" w:rsidRDefault="00F100E9" w:rsidP="00A51BDA">
            <w:pPr>
              <w:spacing w:before="60" w:after="60"/>
            </w:pPr>
            <w:r>
              <w:t>(03) 9641 1444</w:t>
            </w:r>
          </w:p>
        </w:tc>
        <w:tc>
          <w:tcPr>
            <w:tcW w:w="3335" w:type="dxa"/>
          </w:tcPr>
          <w:p w14:paraId="230A1249" w14:textId="77777777" w:rsidR="00F100E9" w:rsidRPr="001053FA" w:rsidRDefault="00F100E9" w:rsidP="00A51BDA">
            <w:pPr>
              <w:spacing w:before="60" w:after="60"/>
            </w:pPr>
            <w:r w:rsidRPr="001053FA">
              <w:rPr>
                <w:szCs w:val="20"/>
              </w:rPr>
              <w:t>www.worksafe.vic.gov.au</w:t>
            </w:r>
          </w:p>
        </w:tc>
      </w:tr>
      <w:tr w:rsidR="00F100E9" w:rsidRPr="001053FA" w14:paraId="43EDF66B" w14:textId="77777777" w:rsidTr="00A51BDA">
        <w:tc>
          <w:tcPr>
            <w:tcW w:w="2501" w:type="dxa"/>
          </w:tcPr>
          <w:p w14:paraId="56D10E6D" w14:textId="77777777" w:rsidR="00F100E9" w:rsidRPr="001053FA" w:rsidRDefault="00F100E9" w:rsidP="00A51BDA">
            <w:pPr>
              <w:spacing w:before="60" w:after="60"/>
            </w:pPr>
            <w:r w:rsidRPr="00B8492F">
              <w:rPr>
                <w:lang w:eastAsia="en-AU"/>
              </w:rPr>
              <w:t>Queensland</w:t>
            </w:r>
          </w:p>
        </w:tc>
        <w:tc>
          <w:tcPr>
            <w:tcW w:w="2470" w:type="dxa"/>
          </w:tcPr>
          <w:p w14:paraId="2D235121" w14:textId="23FAC642" w:rsidR="00F100E9" w:rsidRPr="001053FA" w:rsidRDefault="00CB4F6B" w:rsidP="00A51BDA">
            <w:pPr>
              <w:spacing w:before="60" w:after="60"/>
            </w:pPr>
            <w:r>
              <w:t>WorkCover QLD</w:t>
            </w:r>
          </w:p>
        </w:tc>
        <w:tc>
          <w:tcPr>
            <w:tcW w:w="2432" w:type="dxa"/>
          </w:tcPr>
          <w:p w14:paraId="3EEC172F" w14:textId="77777777" w:rsidR="00F100E9" w:rsidRPr="001053FA" w:rsidRDefault="00F100E9" w:rsidP="00A51BDA">
            <w:pPr>
              <w:spacing w:before="60" w:after="60"/>
            </w:pPr>
            <w:r w:rsidRPr="00B8492F">
              <w:t xml:space="preserve">1300 </w:t>
            </w:r>
            <w:r>
              <w:t>362 128</w:t>
            </w:r>
          </w:p>
        </w:tc>
        <w:tc>
          <w:tcPr>
            <w:tcW w:w="3335" w:type="dxa"/>
          </w:tcPr>
          <w:p w14:paraId="024248C2" w14:textId="77777777" w:rsidR="00F100E9" w:rsidRPr="001053FA" w:rsidRDefault="00F100E9" w:rsidP="00A51BDA">
            <w:pPr>
              <w:spacing w:before="60" w:after="60"/>
            </w:pPr>
            <w:r w:rsidRPr="001053FA">
              <w:rPr>
                <w:szCs w:val="20"/>
              </w:rPr>
              <w:t>www.</w:t>
            </w:r>
            <w:r>
              <w:rPr>
                <w:szCs w:val="20"/>
              </w:rPr>
              <w:t>worksafe</w:t>
            </w:r>
            <w:r w:rsidRPr="001053FA">
              <w:rPr>
                <w:szCs w:val="20"/>
              </w:rPr>
              <w:t>.qld.gov.au</w:t>
            </w:r>
          </w:p>
        </w:tc>
      </w:tr>
      <w:tr w:rsidR="00F100E9" w:rsidRPr="001053FA" w14:paraId="14E02693" w14:textId="77777777" w:rsidTr="00A51BDA">
        <w:tc>
          <w:tcPr>
            <w:tcW w:w="2501" w:type="dxa"/>
          </w:tcPr>
          <w:p w14:paraId="1B134CB4" w14:textId="77777777" w:rsidR="00F100E9" w:rsidRPr="001053FA" w:rsidRDefault="00F100E9" w:rsidP="00A51BDA">
            <w:pPr>
              <w:spacing w:before="60" w:after="60"/>
            </w:pPr>
            <w:r w:rsidRPr="00B8492F">
              <w:rPr>
                <w:lang w:eastAsia="en-AU"/>
              </w:rPr>
              <w:t>South Australia</w:t>
            </w:r>
          </w:p>
        </w:tc>
        <w:tc>
          <w:tcPr>
            <w:tcW w:w="2470" w:type="dxa"/>
          </w:tcPr>
          <w:p w14:paraId="4E725A19" w14:textId="77777777" w:rsidR="00F100E9" w:rsidRPr="001053FA" w:rsidRDefault="00F100E9" w:rsidP="00A51BDA">
            <w:pPr>
              <w:spacing w:before="60" w:after="60"/>
            </w:pPr>
            <w:proofErr w:type="spellStart"/>
            <w:r w:rsidRPr="00B8492F">
              <w:t>SafeWork</w:t>
            </w:r>
            <w:proofErr w:type="spellEnd"/>
            <w:r w:rsidRPr="00B8492F">
              <w:t xml:space="preserve"> SA</w:t>
            </w:r>
          </w:p>
        </w:tc>
        <w:tc>
          <w:tcPr>
            <w:tcW w:w="2432" w:type="dxa"/>
          </w:tcPr>
          <w:p w14:paraId="13F76094" w14:textId="77777777" w:rsidR="00F100E9" w:rsidRPr="001053FA" w:rsidRDefault="00F100E9" w:rsidP="00A51BDA">
            <w:pPr>
              <w:spacing w:before="60" w:after="60"/>
            </w:pPr>
            <w:r w:rsidRPr="00B8492F">
              <w:t>1300 365 255</w:t>
            </w:r>
          </w:p>
        </w:tc>
        <w:tc>
          <w:tcPr>
            <w:tcW w:w="3335" w:type="dxa"/>
          </w:tcPr>
          <w:p w14:paraId="1440CC09" w14:textId="77777777" w:rsidR="00F100E9" w:rsidRPr="001053FA" w:rsidRDefault="00F100E9" w:rsidP="00A51BDA">
            <w:pPr>
              <w:spacing w:before="60" w:after="60"/>
            </w:pPr>
            <w:r w:rsidRPr="001053FA">
              <w:rPr>
                <w:szCs w:val="20"/>
              </w:rPr>
              <w:t>www.safework.sa.gov.au</w:t>
            </w:r>
          </w:p>
        </w:tc>
      </w:tr>
      <w:tr w:rsidR="00F100E9" w:rsidRPr="001053FA" w14:paraId="4C0A5D8B" w14:textId="77777777" w:rsidTr="00A51BDA">
        <w:tc>
          <w:tcPr>
            <w:tcW w:w="2501" w:type="dxa"/>
          </w:tcPr>
          <w:p w14:paraId="76349CCE" w14:textId="77777777" w:rsidR="00F100E9" w:rsidRPr="001053FA" w:rsidRDefault="00F100E9" w:rsidP="00A51BDA">
            <w:pPr>
              <w:spacing w:before="60" w:after="60"/>
            </w:pPr>
            <w:r w:rsidRPr="00B8492F">
              <w:rPr>
                <w:lang w:eastAsia="en-AU"/>
              </w:rPr>
              <w:t>Western Australia</w:t>
            </w:r>
          </w:p>
        </w:tc>
        <w:tc>
          <w:tcPr>
            <w:tcW w:w="2470" w:type="dxa"/>
          </w:tcPr>
          <w:p w14:paraId="5B708F02" w14:textId="77777777" w:rsidR="00F100E9" w:rsidRPr="001053FA" w:rsidRDefault="00F100E9" w:rsidP="00A51BDA">
            <w:pPr>
              <w:spacing w:before="60" w:after="60"/>
            </w:pPr>
            <w:r w:rsidRPr="00B8492F">
              <w:t>WorkSafe WA</w:t>
            </w:r>
          </w:p>
        </w:tc>
        <w:tc>
          <w:tcPr>
            <w:tcW w:w="2432" w:type="dxa"/>
          </w:tcPr>
          <w:p w14:paraId="082B2974" w14:textId="77777777" w:rsidR="00F100E9" w:rsidRPr="001053FA" w:rsidRDefault="00F100E9" w:rsidP="00A51BDA">
            <w:pPr>
              <w:spacing w:before="60" w:after="60"/>
            </w:pPr>
            <w:r w:rsidRPr="00B8492F">
              <w:t>1300 307 877</w:t>
            </w:r>
          </w:p>
        </w:tc>
        <w:tc>
          <w:tcPr>
            <w:tcW w:w="3335" w:type="dxa"/>
          </w:tcPr>
          <w:p w14:paraId="7AE205ED" w14:textId="77777777" w:rsidR="00F100E9" w:rsidRPr="001053FA" w:rsidRDefault="00F100E9" w:rsidP="00A51BDA">
            <w:pPr>
              <w:spacing w:before="60" w:after="60"/>
            </w:pPr>
            <w:r w:rsidRPr="001053FA">
              <w:rPr>
                <w:szCs w:val="20"/>
              </w:rPr>
              <w:t>www.worksafe.wa.gov.au</w:t>
            </w:r>
          </w:p>
        </w:tc>
      </w:tr>
      <w:tr w:rsidR="00F100E9" w:rsidRPr="001053FA" w14:paraId="0379105F" w14:textId="77777777" w:rsidTr="00A51BDA">
        <w:tc>
          <w:tcPr>
            <w:tcW w:w="2501" w:type="dxa"/>
          </w:tcPr>
          <w:p w14:paraId="44B36E7E" w14:textId="77777777" w:rsidR="00F100E9" w:rsidRPr="001053FA" w:rsidRDefault="00F100E9" w:rsidP="00A51BDA">
            <w:pPr>
              <w:spacing w:before="60" w:after="60"/>
            </w:pPr>
            <w:r w:rsidRPr="00B8492F">
              <w:rPr>
                <w:lang w:eastAsia="en-AU"/>
              </w:rPr>
              <w:t>Australian Capital Territory</w:t>
            </w:r>
          </w:p>
        </w:tc>
        <w:tc>
          <w:tcPr>
            <w:tcW w:w="2470" w:type="dxa"/>
          </w:tcPr>
          <w:p w14:paraId="32A2BF2D" w14:textId="77777777" w:rsidR="00F100E9" w:rsidRPr="001053FA" w:rsidRDefault="00F100E9" w:rsidP="00A51BDA">
            <w:pPr>
              <w:spacing w:before="60" w:after="60"/>
            </w:pPr>
            <w:r w:rsidRPr="00B8492F">
              <w:t>WorkSafe ACT</w:t>
            </w:r>
          </w:p>
        </w:tc>
        <w:tc>
          <w:tcPr>
            <w:tcW w:w="2432" w:type="dxa"/>
          </w:tcPr>
          <w:p w14:paraId="288CEE4D" w14:textId="77777777" w:rsidR="00F100E9" w:rsidRPr="001053FA" w:rsidRDefault="00F100E9" w:rsidP="00A51BDA">
            <w:pPr>
              <w:spacing w:before="60" w:after="60"/>
            </w:pPr>
            <w:r w:rsidRPr="00B8492F">
              <w:t>(02) 6207 3000</w:t>
            </w:r>
          </w:p>
        </w:tc>
        <w:tc>
          <w:tcPr>
            <w:tcW w:w="3335" w:type="dxa"/>
          </w:tcPr>
          <w:p w14:paraId="419EC85B" w14:textId="77777777" w:rsidR="00F100E9" w:rsidRPr="001053FA" w:rsidRDefault="00F100E9" w:rsidP="00A51BDA">
            <w:pPr>
              <w:spacing w:before="60" w:after="60"/>
            </w:pPr>
            <w:r w:rsidRPr="001053FA">
              <w:rPr>
                <w:szCs w:val="20"/>
              </w:rPr>
              <w:t>www.worksafe.act.gov.au</w:t>
            </w:r>
          </w:p>
        </w:tc>
      </w:tr>
      <w:tr w:rsidR="00F100E9" w:rsidRPr="001053FA" w14:paraId="08822951" w14:textId="77777777" w:rsidTr="00A51BDA">
        <w:tc>
          <w:tcPr>
            <w:tcW w:w="2501" w:type="dxa"/>
          </w:tcPr>
          <w:p w14:paraId="5675C0A9" w14:textId="77777777" w:rsidR="00F100E9" w:rsidRPr="001053FA" w:rsidRDefault="00F100E9" w:rsidP="00A51BDA">
            <w:pPr>
              <w:spacing w:before="60" w:after="60"/>
            </w:pPr>
            <w:r w:rsidRPr="00B8492F">
              <w:rPr>
                <w:lang w:eastAsia="en-AU"/>
              </w:rPr>
              <w:t>Tasmania</w:t>
            </w:r>
          </w:p>
        </w:tc>
        <w:tc>
          <w:tcPr>
            <w:tcW w:w="2470" w:type="dxa"/>
          </w:tcPr>
          <w:p w14:paraId="7E6CFD6A" w14:textId="77777777" w:rsidR="00F100E9" w:rsidRPr="001053FA" w:rsidRDefault="00F100E9" w:rsidP="00A51BDA">
            <w:pPr>
              <w:spacing w:before="60" w:after="60"/>
            </w:pPr>
            <w:r>
              <w:t>WorkSafe Tasmania</w:t>
            </w:r>
          </w:p>
        </w:tc>
        <w:tc>
          <w:tcPr>
            <w:tcW w:w="2432" w:type="dxa"/>
          </w:tcPr>
          <w:p w14:paraId="3642CC89" w14:textId="77777777" w:rsidR="00F100E9" w:rsidRPr="001053FA" w:rsidRDefault="00F100E9" w:rsidP="00A51BDA">
            <w:pPr>
              <w:spacing w:before="60" w:after="60"/>
            </w:pPr>
            <w:r w:rsidRPr="00B8492F">
              <w:t xml:space="preserve">1300 366 322 </w:t>
            </w:r>
            <w:r>
              <w:br/>
            </w:r>
            <w:r w:rsidRPr="00B8492F">
              <w:t>(Inside Tasmania)</w:t>
            </w:r>
            <w:r w:rsidRPr="00B8492F">
              <w:br/>
              <w:t xml:space="preserve">(03) </w:t>
            </w:r>
            <w:r>
              <w:t>6166 4600</w:t>
            </w:r>
            <w:r w:rsidRPr="00B8492F">
              <w:t xml:space="preserve"> (Outside Tasmania)</w:t>
            </w:r>
          </w:p>
        </w:tc>
        <w:tc>
          <w:tcPr>
            <w:tcW w:w="3335" w:type="dxa"/>
          </w:tcPr>
          <w:p w14:paraId="3BAD7584" w14:textId="77777777" w:rsidR="00F100E9" w:rsidRPr="001053FA" w:rsidRDefault="00F100E9" w:rsidP="00A51BDA">
            <w:pPr>
              <w:spacing w:before="60" w:after="60"/>
            </w:pPr>
            <w:r w:rsidRPr="001053FA">
              <w:rPr>
                <w:szCs w:val="20"/>
              </w:rPr>
              <w:t>www.w</w:t>
            </w:r>
            <w:r>
              <w:rPr>
                <w:szCs w:val="20"/>
              </w:rPr>
              <w:t>orksafe</w:t>
            </w:r>
            <w:r w:rsidRPr="001053FA">
              <w:rPr>
                <w:szCs w:val="20"/>
              </w:rPr>
              <w:t>.tas.gov.au</w:t>
            </w:r>
          </w:p>
        </w:tc>
      </w:tr>
    </w:tbl>
    <w:p w14:paraId="52A66982" w14:textId="76249787" w:rsidR="00A06A1E" w:rsidRPr="00FF5AE6" w:rsidRDefault="00A06A1E" w:rsidP="00E45467">
      <w:pPr>
        <w:pStyle w:val="Heading1"/>
        <w:spacing w:before="240"/>
      </w:pPr>
      <w:bookmarkStart w:id="49" w:name="_Toc524092046"/>
      <w:bookmarkStart w:id="50" w:name="_Toc524095445"/>
      <w:bookmarkStart w:id="51" w:name="_Toc524095584"/>
      <w:bookmarkStart w:id="52" w:name="_Toc524331116"/>
      <w:r w:rsidRPr="00FF5AE6">
        <w:t>Contact us</w:t>
      </w:r>
      <w:bookmarkEnd w:id="49"/>
      <w:bookmarkEnd w:id="50"/>
      <w:bookmarkEnd w:id="51"/>
      <w:bookmarkEnd w:id="52"/>
    </w:p>
    <w:p w14:paraId="4F11E6A5" w14:textId="7A9B333F" w:rsidR="003478B9" w:rsidRDefault="00A06A1E" w:rsidP="00A06A1E">
      <w:pPr>
        <w:rPr>
          <w:rStyle w:val="Hyperlink"/>
        </w:rPr>
      </w:pPr>
      <w:r>
        <w:t xml:space="preserve">For further information please contact us on 1800 019 115, via email at </w:t>
      </w:r>
      <w:hyperlink r:id="rId14" w:history="1">
        <w:r w:rsidRPr="001D037A">
          <w:rPr>
            <w:rStyle w:val="Hyperlink"/>
          </w:rPr>
          <w:t>ntworksafe@nt.gov.au</w:t>
        </w:r>
      </w:hyperlink>
      <w:r>
        <w:t xml:space="preserve"> or go to the NT WorkSafe website at </w:t>
      </w:r>
      <w:hyperlink r:id="rId15" w:history="1">
        <w:r w:rsidR="003478B9" w:rsidRPr="0048326C">
          <w:rPr>
            <w:rStyle w:val="Hyperlink"/>
          </w:rPr>
          <w:t>www.worksafe.nt.gov.au</w:t>
        </w:r>
      </w:hyperlink>
      <w:r w:rsidR="00740C6B">
        <w:rPr>
          <w:rStyle w:val="Hyperlink"/>
        </w:rPr>
        <w:t>.</w:t>
      </w:r>
    </w:p>
    <w:p w14:paraId="08FCD5DA" w14:textId="77777777" w:rsidR="00F100E9" w:rsidRDefault="00F100E9" w:rsidP="00740C6B">
      <w:pPr>
        <w:rPr>
          <w:b/>
          <w:sz w:val="16"/>
          <w:szCs w:val="16"/>
        </w:rPr>
      </w:pPr>
    </w:p>
    <w:p w14:paraId="66A4C4EA" w14:textId="77777777" w:rsidR="00F100E9" w:rsidRDefault="00F100E9" w:rsidP="00740C6B">
      <w:pPr>
        <w:rPr>
          <w:b/>
          <w:sz w:val="16"/>
          <w:szCs w:val="16"/>
        </w:rPr>
      </w:pPr>
    </w:p>
    <w:p w14:paraId="5A23321A" w14:textId="77777777" w:rsidR="00F100E9" w:rsidRDefault="00F100E9" w:rsidP="00740C6B">
      <w:pPr>
        <w:rPr>
          <w:b/>
          <w:sz w:val="16"/>
          <w:szCs w:val="16"/>
        </w:rPr>
      </w:pPr>
    </w:p>
    <w:p w14:paraId="1345FB45" w14:textId="77777777" w:rsidR="00F100E9" w:rsidRDefault="00F100E9" w:rsidP="00740C6B">
      <w:pPr>
        <w:rPr>
          <w:b/>
          <w:sz w:val="16"/>
          <w:szCs w:val="16"/>
        </w:rPr>
      </w:pPr>
    </w:p>
    <w:p w14:paraId="2972420F" w14:textId="77777777" w:rsidR="0054470D" w:rsidRDefault="0054470D" w:rsidP="00740C6B">
      <w:pPr>
        <w:rPr>
          <w:b/>
          <w:sz w:val="16"/>
          <w:szCs w:val="16"/>
        </w:rPr>
      </w:pPr>
    </w:p>
    <w:p w14:paraId="1F5D129E" w14:textId="77777777" w:rsidR="0054470D" w:rsidRDefault="0054470D" w:rsidP="00740C6B">
      <w:pPr>
        <w:rPr>
          <w:b/>
          <w:sz w:val="16"/>
          <w:szCs w:val="16"/>
        </w:rPr>
      </w:pPr>
    </w:p>
    <w:p w14:paraId="509FF0B8" w14:textId="77777777" w:rsidR="0054470D" w:rsidRDefault="0054470D" w:rsidP="00740C6B">
      <w:pPr>
        <w:rPr>
          <w:b/>
          <w:sz w:val="16"/>
          <w:szCs w:val="16"/>
        </w:rPr>
      </w:pPr>
    </w:p>
    <w:p w14:paraId="22E29AF6" w14:textId="77777777" w:rsidR="0054470D" w:rsidRDefault="0054470D" w:rsidP="00740C6B">
      <w:pPr>
        <w:rPr>
          <w:b/>
          <w:sz w:val="16"/>
          <w:szCs w:val="16"/>
        </w:rPr>
      </w:pPr>
    </w:p>
    <w:p w14:paraId="1AC9BB6F" w14:textId="77777777" w:rsidR="00BD531E" w:rsidRDefault="00BD531E" w:rsidP="00740C6B">
      <w:pPr>
        <w:rPr>
          <w:b/>
          <w:sz w:val="16"/>
          <w:szCs w:val="16"/>
        </w:rPr>
      </w:pPr>
    </w:p>
    <w:p w14:paraId="482862EC" w14:textId="77777777" w:rsidR="00BD531E" w:rsidRDefault="00BD531E" w:rsidP="00740C6B">
      <w:pPr>
        <w:rPr>
          <w:b/>
          <w:sz w:val="16"/>
          <w:szCs w:val="16"/>
        </w:rPr>
      </w:pPr>
    </w:p>
    <w:p w14:paraId="5067CA28" w14:textId="77777777" w:rsidR="00BD531E" w:rsidRDefault="00BD531E" w:rsidP="00740C6B">
      <w:pPr>
        <w:rPr>
          <w:b/>
          <w:sz w:val="16"/>
          <w:szCs w:val="16"/>
        </w:rPr>
      </w:pPr>
    </w:p>
    <w:p w14:paraId="38C332E1" w14:textId="77777777" w:rsidR="00BD531E" w:rsidRDefault="00BD531E" w:rsidP="00740C6B">
      <w:pPr>
        <w:rPr>
          <w:b/>
          <w:sz w:val="16"/>
          <w:szCs w:val="16"/>
        </w:rPr>
      </w:pPr>
    </w:p>
    <w:p w14:paraId="3383AD1E" w14:textId="77777777" w:rsidR="00BD531E" w:rsidRDefault="00BD531E" w:rsidP="00740C6B">
      <w:pPr>
        <w:rPr>
          <w:b/>
          <w:sz w:val="16"/>
          <w:szCs w:val="16"/>
        </w:rPr>
      </w:pPr>
    </w:p>
    <w:p w14:paraId="5D952765" w14:textId="77777777" w:rsidR="00BD531E" w:rsidRDefault="00BD531E" w:rsidP="00740C6B">
      <w:pPr>
        <w:rPr>
          <w:b/>
          <w:sz w:val="16"/>
          <w:szCs w:val="16"/>
        </w:rPr>
      </w:pPr>
    </w:p>
    <w:p w14:paraId="3E15432E" w14:textId="77777777" w:rsidR="00BD531E" w:rsidRDefault="00BD531E" w:rsidP="00740C6B">
      <w:pPr>
        <w:rPr>
          <w:b/>
          <w:sz w:val="16"/>
          <w:szCs w:val="16"/>
        </w:rPr>
      </w:pPr>
    </w:p>
    <w:p w14:paraId="119FABB6" w14:textId="77777777" w:rsidR="000F3042" w:rsidRDefault="000F3042" w:rsidP="00740C6B">
      <w:pPr>
        <w:rPr>
          <w:b/>
          <w:sz w:val="16"/>
          <w:szCs w:val="16"/>
        </w:rPr>
      </w:pPr>
    </w:p>
    <w:p w14:paraId="2F09E13D" w14:textId="77777777" w:rsidR="00740C6B" w:rsidRPr="001053FA" w:rsidRDefault="00740C6B" w:rsidP="00740C6B">
      <w:pPr>
        <w:rPr>
          <w:rFonts w:cs="Arial"/>
          <w:b/>
          <w:color w:val="000000"/>
          <w:sz w:val="16"/>
          <w:szCs w:val="16"/>
        </w:rPr>
      </w:pPr>
      <w:r w:rsidRPr="001053FA">
        <w:rPr>
          <w:b/>
          <w:sz w:val="16"/>
          <w:szCs w:val="16"/>
        </w:rPr>
        <w:t>DISCLAIMER</w:t>
      </w:r>
    </w:p>
    <w:p w14:paraId="0A97BF86" w14:textId="732C8CE4" w:rsidR="00740C6B" w:rsidRDefault="00740C6B" w:rsidP="00A06A1E">
      <w:r w:rsidRPr="001053FA">
        <w:rPr>
          <w:rFonts w:cs="Arial"/>
          <w:sz w:val="16"/>
          <w:szCs w:val="16"/>
        </w:rPr>
        <w:t xml:space="preserve">This publication contains information regarding work health and safety. It includes some of your obligations under the </w:t>
      </w:r>
      <w:r w:rsidRPr="001053FA">
        <w:rPr>
          <w:rFonts w:cs="Arial"/>
          <w:i/>
          <w:sz w:val="16"/>
          <w:szCs w:val="16"/>
        </w:rPr>
        <w:t>Work Health and Safety (National Uniform Legislation) Act</w:t>
      </w:r>
      <w:r w:rsidRPr="001053FA">
        <w:rPr>
          <w:rFonts w:cs="Arial"/>
          <w:sz w:val="16"/>
          <w:szCs w:val="16"/>
        </w:rPr>
        <w:t xml:space="preserve"> </w:t>
      </w:r>
      <w:r>
        <w:rPr>
          <w:rFonts w:cs="Arial"/>
          <w:sz w:val="16"/>
          <w:szCs w:val="16"/>
        </w:rPr>
        <w:t xml:space="preserve">– the WHS (NUL) Act – </w:t>
      </w:r>
      <w:r w:rsidRPr="001053FA">
        <w:rPr>
          <w:rFonts w:cs="Arial"/>
          <w:sz w:val="16"/>
          <w:szCs w:val="16"/>
        </w:rPr>
        <w:t>that NT WorkSafe administers. The information provided is a guide only and must be read in conjunction with the appropriate legislation to ensure you understand and comply with your legal obligations. NT WorkSafe does not warrant the information in this publication is complete or up-to-date and does not accept any liability for the information in this report or as to its use.</w:t>
      </w:r>
    </w:p>
    <w:sectPr w:rsidR="00740C6B" w:rsidSect="00E73B01">
      <w:headerReference w:type="even" r:id="rId16"/>
      <w:headerReference w:type="default" r:id="rId17"/>
      <w:footerReference w:type="default" r:id="rId18"/>
      <w:headerReference w:type="first" r:id="rId19"/>
      <w:footerReference w:type="first" r:id="rId20"/>
      <w:type w:val="continuous"/>
      <w:pgSz w:w="11906" w:h="16838" w:code="9"/>
      <w:pgMar w:top="1701" w:right="567" w:bottom="90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D3972" w14:textId="77777777" w:rsidR="00487B02" w:rsidRDefault="00487B02" w:rsidP="00E73B01">
      <w:r>
        <w:separator/>
      </w:r>
    </w:p>
  </w:endnote>
  <w:endnote w:type="continuationSeparator" w:id="0">
    <w:p w14:paraId="1D666CBF" w14:textId="77777777" w:rsidR="00487B02" w:rsidRDefault="00487B02"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45472"/>
      <w:docPartObj>
        <w:docPartGallery w:val="Page Numbers (Bottom of Page)"/>
        <w:docPartUnique/>
      </w:docPartObj>
    </w:sdtPr>
    <w:sdtEndPr/>
    <w:sdtContent>
      <w:p w14:paraId="480385AF" w14:textId="77777777" w:rsidR="00E27344" w:rsidRDefault="002F3E97" w:rsidP="00E73B01">
        <w:pPr>
          <w:pStyle w:val="Footer"/>
          <w:tabs>
            <w:tab w:val="clear" w:pos="4513"/>
            <w:tab w:val="clear" w:pos="9026"/>
            <w:tab w:val="right" w:pos="10773"/>
          </w:tabs>
          <w:ind w:left="-567"/>
        </w:pPr>
        <w:r>
          <w:rPr>
            <w:noProof/>
            <w:lang w:eastAsia="en-AU"/>
          </w:rPr>
          <w:drawing>
            <wp:inline distT="0" distB="0" distL="0" distR="0" wp14:anchorId="480385B8" wp14:editId="480385B9">
              <wp:extent cx="2246110" cy="190244"/>
              <wp:effectExtent l="0" t="0" r="1905" b="635"/>
              <wp:docPr id="8" name="Picture 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2nd.jpg"/>
                      <pic:cNvPicPr/>
                    </pic:nvPicPr>
                    <pic:blipFill>
                      <a:blip r:embed="rId1">
                        <a:extLst>
                          <a:ext uri="{28A0092B-C50C-407E-A947-70E740481C1C}">
                            <a14:useLocalDpi xmlns:a14="http://schemas.microsoft.com/office/drawing/2010/main" val="0"/>
                          </a:ext>
                        </a:extLst>
                      </a:blip>
                      <a:stretch>
                        <a:fillRect/>
                      </a:stretch>
                    </pic:blipFill>
                    <pic:spPr>
                      <a:xfrm>
                        <a:off x="0" y="0"/>
                        <a:ext cx="2246110" cy="190244"/>
                      </a:xfrm>
                      <a:prstGeom prst="rect">
                        <a:avLst/>
                      </a:prstGeom>
                    </pic:spPr>
                  </pic:pic>
                </a:graphicData>
              </a:graphic>
            </wp:inline>
          </w:drawing>
        </w:r>
        <w:r>
          <w:tab/>
        </w:r>
        <w:r w:rsidR="00FA5776" w:rsidRPr="007278C5">
          <w:fldChar w:fldCharType="begin"/>
        </w:r>
        <w:r w:rsidR="007278C5" w:rsidRPr="007278C5">
          <w:instrText xml:space="preserve"> PAGE   \* MERGEFORMAT </w:instrText>
        </w:r>
        <w:r w:rsidR="00FA5776" w:rsidRPr="007278C5">
          <w:fldChar w:fldCharType="separate"/>
        </w:r>
        <w:r w:rsidR="00905557">
          <w:rPr>
            <w:noProof/>
          </w:rPr>
          <w:t>5</w:t>
        </w:r>
        <w:r w:rsidR="00FA5776" w:rsidRPr="007278C5">
          <w:fldChar w:fldCharType="end"/>
        </w:r>
      </w:p>
      <w:p w14:paraId="480385B0" w14:textId="42BCCA03" w:rsidR="00A872D9" w:rsidRPr="00E27344" w:rsidRDefault="00E27344" w:rsidP="00DA5753">
        <w:pPr>
          <w:pStyle w:val="Footer"/>
          <w:tabs>
            <w:tab w:val="clear" w:pos="4513"/>
            <w:tab w:val="clear" w:pos="9026"/>
            <w:tab w:val="right" w:pos="10773"/>
          </w:tabs>
          <w:spacing w:after="240"/>
          <w:ind w:left="-567"/>
        </w:pPr>
        <w:r>
          <w:tab/>
        </w:r>
        <w:r w:rsidR="00BD531E" w:rsidRPr="005E1079">
          <w:rPr>
            <w:szCs w:val="20"/>
          </w:rPr>
          <w:t xml:space="preserve">Guide to Schedule 11 hazardous chemicals </w:t>
        </w:r>
        <w:r w:rsidR="00BD531E">
          <w:rPr>
            <w:szCs w:val="20"/>
          </w:rPr>
          <w:t xml:space="preserve">and abandonment of tanks notifications </w:t>
        </w:r>
        <w:r w:rsidR="00B50196" w:rsidRPr="000E79D7">
          <w:rPr>
            <w:szCs w:val="20"/>
          </w:rPr>
          <w:t>(</w:t>
        </w:r>
        <w:r w:rsidR="0054470D">
          <w:rPr>
            <w:szCs w:val="20"/>
          </w:rPr>
          <w:t>V2.1</w:t>
        </w:r>
        <w:r w:rsidR="00B50196" w:rsidRPr="000E79D7">
          <w:rPr>
            <w:szCs w:val="20"/>
          </w:rPr>
          <w:t xml:space="preserve"> – </w:t>
        </w:r>
        <w:r w:rsidR="00BD531E">
          <w:rPr>
            <w:szCs w:val="20"/>
          </w:rPr>
          <w:t>10</w:t>
        </w:r>
        <w:r w:rsidR="00F100E9">
          <w:rPr>
            <w:szCs w:val="20"/>
          </w:rPr>
          <w:t xml:space="preserve"> September 2018</w:t>
        </w:r>
        <w:r w:rsidR="00B50196" w:rsidRPr="000E79D7">
          <w:rPr>
            <w:szCs w:val="2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3" w14:textId="77777777" w:rsidR="008901BF" w:rsidRPr="00550351" w:rsidRDefault="00550351" w:rsidP="00E73B01">
    <w:pPr>
      <w:pStyle w:val="Footer"/>
      <w:ind w:left="-567"/>
    </w:pPr>
    <w:r>
      <w:rPr>
        <w:noProof/>
        <w:lang w:eastAsia="en-AU"/>
      </w:rPr>
      <w:drawing>
        <wp:inline distT="0" distB="0" distL="0" distR="0" wp14:anchorId="480385BC" wp14:editId="643C86B9">
          <wp:extent cx="7577891" cy="818901"/>
          <wp:effectExtent l="0" t="0" r="444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1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891" cy="8189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6253" w14:textId="77777777" w:rsidR="00487B02" w:rsidRDefault="00487B02" w:rsidP="00E73B01">
      <w:r>
        <w:separator/>
      </w:r>
    </w:p>
  </w:footnote>
  <w:footnote w:type="continuationSeparator" w:id="0">
    <w:p w14:paraId="52F8F142" w14:textId="77777777" w:rsidR="00487B02" w:rsidRDefault="00487B02" w:rsidP="00E73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B" w14:textId="77777777" w:rsidR="00DF6EB7" w:rsidRDefault="00DF6EB7" w:rsidP="00E73B01">
    <w:pPr>
      <w:pStyle w:val="Header"/>
    </w:pPr>
    <w:r>
      <w:rPr>
        <w:noProof/>
        <w:lang w:eastAsia="en-AU"/>
      </w:rPr>
      <w:drawing>
        <wp:inline distT="0" distB="0" distL="0" distR="0" wp14:anchorId="480385B4" wp14:editId="480385B5">
          <wp:extent cx="7955650" cy="923925"/>
          <wp:effectExtent l="0" t="0" r="7620" b="0"/>
          <wp:docPr id="6" name="Picture 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p w14:paraId="480385AC" w14:textId="77777777" w:rsidR="00DF6EB7" w:rsidRDefault="00DF6EB7"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D" w14:textId="77777777" w:rsidR="00A872D9" w:rsidRDefault="002F3E97" w:rsidP="00E73B01">
    <w:pPr>
      <w:pStyle w:val="Header"/>
      <w:ind w:left="-567"/>
    </w:pPr>
    <w:r>
      <w:rPr>
        <w:noProof/>
        <w:lang w:eastAsia="en-AU"/>
      </w:rPr>
      <w:drawing>
        <wp:inline distT="0" distB="0" distL="0" distR="0" wp14:anchorId="480385B6" wp14:editId="480385B7">
          <wp:extent cx="7955650" cy="923925"/>
          <wp:effectExtent l="0" t="0" r="762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1" w14:textId="77777777" w:rsidR="008901BF" w:rsidRDefault="000606D9" w:rsidP="00E73B01">
    <w:pPr>
      <w:pStyle w:val="Header"/>
      <w:ind w:left="-567"/>
    </w:pPr>
    <w:r>
      <w:rPr>
        <w:noProof/>
        <w:lang w:eastAsia="en-AU"/>
      </w:rPr>
      <w:drawing>
        <wp:inline distT="0" distB="0" distL="0" distR="0" wp14:anchorId="480385BA" wp14:editId="480385BB">
          <wp:extent cx="7572375" cy="1628775"/>
          <wp:effectExtent l="0" t="0" r="0" b="9525"/>
          <wp:docPr id="9" name="Picture 9"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1st.jpg"/>
                  <pic:cNvPicPr/>
                </pic:nvPicPr>
                <pic:blipFill>
                  <a:blip r:embed="rId1">
                    <a:extLst>
                      <a:ext uri="{28A0092B-C50C-407E-A947-70E740481C1C}">
                        <a14:useLocalDpi xmlns:a14="http://schemas.microsoft.com/office/drawing/2010/main" val="0"/>
                      </a:ext>
                    </a:extLst>
                  </a:blip>
                  <a:stretch>
                    <a:fillRect/>
                  </a:stretch>
                </pic:blipFill>
                <pic:spPr>
                  <a:xfrm>
                    <a:off x="0" y="0"/>
                    <a:ext cx="7574591" cy="1629252"/>
                  </a:xfrm>
                  <a:prstGeom prst="rect">
                    <a:avLst/>
                  </a:prstGeom>
                </pic:spPr>
              </pic:pic>
            </a:graphicData>
          </a:graphic>
        </wp:inline>
      </w:drawing>
    </w:r>
  </w:p>
  <w:p w14:paraId="480385B2" w14:textId="0C9DBB58" w:rsidR="00550351" w:rsidRPr="00550351" w:rsidRDefault="00A868F6" w:rsidP="00A06A1E">
    <w:pPr>
      <w:pStyle w:val="Subtitle"/>
    </w:pPr>
    <w:r>
      <w:t>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1FD2"/>
    <w:multiLevelType w:val="hybridMultilevel"/>
    <w:tmpl w:val="CDB41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34777A"/>
    <w:multiLevelType w:val="hybridMultilevel"/>
    <w:tmpl w:val="97783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4F5219"/>
    <w:multiLevelType w:val="hybridMultilevel"/>
    <w:tmpl w:val="B9661628"/>
    <w:lvl w:ilvl="0" w:tplc="0C090001">
      <w:start w:val="1"/>
      <w:numFmt w:val="bullet"/>
      <w:lvlText w:val=""/>
      <w:lvlJc w:val="left"/>
      <w:pPr>
        <w:ind w:left="720" w:hanging="360"/>
      </w:pPr>
      <w:rPr>
        <w:rFonts w:ascii="Symbol" w:hAnsi="Symbol" w:hint="default"/>
      </w:rPr>
    </w:lvl>
    <w:lvl w:ilvl="1" w:tplc="5188456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F65F5D"/>
    <w:multiLevelType w:val="hybridMultilevel"/>
    <w:tmpl w:val="938A9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1B491A"/>
    <w:multiLevelType w:val="hybridMultilevel"/>
    <w:tmpl w:val="4F8E8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E0202C"/>
    <w:multiLevelType w:val="hybridMultilevel"/>
    <w:tmpl w:val="DAEC0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93180F"/>
    <w:multiLevelType w:val="hybridMultilevel"/>
    <w:tmpl w:val="70444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A65A13"/>
    <w:multiLevelType w:val="hybridMultilevel"/>
    <w:tmpl w:val="A0509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DE5635"/>
    <w:multiLevelType w:val="hybridMultilevel"/>
    <w:tmpl w:val="C870E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C45FE2"/>
    <w:multiLevelType w:val="hybridMultilevel"/>
    <w:tmpl w:val="33C44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7C2FDF"/>
    <w:multiLevelType w:val="hybridMultilevel"/>
    <w:tmpl w:val="585A0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0A5B8A"/>
    <w:multiLevelType w:val="hybridMultilevel"/>
    <w:tmpl w:val="02E09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0C07E1"/>
    <w:multiLevelType w:val="hybridMultilevel"/>
    <w:tmpl w:val="C4F0C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4B5C35"/>
    <w:multiLevelType w:val="hybridMultilevel"/>
    <w:tmpl w:val="69008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D633B2"/>
    <w:multiLevelType w:val="hybridMultilevel"/>
    <w:tmpl w:val="CADAB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974864"/>
    <w:multiLevelType w:val="hybridMultilevel"/>
    <w:tmpl w:val="CDF4A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0"/>
  </w:num>
  <w:num w:numId="4">
    <w:abstractNumId w:val="11"/>
  </w:num>
  <w:num w:numId="5">
    <w:abstractNumId w:val="0"/>
  </w:num>
  <w:num w:numId="6">
    <w:abstractNumId w:val="7"/>
  </w:num>
  <w:num w:numId="7">
    <w:abstractNumId w:val="3"/>
  </w:num>
  <w:num w:numId="8">
    <w:abstractNumId w:val="5"/>
  </w:num>
  <w:num w:numId="9">
    <w:abstractNumId w:val="4"/>
  </w:num>
  <w:num w:numId="10">
    <w:abstractNumId w:val="2"/>
  </w:num>
  <w:num w:numId="11">
    <w:abstractNumId w:val="1"/>
  </w:num>
  <w:num w:numId="12">
    <w:abstractNumId w:val="14"/>
  </w:num>
  <w:num w:numId="13">
    <w:abstractNumId w:val="15"/>
  </w:num>
  <w:num w:numId="14">
    <w:abstractNumId w:val="13"/>
  </w:num>
  <w:num w:numId="15">
    <w:abstractNumId w:val="6"/>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B7"/>
    <w:rsid w:val="00011823"/>
    <w:rsid w:val="000606D9"/>
    <w:rsid w:val="000F3042"/>
    <w:rsid w:val="001F03BE"/>
    <w:rsid w:val="00221DAE"/>
    <w:rsid w:val="002408E3"/>
    <w:rsid w:val="002A41FB"/>
    <w:rsid w:val="002F3E97"/>
    <w:rsid w:val="00307B76"/>
    <w:rsid w:val="00307E70"/>
    <w:rsid w:val="00310ADC"/>
    <w:rsid w:val="003165E1"/>
    <w:rsid w:val="003478B9"/>
    <w:rsid w:val="003514FA"/>
    <w:rsid w:val="003D7C13"/>
    <w:rsid w:val="00403012"/>
    <w:rsid w:val="00487B02"/>
    <w:rsid w:val="004A1B2B"/>
    <w:rsid w:val="00507331"/>
    <w:rsid w:val="0053256B"/>
    <w:rsid w:val="0054470D"/>
    <w:rsid w:val="00550351"/>
    <w:rsid w:val="00551407"/>
    <w:rsid w:val="005770AC"/>
    <w:rsid w:val="005A2778"/>
    <w:rsid w:val="005C5FB5"/>
    <w:rsid w:val="006370E6"/>
    <w:rsid w:val="0066252B"/>
    <w:rsid w:val="00685D69"/>
    <w:rsid w:val="0070276A"/>
    <w:rsid w:val="007122C9"/>
    <w:rsid w:val="00727842"/>
    <w:rsid w:val="007278C5"/>
    <w:rsid w:val="00735E40"/>
    <w:rsid w:val="00740C6B"/>
    <w:rsid w:val="007D47E0"/>
    <w:rsid w:val="007F6818"/>
    <w:rsid w:val="00852250"/>
    <w:rsid w:val="00856EB0"/>
    <w:rsid w:val="0087368E"/>
    <w:rsid w:val="008901BF"/>
    <w:rsid w:val="008A7733"/>
    <w:rsid w:val="008C1BD8"/>
    <w:rsid w:val="008E160C"/>
    <w:rsid w:val="00905557"/>
    <w:rsid w:val="009559B8"/>
    <w:rsid w:val="00A06138"/>
    <w:rsid w:val="00A06A1E"/>
    <w:rsid w:val="00A42D1C"/>
    <w:rsid w:val="00A75DE9"/>
    <w:rsid w:val="00A868F6"/>
    <w:rsid w:val="00A872D9"/>
    <w:rsid w:val="00AA0352"/>
    <w:rsid w:val="00B50196"/>
    <w:rsid w:val="00B84D01"/>
    <w:rsid w:val="00B912DB"/>
    <w:rsid w:val="00BD531E"/>
    <w:rsid w:val="00C01F77"/>
    <w:rsid w:val="00CA3078"/>
    <w:rsid w:val="00CB480E"/>
    <w:rsid w:val="00CB4F6B"/>
    <w:rsid w:val="00CB6EEA"/>
    <w:rsid w:val="00CB793E"/>
    <w:rsid w:val="00CD3184"/>
    <w:rsid w:val="00CE5F78"/>
    <w:rsid w:val="00DA5753"/>
    <w:rsid w:val="00DD2006"/>
    <w:rsid w:val="00DF6EB7"/>
    <w:rsid w:val="00E1075C"/>
    <w:rsid w:val="00E27344"/>
    <w:rsid w:val="00E317B6"/>
    <w:rsid w:val="00E45467"/>
    <w:rsid w:val="00E73B01"/>
    <w:rsid w:val="00E95DC3"/>
    <w:rsid w:val="00EA1072"/>
    <w:rsid w:val="00ED2575"/>
    <w:rsid w:val="00F100E9"/>
    <w:rsid w:val="00F34049"/>
    <w:rsid w:val="00FA5776"/>
    <w:rsid w:val="00FB0216"/>
    <w:rsid w:val="00FF5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03859D"/>
  <w15:docId w15:val="{C8ADB120-13E9-404E-A991-4835BFA2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01"/>
    <w:pPr>
      <w:spacing w:line="240" w:lineRule="auto"/>
    </w:pPr>
    <w:rPr>
      <w:rFonts w:ascii="Arial" w:hAnsi="Arial"/>
    </w:rPr>
  </w:style>
  <w:style w:type="paragraph" w:styleId="Heading1">
    <w:name w:val="heading 1"/>
    <w:basedOn w:val="Normal"/>
    <w:next w:val="Normal"/>
    <w:link w:val="Heading1Char"/>
    <w:uiPriority w:val="9"/>
    <w:qFormat/>
    <w:rsid w:val="00E73B01"/>
    <w:pPr>
      <w:keepNext/>
      <w:keepLines/>
      <w:spacing w:before="3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73B01"/>
    <w:pPr>
      <w:keepNext/>
      <w:keepLines/>
      <w:spacing w:before="360" w:after="120"/>
      <w:outlineLvl w:val="1"/>
    </w:pPr>
    <w:rPr>
      <w:rFonts w:eastAsiaTheme="majorEastAsia" w:cstheme="majorBidi"/>
      <w:b/>
      <w:bCs/>
      <w:color w:val="808080" w:themeColor="background1" w:themeShade="80"/>
      <w:sz w:val="24"/>
      <w:szCs w:val="24"/>
    </w:rPr>
  </w:style>
  <w:style w:type="paragraph" w:styleId="Heading3">
    <w:name w:val="heading 3"/>
    <w:basedOn w:val="Normal"/>
    <w:next w:val="Normal"/>
    <w:link w:val="Heading3Char"/>
    <w:uiPriority w:val="9"/>
    <w:unhideWhenUsed/>
    <w:rsid w:val="00E73B01"/>
    <w:pPr>
      <w:keepNext/>
      <w:keepLines/>
      <w:spacing w:before="360" w:after="12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73B01"/>
    <w:pPr>
      <w:keepNext/>
      <w:keepLines/>
      <w:spacing w:before="360" w:after="120"/>
      <w:outlineLvl w:val="3"/>
    </w:pPr>
    <w:rPr>
      <w:rFonts w:eastAsiaTheme="majorEastAsia" w:cstheme="majorBidi"/>
      <w:b/>
      <w:bCs/>
      <w:iCs/>
      <w:color w:val="808080" w:themeColor="background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basedOn w:val="DefaultParagraphFont"/>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basedOn w:val="DefaultParagraphFont"/>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D9"/>
    <w:rPr>
      <w:rFonts w:ascii="Tahoma" w:hAnsi="Tahoma" w:cs="Tahoma"/>
      <w:sz w:val="16"/>
      <w:szCs w:val="16"/>
      <w:lang w:val="en-US"/>
    </w:rPr>
  </w:style>
  <w:style w:type="paragraph" w:styleId="NoSpacing">
    <w:name w:val="No Spacing"/>
    <w:uiPriority w:val="1"/>
    <w:rsid w:val="00E73B01"/>
    <w:pPr>
      <w:spacing w:after="0" w:line="240" w:lineRule="auto"/>
    </w:pPr>
    <w:rPr>
      <w:rFonts w:ascii="Arial" w:hAnsi="Arial"/>
    </w:rPr>
  </w:style>
  <w:style w:type="character" w:customStyle="1" w:styleId="Heading1Char">
    <w:name w:val="Heading 1 Char"/>
    <w:basedOn w:val="DefaultParagraphFont"/>
    <w:link w:val="Heading1"/>
    <w:uiPriority w:val="9"/>
    <w:rsid w:val="00E73B01"/>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E73B01"/>
    <w:rPr>
      <w:rFonts w:ascii="Arial" w:eastAsiaTheme="majorEastAsia" w:hAnsi="Arial" w:cstheme="majorBidi"/>
      <w:b/>
      <w:bCs/>
      <w:color w:val="808080" w:themeColor="background1" w:themeShade="80"/>
      <w:sz w:val="24"/>
      <w:szCs w:val="24"/>
      <w:lang w:val="en-US"/>
    </w:rPr>
  </w:style>
  <w:style w:type="paragraph" w:styleId="Title">
    <w:name w:val="Title"/>
    <w:basedOn w:val="Normal"/>
    <w:next w:val="Normal"/>
    <w:link w:val="TitleChar"/>
    <w:uiPriority w:val="10"/>
    <w:qFormat/>
    <w:rsid w:val="00E73B01"/>
    <w:pPr>
      <w:numPr>
        <w:ilvl w:val="1"/>
      </w:numPr>
      <w:spacing w:before="240" w:after="120"/>
    </w:pPr>
    <w:rPr>
      <w:rFonts w:ascii="Arial Bold" w:eastAsiaTheme="majorEastAsia" w:hAnsi="Arial Bold" w:cstheme="majorBidi"/>
      <w:b/>
      <w:iCs/>
      <w:spacing w:val="15"/>
      <w:sz w:val="56"/>
      <w:szCs w:val="56"/>
    </w:rPr>
  </w:style>
  <w:style w:type="character" w:customStyle="1" w:styleId="TitleChar">
    <w:name w:val="Title Char"/>
    <w:basedOn w:val="DefaultParagraphFont"/>
    <w:link w:val="Title"/>
    <w:uiPriority w:val="10"/>
    <w:rsid w:val="00E73B01"/>
    <w:rPr>
      <w:rFonts w:ascii="Arial Bold" w:eastAsiaTheme="majorEastAsia" w:hAnsi="Arial Bold" w:cstheme="majorBidi"/>
      <w:b/>
      <w:iCs/>
      <w:spacing w:val="15"/>
      <w:sz w:val="56"/>
      <w:szCs w:val="56"/>
      <w:lang w:val="en-US"/>
    </w:rPr>
  </w:style>
  <w:style w:type="character" w:customStyle="1" w:styleId="Heading3Char">
    <w:name w:val="Heading 3 Char"/>
    <w:basedOn w:val="DefaultParagraphFont"/>
    <w:link w:val="Heading3"/>
    <w:uiPriority w:val="9"/>
    <w:rsid w:val="00E73B01"/>
    <w:rPr>
      <w:rFonts w:ascii="Arial" w:eastAsiaTheme="majorEastAsia" w:hAnsi="Arial" w:cstheme="majorBidi"/>
      <w:b/>
      <w:bCs/>
      <w:lang w:val="en-US"/>
    </w:rPr>
  </w:style>
  <w:style w:type="paragraph" w:styleId="Subtitle">
    <w:name w:val="Subtitle"/>
    <w:basedOn w:val="Normal"/>
    <w:next w:val="Normal"/>
    <w:link w:val="SubtitleChar"/>
    <w:uiPriority w:val="11"/>
    <w:qFormat/>
    <w:rsid w:val="00A06A1E"/>
    <w:pPr>
      <w:numPr>
        <w:ilvl w:val="1"/>
      </w:numPr>
      <w:spacing w:after="0"/>
    </w:pPr>
    <w:rPr>
      <w:rFonts w:ascii="Arial Bold" w:eastAsiaTheme="majorEastAsia" w:hAnsi="Arial Bold" w:cs="Arial"/>
      <w:b/>
      <w:iCs/>
      <w:color w:val="DB7310"/>
      <w:sz w:val="36"/>
      <w:szCs w:val="36"/>
    </w:rPr>
  </w:style>
  <w:style w:type="character" w:customStyle="1" w:styleId="SubtitleChar">
    <w:name w:val="Subtitle Char"/>
    <w:basedOn w:val="DefaultParagraphFont"/>
    <w:link w:val="Subtitle"/>
    <w:uiPriority w:val="11"/>
    <w:rsid w:val="00A06A1E"/>
    <w:rPr>
      <w:rFonts w:ascii="Arial Bold" w:eastAsiaTheme="majorEastAsia" w:hAnsi="Arial Bold" w:cs="Arial"/>
      <w:b/>
      <w:iCs/>
      <w:color w:val="DB7310"/>
      <w:sz w:val="36"/>
      <w:szCs w:val="36"/>
    </w:rPr>
  </w:style>
  <w:style w:type="character" w:customStyle="1" w:styleId="Heading4Char">
    <w:name w:val="Heading 4 Char"/>
    <w:basedOn w:val="DefaultParagraphFont"/>
    <w:link w:val="Heading4"/>
    <w:uiPriority w:val="9"/>
    <w:semiHidden/>
    <w:rsid w:val="00E73B01"/>
    <w:rPr>
      <w:rFonts w:ascii="Arial" w:eastAsiaTheme="majorEastAsia" w:hAnsi="Arial" w:cstheme="majorBidi"/>
      <w:b/>
      <w:bCs/>
      <w:iCs/>
      <w:color w:val="808080" w:themeColor="background1" w:themeShade="80"/>
      <w:sz w:val="20"/>
    </w:rPr>
  </w:style>
  <w:style w:type="paragraph" w:styleId="BodyText">
    <w:name w:val="Body Text"/>
    <w:basedOn w:val="Normal"/>
    <w:link w:val="BodyTextChar"/>
    <w:rsid w:val="00727842"/>
    <w:pPr>
      <w:spacing w:after="120"/>
    </w:pPr>
    <w:rPr>
      <w:rFonts w:eastAsia="Times New Roman" w:cs="Arial"/>
      <w:color w:val="3C3C3B"/>
      <w:lang w:val="en-US"/>
    </w:rPr>
  </w:style>
  <w:style w:type="character" w:customStyle="1" w:styleId="BodyTextChar">
    <w:name w:val="Body Text Char"/>
    <w:basedOn w:val="DefaultParagraphFont"/>
    <w:link w:val="BodyText"/>
    <w:rsid w:val="00727842"/>
    <w:rPr>
      <w:rFonts w:ascii="Arial" w:eastAsia="Times New Roman" w:hAnsi="Arial" w:cs="Arial"/>
      <w:color w:val="3C3C3B"/>
      <w:lang w:val="en-US"/>
    </w:rPr>
  </w:style>
  <w:style w:type="paragraph" w:customStyle="1" w:styleId="BulletinContent">
    <w:name w:val="Bulletin Content"/>
    <w:rsid w:val="00727842"/>
    <w:pPr>
      <w:spacing w:after="120" w:line="240" w:lineRule="auto"/>
    </w:pPr>
    <w:rPr>
      <w:rFonts w:ascii="Arial" w:eastAsia="Times New Roman" w:hAnsi="Arial" w:cs="Arial"/>
      <w:noProof/>
      <w:color w:val="000000"/>
    </w:rPr>
  </w:style>
  <w:style w:type="character" w:styleId="Hyperlink">
    <w:name w:val="Hyperlink"/>
    <w:basedOn w:val="DefaultParagraphFont"/>
    <w:uiPriority w:val="99"/>
    <w:unhideWhenUsed/>
    <w:rsid w:val="00A06A1E"/>
    <w:rPr>
      <w:color w:val="0000FF" w:themeColor="hyperlink"/>
      <w:u w:val="single"/>
    </w:rPr>
  </w:style>
  <w:style w:type="paragraph" w:styleId="ListParagraph">
    <w:name w:val="List Paragraph"/>
    <w:basedOn w:val="Normal"/>
    <w:uiPriority w:val="34"/>
    <w:rsid w:val="00F100E9"/>
    <w:pPr>
      <w:ind w:left="720"/>
      <w:contextualSpacing/>
    </w:pPr>
  </w:style>
  <w:style w:type="table" w:styleId="TableGrid">
    <w:name w:val="Table Grid"/>
    <w:basedOn w:val="TableNormal"/>
    <w:uiPriority w:val="59"/>
    <w:rsid w:val="00F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00E9"/>
    <w:pPr>
      <w:spacing w:after="100"/>
    </w:pPr>
  </w:style>
  <w:style w:type="paragraph" w:styleId="TOC2">
    <w:name w:val="toc 2"/>
    <w:basedOn w:val="Normal"/>
    <w:next w:val="Normal"/>
    <w:autoRedefine/>
    <w:uiPriority w:val="39"/>
    <w:unhideWhenUsed/>
    <w:rsid w:val="000F3042"/>
    <w:pPr>
      <w:tabs>
        <w:tab w:val="right" w:leader="dot" w:pos="10762"/>
      </w:tabs>
      <w:spacing w:after="0"/>
      <w:ind w:left="221"/>
    </w:pPr>
  </w:style>
  <w:style w:type="paragraph" w:styleId="TOC3">
    <w:name w:val="toc 3"/>
    <w:basedOn w:val="Normal"/>
    <w:next w:val="Normal"/>
    <w:autoRedefine/>
    <w:uiPriority w:val="39"/>
    <w:unhideWhenUsed/>
    <w:rsid w:val="00CB4F6B"/>
    <w:pPr>
      <w:spacing w:after="100"/>
      <w:ind w:left="440"/>
    </w:pPr>
  </w:style>
  <w:style w:type="paragraph" w:customStyle="1" w:styleId="Subsection">
    <w:name w:val="Subsection"/>
    <w:basedOn w:val="Normal"/>
    <w:link w:val="SubsectionChar"/>
    <w:rsid w:val="000F3042"/>
    <w:pPr>
      <w:widowControl w:val="0"/>
      <w:tabs>
        <w:tab w:val="right" w:pos="902"/>
      </w:tabs>
      <w:spacing w:after="240"/>
      <w:ind w:left="1100" w:hanging="1100"/>
      <w:jc w:val="both"/>
    </w:pPr>
    <w:rPr>
      <w:rFonts w:ascii="Helvetica" w:eastAsia="Times New Roman" w:hAnsi="Helvetica" w:cs="Times New Roman"/>
      <w:sz w:val="24"/>
      <w:szCs w:val="24"/>
      <w:lang w:eastAsia="en-AU"/>
    </w:rPr>
  </w:style>
  <w:style w:type="paragraph" w:customStyle="1" w:styleId="Paragraph">
    <w:name w:val="Paragraph"/>
    <w:basedOn w:val="Normal"/>
    <w:link w:val="ParagraphChar"/>
    <w:rsid w:val="000F3042"/>
    <w:pPr>
      <w:widowControl w:val="0"/>
      <w:spacing w:after="240"/>
      <w:ind w:left="1667" w:hanging="567"/>
      <w:jc w:val="both"/>
    </w:pPr>
    <w:rPr>
      <w:rFonts w:ascii="Helvetica" w:eastAsia="Times New Roman" w:hAnsi="Helvetica" w:cs="Times New Roman"/>
      <w:sz w:val="24"/>
      <w:szCs w:val="24"/>
      <w:lang w:eastAsia="en-AU"/>
    </w:rPr>
  </w:style>
  <w:style w:type="character" w:customStyle="1" w:styleId="SubsectionChar">
    <w:name w:val="Subsection Char"/>
    <w:link w:val="Subsection"/>
    <w:locked/>
    <w:rsid w:val="000F3042"/>
    <w:rPr>
      <w:rFonts w:ascii="Helvetica" w:eastAsia="Times New Roman" w:hAnsi="Helvetica" w:cs="Times New Roman"/>
      <w:sz w:val="24"/>
      <w:szCs w:val="24"/>
      <w:lang w:eastAsia="en-AU"/>
    </w:rPr>
  </w:style>
  <w:style w:type="character" w:customStyle="1" w:styleId="ParagraphChar">
    <w:name w:val="Paragraph Char"/>
    <w:basedOn w:val="SubsectionChar"/>
    <w:link w:val="Paragraph"/>
    <w:rsid w:val="000F3042"/>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nt.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ksafe.nt.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ksafe.nt.gov.au" TargetMode="External"/><Relationship Id="rId5" Type="http://schemas.openxmlformats.org/officeDocument/2006/relationships/numbering" Target="numbering.xml"/><Relationship Id="rId15" Type="http://schemas.openxmlformats.org/officeDocument/2006/relationships/hyperlink" Target="http://www.worksafe.nt.gov.a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tworksafe@nt.gov.au?subject=Bulletin%20enquiry%20-%20name%20of%20bulleti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222217</PDFFileSize>
    <Topics xmlns="eb399b68-b676-431b-a7f2-330aea86a718">
      <Value>Construction</Value>
      <Value>Hazardous chemicals</Value>
      <Value>Notification requirements</Value>
      <Value>Primary industry</Value>
    </Topics>
    <Document_x0020_type xmlns="eb399b68-b676-431b-a7f2-330aea86a718">Guide</Document_x0020_type>
    <Web_x0020_Section xmlns="eb399b68-b676-431b-a7f2-330aea86a718">
      <Value>Laws and compliance</Value>
    </Web_x0020_Section>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6505F-C18F-4FAF-ACEC-5322E01F41A6}"/>
</file>

<file path=customXml/itemProps2.xml><?xml version="1.0" encoding="utf-8"?>
<ds:datastoreItem xmlns:ds="http://schemas.openxmlformats.org/officeDocument/2006/customXml" ds:itemID="{54799629-5E35-4574-8CD8-DED322417DBB}"/>
</file>

<file path=customXml/itemProps3.xml><?xml version="1.0" encoding="utf-8"?>
<ds:datastoreItem xmlns:ds="http://schemas.openxmlformats.org/officeDocument/2006/customXml" ds:itemID="{28FC4229-55EF-4F85-B1FE-8B5521AC18C6}"/>
</file>

<file path=customXml/itemProps4.xml><?xml version="1.0" encoding="utf-8"?>
<ds:datastoreItem xmlns:ds="http://schemas.openxmlformats.org/officeDocument/2006/customXml" ds:itemID="{F16F247E-1223-41FA-A57D-2C7349E827A7}"/>
</file>

<file path=docProps/app.xml><?xml version="1.0" encoding="utf-8"?>
<Properties xmlns="http://schemas.openxmlformats.org/officeDocument/2006/extended-properties" xmlns:vt="http://schemas.openxmlformats.org/officeDocument/2006/docPropsVTypes">
  <Template>Normal.dotm</Template>
  <TotalTime>15</TotalTime>
  <Pages>5</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Plant item registration</vt:lpstr>
    </vt:vector>
  </TitlesOfParts>
  <Company>NTG</Company>
  <LinksUpToDate>false</LinksUpToDate>
  <CharactersWithSpaces>11229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11 hazardous chemicals </dc:title>
  <dc:creator>mezl</dc:creator>
  <cp:lastModifiedBy>Amanda Baker</cp:lastModifiedBy>
  <cp:revision>5</cp:revision>
  <cp:lastPrinted>2012-11-16T05:03:00Z</cp:lastPrinted>
  <dcterms:created xsi:type="dcterms:W3CDTF">2018-09-07T05:28:00Z</dcterms:created>
  <dcterms:modified xsi:type="dcterms:W3CDTF">2018-09-09T22:54:00Z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