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Style w:val="TitleChar"/>
        </w:rPr>
        <w:alias w:val="Title"/>
        <w:tag w:val="Title"/>
        <w:id w:val="-509987125"/>
        <w:lock w:val="sdtLocked"/>
        <w:placeholder>
          <w:docPart w:val="3CFEACF36AA94F34A9BC2961D0344E07"/>
        </w:placeholder>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rsidR="00886C9D" w:rsidRPr="00886C9D" w:rsidRDefault="004D6618" w:rsidP="00886C9D">
          <w:pPr>
            <w:pStyle w:val="Title"/>
          </w:pPr>
          <w:r>
            <w:rPr>
              <w:rStyle w:val="TitleChar"/>
            </w:rPr>
            <w:t>Prosecution Guidelines</w:t>
          </w:r>
        </w:p>
      </w:sdtContent>
    </w:sdt>
    <w:p w:rsidR="00964B22" w:rsidRDefault="004D6618" w:rsidP="00E757FF">
      <w:pPr>
        <w:pStyle w:val="Subtitle0"/>
      </w:pPr>
      <w:r>
        <w:t>NT WorkSafe</w:t>
      </w:r>
      <w:bookmarkStart w:id="0" w:name="_GoBack"/>
      <w:bookmarkEnd w:id="0"/>
    </w:p>
    <w:p w:rsidR="007761D8" w:rsidRDefault="00E757FF" w:rsidP="00885590">
      <w:r>
        <w:rPr>
          <w:noProof/>
          <w:lang w:eastAsia="en-AU"/>
        </w:rPr>
        <w:drawing>
          <wp:anchor distT="0" distB="0" distL="0" distR="0" simplePos="0" relativeHeight="251659264" behindDoc="0" locked="0" layoutInCell="1" allowOverlap="1" wp14:anchorId="775B5C87" wp14:editId="06F9999D">
            <wp:simplePos x="0" y="0"/>
            <wp:positionH relativeFrom="page">
              <wp:posOffset>7807</wp:posOffset>
            </wp:positionH>
            <wp:positionV relativeFrom="page">
              <wp:posOffset>3773150</wp:posOffset>
            </wp:positionV>
            <wp:extent cx="7544757" cy="5033010"/>
            <wp:effectExtent l="0" t="0" r="0" b="0"/>
            <wp:wrapNone/>
            <wp:docPr id="16"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4.png"/>
                    <pic:cNvPicPr/>
                  </pic:nvPicPr>
                  <pic:blipFill>
                    <a:blip r:embed="rId9">
                      <a:extLst>
                        <a:ext uri="{28A0092B-C50C-407E-A947-70E740481C1C}">
                          <a14:useLocalDpi xmlns:a14="http://schemas.microsoft.com/office/drawing/2010/main" val="0"/>
                        </a:ext>
                      </a:extLst>
                    </a:blip>
                    <a:stretch>
                      <a:fillRect/>
                    </a:stretch>
                  </pic:blipFill>
                  <pic:spPr>
                    <a:xfrm>
                      <a:off x="0" y="0"/>
                      <a:ext cx="7544757" cy="5033010"/>
                    </a:xfrm>
                    <a:prstGeom prst="rect">
                      <a:avLst/>
                    </a:prstGeom>
                  </pic:spPr>
                </pic:pic>
              </a:graphicData>
            </a:graphic>
            <wp14:sizeRelH relativeFrom="margin">
              <wp14:pctWidth>0</wp14:pctWidth>
            </wp14:sizeRelH>
            <wp14:sizeRelV relativeFrom="margin">
              <wp14:pctHeight>0</wp14:pctHeight>
            </wp14:sizeRelV>
          </wp:anchor>
        </w:drawing>
      </w:r>
    </w:p>
    <w:p w:rsidR="00E757FF" w:rsidRPr="00DD64C2" w:rsidRDefault="00E757FF" w:rsidP="00885590">
      <w:pPr>
        <w:sectPr w:rsidR="00E757FF" w:rsidRPr="00DD64C2" w:rsidSect="004D6618">
          <w:headerReference w:type="default" r:id="rId10"/>
          <w:headerReference w:type="first" r:id="rId11"/>
          <w:footerReference w:type="first" r:id="rId12"/>
          <w:pgSz w:w="11906" w:h="16838" w:code="9"/>
          <w:pgMar w:top="794" w:right="794" w:bottom="794" w:left="794" w:header="794" w:footer="794" w:gutter="0"/>
          <w:cols w:space="708"/>
          <w:titlePg/>
          <w:docGrid w:linePitch="360"/>
        </w:sectPr>
      </w:pPr>
    </w:p>
    <w:tbl>
      <w:tblPr>
        <w:tblStyle w:val="NTWStable1"/>
        <w:tblW w:w="10348" w:type="dxa"/>
        <w:tblLook w:val="0480" w:firstRow="0" w:lastRow="0" w:firstColumn="1" w:lastColumn="0" w:noHBand="0" w:noVBand="1"/>
      </w:tblPr>
      <w:tblGrid>
        <w:gridCol w:w="2410"/>
        <w:gridCol w:w="7938"/>
      </w:tblGrid>
      <w:tr w:rsidR="003223FE" w:rsidTr="004D6618">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DB7310"/>
          </w:tcPr>
          <w:p w:rsidR="003223FE" w:rsidRPr="004D6618" w:rsidRDefault="003223FE" w:rsidP="00200069">
            <w:pPr>
              <w:rPr>
                <w:b/>
                <w:color w:val="FFFFFF" w:themeColor="background1"/>
              </w:rPr>
            </w:pPr>
            <w:r w:rsidRPr="004D6618">
              <w:rPr>
                <w:b/>
                <w:color w:val="FFFFFF" w:themeColor="background1"/>
              </w:rPr>
              <w:lastRenderedPageBreak/>
              <w:t>Document title</w:t>
            </w:r>
          </w:p>
        </w:tc>
        <w:tc>
          <w:tcPr>
            <w:tcW w:w="7938" w:type="dxa"/>
          </w:tcPr>
          <w:p w:rsidR="003223FE" w:rsidRPr="00200069" w:rsidRDefault="00A139EB" w:rsidP="00200069">
            <w:pPr>
              <w:cnfStyle w:val="000000100000" w:firstRow="0" w:lastRow="0" w:firstColumn="0" w:lastColumn="0" w:oddVBand="0" w:evenVBand="0" w:oddHBand="1" w:evenHBand="0" w:firstRowFirstColumn="0" w:firstRowLastColumn="0" w:lastRowFirstColumn="0" w:lastRowLastColumn="0"/>
            </w:pPr>
            <w:sdt>
              <w:sdtPr>
                <w:alias w:val="Title"/>
                <w:tag w:val="Title"/>
                <w:id w:val="1887138691"/>
                <w:placeholder>
                  <w:docPart w:val="DE19F675AA76403981B332FF246B1A4D"/>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4D6618">
                  <w:t>Prosecution Guidelines</w:t>
                </w:r>
              </w:sdtContent>
            </w:sdt>
          </w:p>
        </w:tc>
      </w:tr>
      <w:tr w:rsidR="003223FE" w:rsidTr="004D6618">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DB7310"/>
          </w:tcPr>
          <w:p w:rsidR="003223FE" w:rsidRPr="004D6618" w:rsidRDefault="003223FE" w:rsidP="00200069">
            <w:pPr>
              <w:rPr>
                <w:b/>
                <w:color w:val="FFFFFF" w:themeColor="background1"/>
              </w:rPr>
            </w:pPr>
            <w:r w:rsidRPr="004D6618">
              <w:rPr>
                <w:b/>
                <w:color w:val="FFFFFF" w:themeColor="background1"/>
              </w:rPr>
              <w:t>Contact details</w:t>
            </w:r>
          </w:p>
        </w:tc>
        <w:tc>
          <w:tcPr>
            <w:tcW w:w="7938" w:type="dxa"/>
          </w:tcPr>
          <w:p w:rsidR="003223FE" w:rsidRPr="00200069" w:rsidRDefault="004D6618" w:rsidP="00200069">
            <w:pPr>
              <w:cnfStyle w:val="000000010000" w:firstRow="0" w:lastRow="0" w:firstColumn="0" w:lastColumn="0" w:oddVBand="0" w:evenVBand="0" w:oddHBand="0" w:evenHBand="1" w:firstRowFirstColumn="0" w:firstRowLastColumn="0" w:lastRowFirstColumn="0" w:lastRowLastColumn="0"/>
            </w:pPr>
            <w:r>
              <w:t>NT WorkSafe</w:t>
            </w:r>
          </w:p>
        </w:tc>
      </w:tr>
      <w:tr w:rsidR="003223FE" w:rsidTr="004D6618">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DB7310"/>
          </w:tcPr>
          <w:p w:rsidR="003223FE" w:rsidRPr="004D6618" w:rsidRDefault="003223FE" w:rsidP="00200069">
            <w:pPr>
              <w:rPr>
                <w:b/>
                <w:color w:val="FFFFFF" w:themeColor="background1"/>
              </w:rPr>
            </w:pPr>
            <w:r w:rsidRPr="004D6618">
              <w:rPr>
                <w:b/>
                <w:color w:val="FFFFFF" w:themeColor="background1"/>
              </w:rPr>
              <w:t>Approved by</w:t>
            </w:r>
          </w:p>
        </w:tc>
        <w:tc>
          <w:tcPr>
            <w:tcW w:w="7938" w:type="dxa"/>
          </w:tcPr>
          <w:p w:rsidR="003223FE" w:rsidRPr="00200069" w:rsidRDefault="004D6618" w:rsidP="00C842DB">
            <w:pPr>
              <w:cnfStyle w:val="000000100000" w:firstRow="0" w:lastRow="0" w:firstColumn="0" w:lastColumn="0" w:oddVBand="0" w:evenVBand="0" w:oddHBand="1" w:evenHBand="0" w:firstRowFirstColumn="0" w:firstRowLastColumn="0" w:lastRowFirstColumn="0" w:lastRowLastColumn="0"/>
            </w:pPr>
            <w:r>
              <w:t>P</w:t>
            </w:r>
            <w:r w:rsidR="00C842DB">
              <w:t>eggy</w:t>
            </w:r>
            <w:r>
              <w:t xml:space="preserve"> Cheong – Executive Director</w:t>
            </w:r>
          </w:p>
        </w:tc>
      </w:tr>
      <w:tr w:rsidR="003223FE" w:rsidTr="004D6618">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DB7310"/>
          </w:tcPr>
          <w:p w:rsidR="003223FE" w:rsidRPr="004D6618" w:rsidRDefault="003223FE" w:rsidP="00200069">
            <w:pPr>
              <w:rPr>
                <w:b/>
                <w:color w:val="FFFFFF" w:themeColor="background1"/>
              </w:rPr>
            </w:pPr>
            <w:r w:rsidRPr="004D6618">
              <w:rPr>
                <w:b/>
                <w:color w:val="FFFFFF" w:themeColor="background1"/>
              </w:rPr>
              <w:t>Date approved</w:t>
            </w:r>
          </w:p>
        </w:tc>
        <w:tc>
          <w:tcPr>
            <w:tcW w:w="7938" w:type="dxa"/>
          </w:tcPr>
          <w:p w:rsidR="003223FE" w:rsidRPr="00200069" w:rsidRDefault="00072A6C" w:rsidP="00200069">
            <w:pPr>
              <w:cnfStyle w:val="000000010000" w:firstRow="0" w:lastRow="0" w:firstColumn="0" w:lastColumn="0" w:oddVBand="0" w:evenVBand="0" w:oddHBand="0" w:evenHBand="1" w:firstRowFirstColumn="0" w:firstRowLastColumn="0" w:lastRowFirstColumn="0" w:lastRowLastColumn="0"/>
            </w:pPr>
            <w:r>
              <w:t>21</w:t>
            </w:r>
            <w:r w:rsidR="004D6618">
              <w:t xml:space="preserve"> October 2022</w:t>
            </w:r>
          </w:p>
        </w:tc>
      </w:tr>
      <w:tr w:rsidR="003223FE" w:rsidTr="004D6618">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DB7310"/>
          </w:tcPr>
          <w:p w:rsidR="003223FE" w:rsidRPr="004D6618" w:rsidRDefault="003223FE" w:rsidP="00200069">
            <w:pPr>
              <w:rPr>
                <w:b/>
                <w:color w:val="FFFFFF" w:themeColor="background1"/>
              </w:rPr>
            </w:pPr>
            <w:r w:rsidRPr="004D6618">
              <w:rPr>
                <w:b/>
                <w:color w:val="FFFFFF" w:themeColor="background1"/>
              </w:rPr>
              <w:t>Document review</w:t>
            </w:r>
          </w:p>
        </w:tc>
        <w:tc>
          <w:tcPr>
            <w:tcW w:w="7938" w:type="dxa"/>
          </w:tcPr>
          <w:p w:rsidR="003223FE" w:rsidRPr="00200069" w:rsidRDefault="004D6618" w:rsidP="00200069">
            <w:pPr>
              <w:cnfStyle w:val="000000100000" w:firstRow="0" w:lastRow="0" w:firstColumn="0" w:lastColumn="0" w:oddVBand="0" w:evenVBand="0" w:oddHBand="1" w:evenHBand="0" w:firstRowFirstColumn="0" w:firstRowLastColumn="0" w:lastRowFirstColumn="0" w:lastRowLastColumn="0"/>
            </w:pPr>
            <w:r>
              <w:t>Annually</w:t>
            </w:r>
          </w:p>
        </w:tc>
      </w:tr>
      <w:tr w:rsidR="001E1982" w:rsidTr="004D6618">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DB7310"/>
          </w:tcPr>
          <w:p w:rsidR="001E1982" w:rsidRPr="004D6618" w:rsidRDefault="001E1982" w:rsidP="00200069">
            <w:pPr>
              <w:rPr>
                <w:b/>
                <w:color w:val="FFFFFF" w:themeColor="background1"/>
              </w:rPr>
            </w:pPr>
            <w:r w:rsidRPr="004D6618">
              <w:rPr>
                <w:b/>
                <w:color w:val="FFFFFF" w:themeColor="background1"/>
              </w:rPr>
              <w:t>TRM number</w:t>
            </w:r>
          </w:p>
        </w:tc>
        <w:tc>
          <w:tcPr>
            <w:tcW w:w="7938" w:type="dxa"/>
          </w:tcPr>
          <w:p w:rsidR="001E1982" w:rsidRPr="00200069" w:rsidRDefault="004D6618" w:rsidP="00200069">
            <w:pPr>
              <w:cnfStyle w:val="000000010000" w:firstRow="0" w:lastRow="0" w:firstColumn="0" w:lastColumn="0" w:oddVBand="0" w:evenVBand="0" w:oddHBand="0" w:evenHBand="1" w:firstRowFirstColumn="0" w:firstRowLastColumn="0" w:lastRowFirstColumn="0" w:lastRowLastColumn="0"/>
            </w:pPr>
            <w:r>
              <w:t>NTWS2021/0059</w:t>
            </w:r>
          </w:p>
        </w:tc>
      </w:tr>
    </w:tbl>
    <w:p w:rsidR="003223FE" w:rsidRDefault="003223FE" w:rsidP="00702D61"/>
    <w:tbl>
      <w:tblPr>
        <w:tblStyle w:val="NTWStable1"/>
        <w:tblW w:w="10341" w:type="dxa"/>
        <w:tblLayout w:type="fixed"/>
        <w:tblLook w:val="0120" w:firstRow="1" w:lastRow="0" w:firstColumn="0" w:lastColumn="1" w:noHBand="0" w:noVBand="0"/>
      </w:tblPr>
      <w:tblGrid>
        <w:gridCol w:w="1128"/>
        <w:gridCol w:w="2268"/>
        <w:gridCol w:w="2551"/>
        <w:gridCol w:w="4394"/>
      </w:tblGrid>
      <w:tr w:rsidR="003223FE" w:rsidRPr="00E87DE1" w:rsidTr="004D6618">
        <w:trPr>
          <w:cnfStyle w:val="100000000000" w:firstRow="1" w:lastRow="0" w:firstColumn="0" w:lastColumn="0" w:oddVBand="0" w:evenVBand="0" w:oddHBand="0"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shd w:val="clear" w:color="auto" w:fill="DB7310"/>
          </w:tcPr>
          <w:p w:rsidR="003223FE" w:rsidRPr="004D6618" w:rsidRDefault="003223FE" w:rsidP="00200069">
            <w:pPr>
              <w:rPr>
                <w:color w:val="FFFFFF" w:themeColor="background1"/>
              </w:rPr>
            </w:pPr>
            <w:r w:rsidRPr="004D6618">
              <w:rPr>
                <w:color w:val="FFFFFF" w:themeColor="background1"/>
              </w:rPr>
              <w:t>Version</w:t>
            </w:r>
          </w:p>
        </w:tc>
        <w:tc>
          <w:tcPr>
            <w:cnfStyle w:val="000001000000" w:firstRow="0" w:lastRow="0" w:firstColumn="0" w:lastColumn="0" w:oddVBand="0" w:evenVBand="1" w:oddHBand="0" w:evenHBand="0" w:firstRowFirstColumn="0" w:firstRowLastColumn="0" w:lastRowFirstColumn="0" w:lastRowLastColumn="0"/>
            <w:tcW w:w="2268" w:type="dxa"/>
            <w:shd w:val="clear" w:color="auto" w:fill="DB7310"/>
          </w:tcPr>
          <w:p w:rsidR="003223FE" w:rsidRPr="004D6618" w:rsidRDefault="003223FE" w:rsidP="00200069">
            <w:pPr>
              <w:rPr>
                <w:color w:val="FFFFFF" w:themeColor="background1"/>
              </w:rPr>
            </w:pPr>
            <w:r w:rsidRPr="004D6618">
              <w:rPr>
                <w:color w:val="FFFFFF" w:themeColor="background1"/>
              </w:rPr>
              <w:t>Date</w:t>
            </w:r>
          </w:p>
        </w:tc>
        <w:tc>
          <w:tcPr>
            <w:cnfStyle w:val="000010000000" w:firstRow="0" w:lastRow="0" w:firstColumn="0" w:lastColumn="0" w:oddVBand="1" w:evenVBand="0" w:oddHBand="0" w:evenHBand="0" w:firstRowFirstColumn="0" w:firstRowLastColumn="0" w:lastRowFirstColumn="0" w:lastRowLastColumn="0"/>
            <w:tcW w:w="2551" w:type="dxa"/>
            <w:shd w:val="clear" w:color="auto" w:fill="DB7310"/>
          </w:tcPr>
          <w:p w:rsidR="003223FE" w:rsidRPr="004D6618" w:rsidRDefault="003223FE" w:rsidP="00200069">
            <w:pPr>
              <w:rPr>
                <w:color w:val="FFFFFF" w:themeColor="background1"/>
              </w:rPr>
            </w:pPr>
            <w:r w:rsidRPr="004D6618">
              <w:rPr>
                <w:color w:val="FFFFFF" w:themeColor="background1"/>
              </w:rPr>
              <w:t>Author</w:t>
            </w:r>
          </w:p>
        </w:tc>
        <w:tc>
          <w:tcPr>
            <w:cnfStyle w:val="000100001000" w:firstRow="0" w:lastRow="0" w:firstColumn="0" w:lastColumn="1" w:oddVBand="0" w:evenVBand="0" w:oddHBand="0" w:evenHBand="0" w:firstRowFirstColumn="0" w:firstRowLastColumn="1" w:lastRowFirstColumn="0" w:lastRowLastColumn="0"/>
            <w:tcW w:w="4394" w:type="dxa"/>
            <w:shd w:val="clear" w:color="auto" w:fill="DB7310"/>
          </w:tcPr>
          <w:p w:rsidR="003223FE" w:rsidRPr="004D6618" w:rsidRDefault="003223FE" w:rsidP="00200069">
            <w:pPr>
              <w:rPr>
                <w:color w:val="FFFFFF" w:themeColor="background1"/>
              </w:rPr>
            </w:pPr>
            <w:r w:rsidRPr="004D6618">
              <w:rPr>
                <w:color w:val="FFFFFF" w:themeColor="background1"/>
              </w:rPr>
              <w:t>Changes made</w:t>
            </w:r>
          </w:p>
        </w:tc>
      </w:tr>
      <w:tr w:rsidR="003223FE" w:rsidRPr="00E87DE1" w:rsidTr="00384AD4">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rsidR="003223FE" w:rsidRPr="00200069" w:rsidRDefault="004D6618" w:rsidP="00C842DB">
            <w:r>
              <w:t>V1.</w:t>
            </w:r>
            <w:r w:rsidR="00C842DB">
              <w:t>0</w:t>
            </w:r>
          </w:p>
        </w:tc>
        <w:tc>
          <w:tcPr>
            <w:cnfStyle w:val="000001000000" w:firstRow="0" w:lastRow="0" w:firstColumn="0" w:lastColumn="0" w:oddVBand="0" w:evenVBand="1" w:oddHBand="0" w:evenHBand="0" w:firstRowFirstColumn="0" w:firstRowLastColumn="0" w:lastRowFirstColumn="0" w:lastRowLastColumn="0"/>
            <w:tcW w:w="2268" w:type="dxa"/>
          </w:tcPr>
          <w:p w:rsidR="003223FE" w:rsidRPr="00200069" w:rsidRDefault="00C842DB" w:rsidP="00C842DB">
            <w:r>
              <w:t>7</w:t>
            </w:r>
            <w:r w:rsidR="004D6618">
              <w:t xml:space="preserve"> </w:t>
            </w:r>
            <w:r>
              <w:t>January</w:t>
            </w:r>
            <w:r w:rsidR="004D6618">
              <w:t xml:space="preserve"> 202</w:t>
            </w:r>
            <w:r>
              <w:t>1</w:t>
            </w:r>
          </w:p>
        </w:tc>
        <w:tc>
          <w:tcPr>
            <w:cnfStyle w:val="000010000000" w:firstRow="0" w:lastRow="0" w:firstColumn="0" w:lastColumn="0" w:oddVBand="1" w:evenVBand="0" w:oddHBand="0" w:evenHBand="0" w:firstRowFirstColumn="0" w:firstRowLastColumn="0" w:lastRowFirstColumn="0" w:lastRowLastColumn="0"/>
            <w:tcW w:w="2551" w:type="dxa"/>
          </w:tcPr>
          <w:p w:rsidR="003223FE" w:rsidRPr="00200069" w:rsidRDefault="00C842DB" w:rsidP="00200069">
            <w:r>
              <w:t>A. Filkovskaya</w:t>
            </w:r>
          </w:p>
        </w:tc>
        <w:tc>
          <w:tcPr>
            <w:cnfStyle w:val="000100000000" w:firstRow="0" w:lastRow="0" w:firstColumn="0" w:lastColumn="1" w:oddVBand="0" w:evenVBand="0" w:oddHBand="0" w:evenHBand="0" w:firstRowFirstColumn="0" w:firstRowLastColumn="0" w:lastRowFirstColumn="0" w:lastRowLastColumn="0"/>
            <w:tcW w:w="4394" w:type="dxa"/>
          </w:tcPr>
          <w:p w:rsidR="003223FE" w:rsidRPr="00200069" w:rsidRDefault="00C842DB" w:rsidP="00200069">
            <w:r>
              <w:t>First Draft.</w:t>
            </w:r>
          </w:p>
        </w:tc>
      </w:tr>
      <w:tr w:rsidR="003223FE" w:rsidRPr="00E87DE1" w:rsidTr="00384AD4">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Borders>
              <w:bottom w:val="nil"/>
            </w:tcBorders>
          </w:tcPr>
          <w:p w:rsidR="003223FE" w:rsidRPr="00200069" w:rsidRDefault="00C842DB" w:rsidP="00200069">
            <w:r>
              <w:t>V1.1</w:t>
            </w:r>
          </w:p>
        </w:tc>
        <w:tc>
          <w:tcPr>
            <w:cnfStyle w:val="000001000000" w:firstRow="0" w:lastRow="0" w:firstColumn="0" w:lastColumn="0" w:oddVBand="0" w:evenVBand="1" w:oddHBand="0" w:evenHBand="0" w:firstRowFirstColumn="0" w:firstRowLastColumn="0" w:lastRowFirstColumn="0" w:lastRowLastColumn="0"/>
            <w:tcW w:w="2268" w:type="dxa"/>
            <w:tcBorders>
              <w:bottom w:val="nil"/>
            </w:tcBorders>
          </w:tcPr>
          <w:p w:rsidR="003223FE" w:rsidRPr="00200069" w:rsidRDefault="00C842DB" w:rsidP="00200069">
            <w:r>
              <w:t>14 January 2021</w:t>
            </w:r>
          </w:p>
        </w:tc>
        <w:tc>
          <w:tcPr>
            <w:cnfStyle w:val="000010000000" w:firstRow="0" w:lastRow="0" w:firstColumn="0" w:lastColumn="0" w:oddVBand="1" w:evenVBand="0" w:oddHBand="0" w:evenHBand="0" w:firstRowFirstColumn="0" w:firstRowLastColumn="0" w:lastRowFirstColumn="0" w:lastRowLastColumn="0"/>
            <w:tcW w:w="2551" w:type="dxa"/>
            <w:tcBorders>
              <w:bottom w:val="nil"/>
            </w:tcBorders>
          </w:tcPr>
          <w:p w:rsidR="003223FE" w:rsidRPr="00200069" w:rsidRDefault="00C842DB" w:rsidP="00200069">
            <w:r>
              <w:t>E. Collard/C. Wicks</w:t>
            </w:r>
          </w:p>
        </w:tc>
        <w:tc>
          <w:tcPr>
            <w:cnfStyle w:val="000100000000" w:firstRow="0" w:lastRow="0" w:firstColumn="0" w:lastColumn="1" w:oddVBand="0" w:evenVBand="0" w:oddHBand="0" w:evenHBand="0" w:firstRowFirstColumn="0" w:firstRowLastColumn="0" w:lastRowFirstColumn="0" w:lastRowLastColumn="0"/>
            <w:tcW w:w="4394" w:type="dxa"/>
            <w:tcBorders>
              <w:bottom w:val="nil"/>
            </w:tcBorders>
          </w:tcPr>
          <w:p w:rsidR="003223FE" w:rsidRPr="00200069" w:rsidRDefault="00C842DB" w:rsidP="00200069">
            <w:r>
              <w:t>Minor edits and elaboration of NCEP.</w:t>
            </w:r>
          </w:p>
        </w:tc>
      </w:tr>
      <w:tr w:rsidR="00C842DB" w:rsidRPr="00E87DE1" w:rsidTr="00384AD4">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Borders>
              <w:bottom w:val="nil"/>
            </w:tcBorders>
          </w:tcPr>
          <w:p w:rsidR="00C842DB" w:rsidRDefault="00C842DB" w:rsidP="00200069">
            <w:r>
              <w:t>V1.2</w:t>
            </w:r>
          </w:p>
        </w:tc>
        <w:tc>
          <w:tcPr>
            <w:cnfStyle w:val="000001000000" w:firstRow="0" w:lastRow="0" w:firstColumn="0" w:lastColumn="0" w:oddVBand="0" w:evenVBand="1" w:oddHBand="0" w:evenHBand="0" w:firstRowFirstColumn="0" w:firstRowLastColumn="0" w:lastRowFirstColumn="0" w:lastRowLastColumn="0"/>
            <w:tcW w:w="2268" w:type="dxa"/>
            <w:tcBorders>
              <w:bottom w:val="nil"/>
            </w:tcBorders>
          </w:tcPr>
          <w:p w:rsidR="00C842DB" w:rsidRDefault="00C842DB" w:rsidP="00200069">
            <w:r>
              <w:t>8 March 2021</w:t>
            </w:r>
          </w:p>
        </w:tc>
        <w:tc>
          <w:tcPr>
            <w:cnfStyle w:val="000010000000" w:firstRow="0" w:lastRow="0" w:firstColumn="0" w:lastColumn="0" w:oddVBand="1" w:evenVBand="0" w:oddHBand="0" w:evenHBand="0" w:firstRowFirstColumn="0" w:firstRowLastColumn="0" w:lastRowFirstColumn="0" w:lastRowLastColumn="0"/>
            <w:tcW w:w="2551" w:type="dxa"/>
            <w:tcBorders>
              <w:bottom w:val="nil"/>
            </w:tcBorders>
          </w:tcPr>
          <w:p w:rsidR="00C842DB" w:rsidRDefault="00C842DB" w:rsidP="00200069">
            <w:r>
              <w:t>J. Mu</w:t>
            </w:r>
          </w:p>
        </w:tc>
        <w:tc>
          <w:tcPr>
            <w:cnfStyle w:val="000100000000" w:firstRow="0" w:lastRow="0" w:firstColumn="0" w:lastColumn="1" w:oddVBand="0" w:evenVBand="0" w:oddHBand="0" w:evenHBand="0" w:firstRowFirstColumn="0" w:firstRowLastColumn="0" w:lastRowFirstColumn="0" w:lastRowLastColumn="0"/>
            <w:tcW w:w="4394" w:type="dxa"/>
            <w:tcBorders>
              <w:bottom w:val="nil"/>
            </w:tcBorders>
          </w:tcPr>
          <w:p w:rsidR="00C842DB" w:rsidRDefault="00C842DB" w:rsidP="00200069">
            <w:r w:rsidRPr="00C842DB">
              <w:t>New version with details on prosecutions and offences and recognition of new Strategic Plan</w:t>
            </w:r>
            <w:r>
              <w:t>.</w:t>
            </w:r>
          </w:p>
        </w:tc>
      </w:tr>
      <w:tr w:rsidR="003223FE" w:rsidRPr="00E87DE1" w:rsidTr="00384AD4">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Borders>
              <w:bottom w:val="single" w:sz="4" w:space="0" w:color="1F1F5F" w:themeColor="text1"/>
            </w:tcBorders>
          </w:tcPr>
          <w:p w:rsidR="003223FE" w:rsidRPr="00200069" w:rsidRDefault="00C842DB" w:rsidP="00200069">
            <w:r>
              <w:t>V1.3</w:t>
            </w:r>
          </w:p>
        </w:tc>
        <w:tc>
          <w:tcPr>
            <w:cnfStyle w:val="000001000000" w:firstRow="0" w:lastRow="0" w:firstColumn="0" w:lastColumn="0" w:oddVBand="0" w:evenVBand="1" w:oddHBand="0" w:evenHBand="0" w:firstRowFirstColumn="0" w:firstRowLastColumn="0" w:lastRowFirstColumn="0" w:lastRowLastColumn="0"/>
            <w:tcW w:w="2268" w:type="dxa"/>
            <w:tcBorders>
              <w:bottom w:val="single" w:sz="4" w:space="0" w:color="1F1F5F" w:themeColor="text1"/>
            </w:tcBorders>
          </w:tcPr>
          <w:p w:rsidR="003223FE" w:rsidRPr="00200069" w:rsidRDefault="00C842DB" w:rsidP="00200069">
            <w:r>
              <w:t>4 October 2022</w:t>
            </w:r>
          </w:p>
        </w:tc>
        <w:tc>
          <w:tcPr>
            <w:cnfStyle w:val="000010000000" w:firstRow="0" w:lastRow="0" w:firstColumn="0" w:lastColumn="0" w:oddVBand="1" w:evenVBand="0" w:oddHBand="0" w:evenHBand="0" w:firstRowFirstColumn="0" w:firstRowLastColumn="0" w:lastRowFirstColumn="0" w:lastRowLastColumn="0"/>
            <w:tcW w:w="2551" w:type="dxa"/>
            <w:tcBorders>
              <w:bottom w:val="single" w:sz="4" w:space="0" w:color="1F1F5F" w:themeColor="text1"/>
            </w:tcBorders>
          </w:tcPr>
          <w:p w:rsidR="003223FE" w:rsidRPr="00200069" w:rsidRDefault="00C842DB" w:rsidP="00200069">
            <w:r>
              <w:t>C. Wicks</w:t>
            </w:r>
          </w:p>
        </w:tc>
        <w:tc>
          <w:tcPr>
            <w:cnfStyle w:val="000100000000" w:firstRow="0" w:lastRow="0" w:firstColumn="0" w:lastColumn="1" w:oddVBand="0" w:evenVBand="0" w:oddHBand="0" w:evenHBand="0" w:firstRowFirstColumn="0" w:firstRowLastColumn="0" w:lastRowFirstColumn="0" w:lastRowLastColumn="0"/>
            <w:tcW w:w="4394" w:type="dxa"/>
            <w:tcBorders>
              <w:bottom w:val="single" w:sz="4" w:space="0" w:color="1F1F5F" w:themeColor="text1"/>
            </w:tcBorders>
          </w:tcPr>
          <w:p w:rsidR="003223FE" w:rsidRPr="00200069" w:rsidRDefault="00C842DB" w:rsidP="00200069">
            <w:r>
              <w:t>Minor edits.</w:t>
            </w:r>
          </w:p>
        </w:tc>
      </w:tr>
    </w:tbl>
    <w:p w:rsidR="003223FE" w:rsidRDefault="003223FE" w:rsidP="00702D61"/>
    <w:tbl>
      <w:tblPr>
        <w:tblStyle w:val="NTWStable1"/>
        <w:tblW w:w="10341" w:type="dxa"/>
        <w:tblLayout w:type="fixed"/>
        <w:tblLook w:val="0120" w:firstRow="1" w:lastRow="0" w:firstColumn="0" w:lastColumn="1" w:noHBand="0" w:noVBand="0"/>
      </w:tblPr>
      <w:tblGrid>
        <w:gridCol w:w="1979"/>
        <w:gridCol w:w="8362"/>
      </w:tblGrid>
      <w:tr w:rsidR="003223FE" w:rsidRPr="00E87DE1" w:rsidTr="004D6618">
        <w:trPr>
          <w:cnfStyle w:val="100000000000" w:firstRow="1" w:lastRow="0" w:firstColumn="0" w:lastColumn="0" w:oddVBand="0" w:evenVBand="0" w:oddHBand="0"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shd w:val="clear" w:color="auto" w:fill="DB7310"/>
          </w:tcPr>
          <w:p w:rsidR="003223FE" w:rsidRPr="004D6618" w:rsidRDefault="003223FE" w:rsidP="00200069">
            <w:pPr>
              <w:rPr>
                <w:color w:val="FFFFFF" w:themeColor="background1"/>
              </w:rPr>
            </w:pPr>
            <w:r w:rsidRPr="004D6618">
              <w:rPr>
                <w:color w:val="FFFFFF" w:themeColor="background1"/>
              </w:rPr>
              <w:t>Acronyms</w:t>
            </w:r>
          </w:p>
        </w:tc>
        <w:tc>
          <w:tcPr>
            <w:cnfStyle w:val="000100001000" w:firstRow="0" w:lastRow="0" w:firstColumn="0" w:lastColumn="1" w:oddVBand="0" w:evenVBand="0" w:oddHBand="0" w:evenHBand="0" w:firstRowFirstColumn="0" w:firstRowLastColumn="1" w:lastRowFirstColumn="0" w:lastRowLastColumn="0"/>
            <w:tcW w:w="8362" w:type="dxa"/>
            <w:shd w:val="clear" w:color="auto" w:fill="DB7310"/>
          </w:tcPr>
          <w:p w:rsidR="003223FE" w:rsidRPr="004D6618" w:rsidRDefault="003223FE" w:rsidP="00200069">
            <w:pPr>
              <w:rPr>
                <w:color w:val="FFFFFF" w:themeColor="background1"/>
              </w:rPr>
            </w:pPr>
            <w:r w:rsidRPr="004D6618">
              <w:rPr>
                <w:color w:val="FFFFFF" w:themeColor="background1"/>
              </w:rPr>
              <w:t>Full form</w:t>
            </w:r>
          </w:p>
        </w:tc>
      </w:tr>
      <w:tr w:rsidR="00E92EB4" w:rsidRPr="00E87DE1" w:rsidTr="00384AD4">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rsidR="00E92EB4" w:rsidRPr="00200069" w:rsidRDefault="00E92EB4" w:rsidP="00E92EB4">
            <w:r>
              <w:t>DPP</w:t>
            </w:r>
          </w:p>
        </w:tc>
        <w:tc>
          <w:tcPr>
            <w:cnfStyle w:val="000100000000" w:firstRow="0" w:lastRow="0" w:firstColumn="0" w:lastColumn="1" w:oddVBand="0" w:evenVBand="0" w:oddHBand="0" w:evenHBand="0" w:firstRowFirstColumn="0" w:firstRowLastColumn="0" w:lastRowFirstColumn="0" w:lastRowLastColumn="0"/>
            <w:tcW w:w="8362" w:type="dxa"/>
          </w:tcPr>
          <w:p w:rsidR="00E92EB4" w:rsidRPr="00200069" w:rsidRDefault="00E92EB4" w:rsidP="00E92EB4">
            <w:r w:rsidRPr="004D6618">
              <w:t>Director of Public Prosecutions</w:t>
            </w:r>
          </w:p>
        </w:tc>
      </w:tr>
      <w:tr w:rsidR="00E92EB4" w:rsidRPr="00E87DE1" w:rsidTr="00384AD4">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Borders>
              <w:bottom w:val="nil"/>
            </w:tcBorders>
          </w:tcPr>
          <w:p w:rsidR="00E92EB4" w:rsidRPr="00200069" w:rsidRDefault="00E92EB4" w:rsidP="00E92EB4">
            <w:r>
              <w:t>NCEP</w:t>
            </w:r>
          </w:p>
        </w:tc>
        <w:tc>
          <w:tcPr>
            <w:cnfStyle w:val="000100000000" w:firstRow="0" w:lastRow="0" w:firstColumn="0" w:lastColumn="1" w:oddVBand="0" w:evenVBand="0" w:oddHBand="0" w:evenHBand="0" w:firstRowFirstColumn="0" w:firstRowLastColumn="0" w:lastRowFirstColumn="0" w:lastRowLastColumn="0"/>
            <w:tcW w:w="8362" w:type="dxa"/>
            <w:tcBorders>
              <w:bottom w:val="nil"/>
            </w:tcBorders>
          </w:tcPr>
          <w:p w:rsidR="00E92EB4" w:rsidRPr="00200069" w:rsidRDefault="00E92EB4" w:rsidP="00E92EB4">
            <w:r w:rsidRPr="004D6618">
              <w:t>National Compliance and Enforcement Policy</w:t>
            </w:r>
          </w:p>
        </w:tc>
      </w:tr>
      <w:tr w:rsidR="00E92EB4" w:rsidRPr="00E87DE1" w:rsidTr="00384AD4">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Borders>
              <w:bottom w:val="single" w:sz="4" w:space="0" w:color="1F1F5F" w:themeColor="text1"/>
            </w:tcBorders>
          </w:tcPr>
          <w:p w:rsidR="00E92EB4" w:rsidRPr="00200069" w:rsidRDefault="00E92EB4" w:rsidP="00E92EB4">
            <w:r>
              <w:t>WHS</w:t>
            </w:r>
          </w:p>
        </w:tc>
        <w:tc>
          <w:tcPr>
            <w:cnfStyle w:val="000100000000" w:firstRow="0" w:lastRow="0" w:firstColumn="0" w:lastColumn="1" w:oddVBand="0" w:evenVBand="0" w:oddHBand="0" w:evenHBand="0" w:firstRowFirstColumn="0" w:firstRowLastColumn="0" w:lastRowFirstColumn="0" w:lastRowLastColumn="0"/>
            <w:tcW w:w="8362" w:type="dxa"/>
            <w:tcBorders>
              <w:bottom w:val="single" w:sz="4" w:space="0" w:color="1F1F5F" w:themeColor="text1"/>
            </w:tcBorders>
          </w:tcPr>
          <w:p w:rsidR="00E92EB4" w:rsidRPr="00200069" w:rsidRDefault="00E92EB4" w:rsidP="00E92EB4">
            <w:r>
              <w:t>Work Health and Safety</w:t>
            </w:r>
          </w:p>
        </w:tc>
      </w:tr>
    </w:tbl>
    <w:p w:rsidR="00702D61" w:rsidRDefault="00702D61" w:rsidP="00702D61">
      <w:r>
        <w:br w:type="page"/>
      </w:r>
    </w:p>
    <w:sdt>
      <w:sdtPr>
        <w:rPr>
          <w:rFonts w:ascii="Lato" w:eastAsia="Calibri" w:hAnsi="Lato" w:cs="Times New Roman"/>
          <w:b/>
          <w:bCs w:val="0"/>
          <w:color w:val="auto"/>
          <w:sz w:val="22"/>
          <w:szCs w:val="22"/>
        </w:rPr>
        <w:id w:val="-88318220"/>
        <w:docPartObj>
          <w:docPartGallery w:val="Table of Contents"/>
          <w:docPartUnique/>
        </w:docPartObj>
      </w:sdtPr>
      <w:sdtEndPr>
        <w:rPr>
          <w:b w:val="0"/>
          <w:noProof/>
        </w:rPr>
      </w:sdtEndPr>
      <w:sdtContent>
        <w:p w:rsidR="00964B22" w:rsidRPr="00422874" w:rsidRDefault="00964B22" w:rsidP="00401606">
          <w:pPr>
            <w:pStyle w:val="TOCHeading"/>
            <w:tabs>
              <w:tab w:val="left" w:pos="9211"/>
            </w:tabs>
            <w:rPr>
              <w:lang w:eastAsia="ja-JP"/>
            </w:rPr>
          </w:pPr>
          <w:r w:rsidRPr="00422874">
            <w:t>Contents</w:t>
          </w:r>
        </w:p>
        <w:p w:rsidR="00462D0B" w:rsidRDefault="006747E0">
          <w:pPr>
            <w:pStyle w:val="TOC1"/>
            <w:rPr>
              <w:rFonts w:asciiTheme="minorHAnsi" w:eastAsiaTheme="minorEastAsia" w:hAnsiTheme="minorHAnsi" w:cstheme="minorBidi"/>
              <w:b w:val="0"/>
              <w:noProof/>
              <w:lang w:eastAsia="en-AU"/>
            </w:rPr>
          </w:pPr>
          <w:r>
            <w:rPr>
              <w:rFonts w:eastAsiaTheme="minorEastAsia" w:cs="Arial"/>
              <w:lang w:eastAsia="en-AU"/>
            </w:rPr>
            <w:fldChar w:fldCharType="begin"/>
          </w:r>
          <w:r>
            <w:rPr>
              <w:rFonts w:eastAsiaTheme="minorEastAsia" w:cs="Arial"/>
              <w:lang w:eastAsia="en-AU"/>
            </w:rPr>
            <w:instrText xml:space="preserve"> TOC \o "1-4" \h \z \u </w:instrText>
          </w:r>
          <w:r>
            <w:rPr>
              <w:rFonts w:eastAsiaTheme="minorEastAsia" w:cs="Arial"/>
              <w:lang w:eastAsia="en-AU"/>
            </w:rPr>
            <w:fldChar w:fldCharType="separate"/>
          </w:r>
          <w:hyperlink w:anchor="_Toc117238882" w:history="1">
            <w:r w:rsidR="00462D0B" w:rsidRPr="00C316C9">
              <w:rPr>
                <w:rStyle w:val="Hyperlink"/>
                <w:noProof/>
                <w:lang w:eastAsia="en-AU"/>
              </w:rPr>
              <w:t>National Compliance and Enforcement Policy</w:t>
            </w:r>
            <w:r w:rsidR="00462D0B">
              <w:rPr>
                <w:noProof/>
                <w:webHidden/>
              </w:rPr>
              <w:tab/>
            </w:r>
            <w:r w:rsidR="00462D0B">
              <w:rPr>
                <w:noProof/>
                <w:webHidden/>
              </w:rPr>
              <w:fldChar w:fldCharType="begin"/>
            </w:r>
            <w:r w:rsidR="00462D0B">
              <w:rPr>
                <w:noProof/>
                <w:webHidden/>
              </w:rPr>
              <w:instrText xml:space="preserve"> PAGEREF _Toc117238882 \h </w:instrText>
            </w:r>
            <w:r w:rsidR="00462D0B">
              <w:rPr>
                <w:noProof/>
                <w:webHidden/>
              </w:rPr>
            </w:r>
            <w:r w:rsidR="00462D0B">
              <w:rPr>
                <w:noProof/>
                <w:webHidden/>
              </w:rPr>
              <w:fldChar w:fldCharType="separate"/>
            </w:r>
            <w:r w:rsidR="00462D0B">
              <w:rPr>
                <w:noProof/>
                <w:webHidden/>
              </w:rPr>
              <w:t>4</w:t>
            </w:r>
            <w:r w:rsidR="00462D0B">
              <w:rPr>
                <w:noProof/>
                <w:webHidden/>
              </w:rPr>
              <w:fldChar w:fldCharType="end"/>
            </w:r>
          </w:hyperlink>
        </w:p>
        <w:p w:rsidR="00462D0B" w:rsidRDefault="00A139EB">
          <w:pPr>
            <w:pStyle w:val="TOC1"/>
            <w:rPr>
              <w:rFonts w:asciiTheme="minorHAnsi" w:eastAsiaTheme="minorEastAsia" w:hAnsiTheme="minorHAnsi" w:cstheme="minorBidi"/>
              <w:b w:val="0"/>
              <w:noProof/>
              <w:lang w:eastAsia="en-AU"/>
            </w:rPr>
          </w:pPr>
          <w:hyperlink w:anchor="_Toc117238883" w:history="1">
            <w:r w:rsidR="00462D0B" w:rsidRPr="00C316C9">
              <w:rPr>
                <w:rStyle w:val="Hyperlink"/>
                <w:noProof/>
                <w:lang w:eastAsia="en-AU"/>
              </w:rPr>
              <w:t>Director of Public Prosecutions</w:t>
            </w:r>
            <w:r w:rsidR="00462D0B">
              <w:rPr>
                <w:noProof/>
                <w:webHidden/>
              </w:rPr>
              <w:tab/>
            </w:r>
            <w:r w:rsidR="00462D0B">
              <w:rPr>
                <w:noProof/>
                <w:webHidden/>
              </w:rPr>
              <w:fldChar w:fldCharType="begin"/>
            </w:r>
            <w:r w:rsidR="00462D0B">
              <w:rPr>
                <w:noProof/>
                <w:webHidden/>
              </w:rPr>
              <w:instrText xml:space="preserve"> PAGEREF _Toc117238883 \h </w:instrText>
            </w:r>
            <w:r w:rsidR="00462D0B">
              <w:rPr>
                <w:noProof/>
                <w:webHidden/>
              </w:rPr>
            </w:r>
            <w:r w:rsidR="00462D0B">
              <w:rPr>
                <w:noProof/>
                <w:webHidden/>
              </w:rPr>
              <w:fldChar w:fldCharType="separate"/>
            </w:r>
            <w:r w:rsidR="00462D0B">
              <w:rPr>
                <w:noProof/>
                <w:webHidden/>
              </w:rPr>
              <w:t>5</w:t>
            </w:r>
            <w:r w:rsidR="00462D0B">
              <w:rPr>
                <w:noProof/>
                <w:webHidden/>
              </w:rPr>
              <w:fldChar w:fldCharType="end"/>
            </w:r>
          </w:hyperlink>
        </w:p>
        <w:p w:rsidR="00462D0B" w:rsidRDefault="00A139EB">
          <w:pPr>
            <w:pStyle w:val="TOC2"/>
            <w:rPr>
              <w:rFonts w:asciiTheme="minorHAnsi" w:eastAsiaTheme="minorEastAsia" w:hAnsiTheme="minorHAnsi" w:cstheme="minorBidi"/>
              <w:noProof/>
              <w:lang w:eastAsia="en-AU"/>
            </w:rPr>
          </w:pPr>
          <w:hyperlink w:anchor="_Toc117238884" w:history="1">
            <w:r w:rsidR="00462D0B" w:rsidRPr="00C316C9">
              <w:rPr>
                <w:rStyle w:val="Hyperlink"/>
                <w:noProof/>
                <w:lang w:eastAsia="en-AU"/>
              </w:rPr>
              <w:t>The decision to prosecute</w:t>
            </w:r>
            <w:r w:rsidR="00462D0B">
              <w:rPr>
                <w:noProof/>
                <w:webHidden/>
              </w:rPr>
              <w:tab/>
            </w:r>
            <w:r w:rsidR="00462D0B">
              <w:rPr>
                <w:noProof/>
                <w:webHidden/>
              </w:rPr>
              <w:fldChar w:fldCharType="begin"/>
            </w:r>
            <w:r w:rsidR="00462D0B">
              <w:rPr>
                <w:noProof/>
                <w:webHidden/>
              </w:rPr>
              <w:instrText xml:space="preserve"> PAGEREF _Toc117238884 \h </w:instrText>
            </w:r>
            <w:r w:rsidR="00462D0B">
              <w:rPr>
                <w:noProof/>
                <w:webHidden/>
              </w:rPr>
            </w:r>
            <w:r w:rsidR="00462D0B">
              <w:rPr>
                <w:noProof/>
                <w:webHidden/>
              </w:rPr>
              <w:fldChar w:fldCharType="separate"/>
            </w:r>
            <w:r w:rsidR="00462D0B">
              <w:rPr>
                <w:noProof/>
                <w:webHidden/>
              </w:rPr>
              <w:t>5</w:t>
            </w:r>
            <w:r w:rsidR="00462D0B">
              <w:rPr>
                <w:noProof/>
                <w:webHidden/>
              </w:rPr>
              <w:fldChar w:fldCharType="end"/>
            </w:r>
          </w:hyperlink>
        </w:p>
        <w:p w:rsidR="00462D0B" w:rsidRDefault="00A139EB">
          <w:pPr>
            <w:pStyle w:val="TOC2"/>
            <w:rPr>
              <w:rFonts w:asciiTheme="minorHAnsi" w:eastAsiaTheme="minorEastAsia" w:hAnsiTheme="minorHAnsi" w:cstheme="minorBidi"/>
              <w:noProof/>
              <w:lang w:eastAsia="en-AU"/>
            </w:rPr>
          </w:pPr>
          <w:hyperlink w:anchor="_Toc117238885" w:history="1">
            <w:r w:rsidR="00462D0B" w:rsidRPr="00C316C9">
              <w:rPr>
                <w:rStyle w:val="Hyperlink"/>
                <w:noProof/>
                <w:lang w:eastAsia="en-AU"/>
              </w:rPr>
              <w:t>Factors to take into account</w:t>
            </w:r>
            <w:r w:rsidR="00462D0B">
              <w:rPr>
                <w:noProof/>
                <w:webHidden/>
              </w:rPr>
              <w:tab/>
            </w:r>
            <w:r w:rsidR="00462D0B">
              <w:rPr>
                <w:noProof/>
                <w:webHidden/>
              </w:rPr>
              <w:fldChar w:fldCharType="begin"/>
            </w:r>
            <w:r w:rsidR="00462D0B">
              <w:rPr>
                <w:noProof/>
                <w:webHidden/>
              </w:rPr>
              <w:instrText xml:space="preserve"> PAGEREF _Toc117238885 \h </w:instrText>
            </w:r>
            <w:r w:rsidR="00462D0B">
              <w:rPr>
                <w:noProof/>
                <w:webHidden/>
              </w:rPr>
            </w:r>
            <w:r w:rsidR="00462D0B">
              <w:rPr>
                <w:noProof/>
                <w:webHidden/>
              </w:rPr>
              <w:fldChar w:fldCharType="separate"/>
            </w:r>
            <w:r w:rsidR="00462D0B">
              <w:rPr>
                <w:noProof/>
                <w:webHidden/>
              </w:rPr>
              <w:t>5</w:t>
            </w:r>
            <w:r w:rsidR="00462D0B">
              <w:rPr>
                <w:noProof/>
                <w:webHidden/>
              </w:rPr>
              <w:fldChar w:fldCharType="end"/>
            </w:r>
          </w:hyperlink>
        </w:p>
        <w:p w:rsidR="00462D0B" w:rsidRDefault="00A139EB">
          <w:pPr>
            <w:pStyle w:val="TOC3"/>
            <w:tabs>
              <w:tab w:val="right" w:leader="dot" w:pos="10308"/>
            </w:tabs>
            <w:rPr>
              <w:rFonts w:asciiTheme="minorHAnsi" w:eastAsiaTheme="minorEastAsia" w:hAnsiTheme="minorHAnsi" w:cstheme="minorBidi"/>
              <w:noProof/>
              <w:lang w:eastAsia="en-AU"/>
            </w:rPr>
          </w:pPr>
          <w:hyperlink w:anchor="_Toc117238886" w:history="1">
            <w:r w:rsidR="00462D0B" w:rsidRPr="00C316C9">
              <w:rPr>
                <w:rStyle w:val="Hyperlink"/>
                <w:noProof/>
                <w:lang w:eastAsia="en-AU"/>
              </w:rPr>
              <w:t>Reasonable prospect of conviction</w:t>
            </w:r>
            <w:r w:rsidR="00462D0B">
              <w:rPr>
                <w:noProof/>
                <w:webHidden/>
              </w:rPr>
              <w:tab/>
            </w:r>
            <w:r w:rsidR="00462D0B">
              <w:rPr>
                <w:noProof/>
                <w:webHidden/>
              </w:rPr>
              <w:fldChar w:fldCharType="begin"/>
            </w:r>
            <w:r w:rsidR="00462D0B">
              <w:rPr>
                <w:noProof/>
                <w:webHidden/>
              </w:rPr>
              <w:instrText xml:space="preserve"> PAGEREF _Toc117238886 \h </w:instrText>
            </w:r>
            <w:r w:rsidR="00462D0B">
              <w:rPr>
                <w:noProof/>
                <w:webHidden/>
              </w:rPr>
            </w:r>
            <w:r w:rsidR="00462D0B">
              <w:rPr>
                <w:noProof/>
                <w:webHidden/>
              </w:rPr>
              <w:fldChar w:fldCharType="separate"/>
            </w:r>
            <w:r w:rsidR="00462D0B">
              <w:rPr>
                <w:noProof/>
                <w:webHidden/>
              </w:rPr>
              <w:t>5</w:t>
            </w:r>
            <w:r w:rsidR="00462D0B">
              <w:rPr>
                <w:noProof/>
                <w:webHidden/>
              </w:rPr>
              <w:fldChar w:fldCharType="end"/>
            </w:r>
          </w:hyperlink>
        </w:p>
        <w:p w:rsidR="00462D0B" w:rsidRDefault="00A139EB">
          <w:pPr>
            <w:pStyle w:val="TOC3"/>
            <w:tabs>
              <w:tab w:val="right" w:leader="dot" w:pos="10308"/>
            </w:tabs>
            <w:rPr>
              <w:rFonts w:asciiTheme="minorHAnsi" w:eastAsiaTheme="minorEastAsia" w:hAnsiTheme="minorHAnsi" w:cstheme="minorBidi"/>
              <w:noProof/>
              <w:lang w:eastAsia="en-AU"/>
            </w:rPr>
          </w:pPr>
          <w:hyperlink w:anchor="_Toc117238887" w:history="1">
            <w:r w:rsidR="00462D0B" w:rsidRPr="00C316C9">
              <w:rPr>
                <w:rStyle w:val="Hyperlink"/>
                <w:noProof/>
                <w:lang w:eastAsia="en-AU"/>
              </w:rPr>
              <w:t>Public interest test</w:t>
            </w:r>
            <w:r w:rsidR="00462D0B">
              <w:rPr>
                <w:noProof/>
                <w:webHidden/>
              </w:rPr>
              <w:tab/>
            </w:r>
            <w:r w:rsidR="00462D0B">
              <w:rPr>
                <w:noProof/>
                <w:webHidden/>
              </w:rPr>
              <w:fldChar w:fldCharType="begin"/>
            </w:r>
            <w:r w:rsidR="00462D0B">
              <w:rPr>
                <w:noProof/>
                <w:webHidden/>
              </w:rPr>
              <w:instrText xml:space="preserve"> PAGEREF _Toc117238887 \h </w:instrText>
            </w:r>
            <w:r w:rsidR="00462D0B">
              <w:rPr>
                <w:noProof/>
                <w:webHidden/>
              </w:rPr>
            </w:r>
            <w:r w:rsidR="00462D0B">
              <w:rPr>
                <w:noProof/>
                <w:webHidden/>
              </w:rPr>
              <w:fldChar w:fldCharType="separate"/>
            </w:r>
            <w:r w:rsidR="00462D0B">
              <w:rPr>
                <w:noProof/>
                <w:webHidden/>
              </w:rPr>
              <w:t>5</w:t>
            </w:r>
            <w:r w:rsidR="00462D0B">
              <w:rPr>
                <w:noProof/>
                <w:webHidden/>
              </w:rPr>
              <w:fldChar w:fldCharType="end"/>
            </w:r>
          </w:hyperlink>
        </w:p>
        <w:p w:rsidR="00462D0B" w:rsidRDefault="00A139EB">
          <w:pPr>
            <w:pStyle w:val="TOC2"/>
            <w:rPr>
              <w:rFonts w:asciiTheme="minorHAnsi" w:eastAsiaTheme="minorEastAsia" w:hAnsiTheme="minorHAnsi" w:cstheme="minorBidi"/>
              <w:noProof/>
              <w:lang w:eastAsia="en-AU"/>
            </w:rPr>
          </w:pPr>
          <w:hyperlink w:anchor="_Toc117238888" w:history="1">
            <w:r w:rsidR="00462D0B" w:rsidRPr="00C316C9">
              <w:rPr>
                <w:rStyle w:val="Hyperlink"/>
                <w:noProof/>
                <w:lang w:eastAsia="en-AU"/>
              </w:rPr>
              <w:t>Irrelevant considerations</w:t>
            </w:r>
            <w:r w:rsidR="00462D0B">
              <w:rPr>
                <w:noProof/>
                <w:webHidden/>
              </w:rPr>
              <w:tab/>
            </w:r>
            <w:r w:rsidR="00462D0B">
              <w:rPr>
                <w:noProof/>
                <w:webHidden/>
              </w:rPr>
              <w:fldChar w:fldCharType="begin"/>
            </w:r>
            <w:r w:rsidR="00462D0B">
              <w:rPr>
                <w:noProof/>
                <w:webHidden/>
              </w:rPr>
              <w:instrText xml:space="preserve"> PAGEREF _Toc117238888 \h </w:instrText>
            </w:r>
            <w:r w:rsidR="00462D0B">
              <w:rPr>
                <w:noProof/>
                <w:webHidden/>
              </w:rPr>
            </w:r>
            <w:r w:rsidR="00462D0B">
              <w:rPr>
                <w:noProof/>
                <w:webHidden/>
              </w:rPr>
              <w:fldChar w:fldCharType="separate"/>
            </w:r>
            <w:r w:rsidR="00462D0B">
              <w:rPr>
                <w:noProof/>
                <w:webHidden/>
              </w:rPr>
              <w:t>6</w:t>
            </w:r>
            <w:r w:rsidR="00462D0B">
              <w:rPr>
                <w:noProof/>
                <w:webHidden/>
              </w:rPr>
              <w:fldChar w:fldCharType="end"/>
            </w:r>
          </w:hyperlink>
        </w:p>
        <w:p w:rsidR="00462D0B" w:rsidRDefault="00A139EB">
          <w:pPr>
            <w:pStyle w:val="TOC2"/>
            <w:rPr>
              <w:rFonts w:asciiTheme="minorHAnsi" w:eastAsiaTheme="minorEastAsia" w:hAnsiTheme="minorHAnsi" w:cstheme="minorBidi"/>
              <w:noProof/>
              <w:lang w:eastAsia="en-AU"/>
            </w:rPr>
          </w:pPr>
          <w:hyperlink w:anchor="_Toc117238889" w:history="1">
            <w:r w:rsidR="00462D0B" w:rsidRPr="00C316C9">
              <w:rPr>
                <w:rStyle w:val="Hyperlink"/>
                <w:noProof/>
                <w:lang w:eastAsia="en-AU"/>
              </w:rPr>
              <w:t>Target areas for prosecution</w:t>
            </w:r>
            <w:r w:rsidR="00462D0B">
              <w:rPr>
                <w:noProof/>
                <w:webHidden/>
              </w:rPr>
              <w:tab/>
            </w:r>
            <w:r w:rsidR="00462D0B">
              <w:rPr>
                <w:noProof/>
                <w:webHidden/>
              </w:rPr>
              <w:fldChar w:fldCharType="begin"/>
            </w:r>
            <w:r w:rsidR="00462D0B">
              <w:rPr>
                <w:noProof/>
                <w:webHidden/>
              </w:rPr>
              <w:instrText xml:space="preserve"> PAGEREF _Toc117238889 \h </w:instrText>
            </w:r>
            <w:r w:rsidR="00462D0B">
              <w:rPr>
                <w:noProof/>
                <w:webHidden/>
              </w:rPr>
            </w:r>
            <w:r w:rsidR="00462D0B">
              <w:rPr>
                <w:noProof/>
                <w:webHidden/>
              </w:rPr>
              <w:fldChar w:fldCharType="separate"/>
            </w:r>
            <w:r w:rsidR="00462D0B">
              <w:rPr>
                <w:noProof/>
                <w:webHidden/>
              </w:rPr>
              <w:t>6</w:t>
            </w:r>
            <w:r w:rsidR="00462D0B">
              <w:rPr>
                <w:noProof/>
                <w:webHidden/>
              </w:rPr>
              <w:fldChar w:fldCharType="end"/>
            </w:r>
          </w:hyperlink>
        </w:p>
        <w:p w:rsidR="00462D0B" w:rsidRDefault="00A139EB">
          <w:pPr>
            <w:pStyle w:val="TOC1"/>
            <w:rPr>
              <w:rFonts w:asciiTheme="minorHAnsi" w:eastAsiaTheme="minorEastAsia" w:hAnsiTheme="minorHAnsi" w:cstheme="minorBidi"/>
              <w:b w:val="0"/>
              <w:noProof/>
              <w:lang w:eastAsia="en-AU"/>
            </w:rPr>
          </w:pPr>
          <w:hyperlink w:anchor="_Toc117238890" w:history="1">
            <w:r w:rsidR="00462D0B" w:rsidRPr="00C316C9">
              <w:rPr>
                <w:rStyle w:val="Hyperlink"/>
                <w:noProof/>
                <w:lang w:eastAsia="en-AU"/>
              </w:rPr>
              <w:t>Request for prosecution</w:t>
            </w:r>
            <w:r w:rsidR="00462D0B">
              <w:rPr>
                <w:noProof/>
                <w:webHidden/>
              </w:rPr>
              <w:tab/>
            </w:r>
            <w:r w:rsidR="00462D0B">
              <w:rPr>
                <w:noProof/>
                <w:webHidden/>
              </w:rPr>
              <w:fldChar w:fldCharType="begin"/>
            </w:r>
            <w:r w:rsidR="00462D0B">
              <w:rPr>
                <w:noProof/>
                <w:webHidden/>
              </w:rPr>
              <w:instrText xml:space="preserve"> PAGEREF _Toc117238890 \h </w:instrText>
            </w:r>
            <w:r w:rsidR="00462D0B">
              <w:rPr>
                <w:noProof/>
                <w:webHidden/>
              </w:rPr>
            </w:r>
            <w:r w:rsidR="00462D0B">
              <w:rPr>
                <w:noProof/>
                <w:webHidden/>
              </w:rPr>
              <w:fldChar w:fldCharType="separate"/>
            </w:r>
            <w:r w:rsidR="00462D0B">
              <w:rPr>
                <w:noProof/>
                <w:webHidden/>
              </w:rPr>
              <w:t>7</w:t>
            </w:r>
            <w:r w:rsidR="00462D0B">
              <w:rPr>
                <w:noProof/>
                <w:webHidden/>
              </w:rPr>
              <w:fldChar w:fldCharType="end"/>
            </w:r>
          </w:hyperlink>
        </w:p>
        <w:p w:rsidR="00462D0B" w:rsidRDefault="00A139EB">
          <w:pPr>
            <w:pStyle w:val="TOC2"/>
            <w:rPr>
              <w:rFonts w:asciiTheme="minorHAnsi" w:eastAsiaTheme="minorEastAsia" w:hAnsiTheme="minorHAnsi" w:cstheme="minorBidi"/>
              <w:noProof/>
              <w:lang w:eastAsia="en-AU"/>
            </w:rPr>
          </w:pPr>
          <w:hyperlink w:anchor="_Toc117238891" w:history="1">
            <w:r w:rsidR="00462D0B" w:rsidRPr="00C316C9">
              <w:rPr>
                <w:rStyle w:val="Hyperlink"/>
                <w:noProof/>
                <w:lang w:eastAsia="en-AU"/>
              </w:rPr>
              <w:t>Referral and consent from the Director of Public Prosecutions</w:t>
            </w:r>
            <w:r w:rsidR="00462D0B">
              <w:rPr>
                <w:noProof/>
                <w:webHidden/>
              </w:rPr>
              <w:tab/>
            </w:r>
            <w:r w:rsidR="00462D0B">
              <w:rPr>
                <w:noProof/>
                <w:webHidden/>
              </w:rPr>
              <w:fldChar w:fldCharType="begin"/>
            </w:r>
            <w:r w:rsidR="00462D0B">
              <w:rPr>
                <w:noProof/>
                <w:webHidden/>
              </w:rPr>
              <w:instrText xml:space="preserve"> PAGEREF _Toc117238891 \h </w:instrText>
            </w:r>
            <w:r w:rsidR="00462D0B">
              <w:rPr>
                <w:noProof/>
                <w:webHidden/>
              </w:rPr>
            </w:r>
            <w:r w:rsidR="00462D0B">
              <w:rPr>
                <w:noProof/>
                <w:webHidden/>
              </w:rPr>
              <w:fldChar w:fldCharType="separate"/>
            </w:r>
            <w:r w:rsidR="00462D0B">
              <w:rPr>
                <w:noProof/>
                <w:webHidden/>
              </w:rPr>
              <w:t>7</w:t>
            </w:r>
            <w:r w:rsidR="00462D0B">
              <w:rPr>
                <w:noProof/>
                <w:webHidden/>
              </w:rPr>
              <w:fldChar w:fldCharType="end"/>
            </w:r>
          </w:hyperlink>
        </w:p>
        <w:p w:rsidR="00462D0B" w:rsidRDefault="00A139EB">
          <w:pPr>
            <w:pStyle w:val="TOC1"/>
            <w:rPr>
              <w:rFonts w:asciiTheme="minorHAnsi" w:eastAsiaTheme="minorEastAsia" w:hAnsiTheme="minorHAnsi" w:cstheme="minorBidi"/>
              <w:b w:val="0"/>
              <w:noProof/>
              <w:lang w:eastAsia="en-AU"/>
            </w:rPr>
          </w:pPr>
          <w:hyperlink w:anchor="_Toc117238892" w:history="1">
            <w:r w:rsidR="00462D0B" w:rsidRPr="00C316C9">
              <w:rPr>
                <w:rStyle w:val="Hyperlink"/>
                <w:noProof/>
                <w:lang w:eastAsia="en-AU"/>
              </w:rPr>
              <w:t>Categories of offences</w:t>
            </w:r>
            <w:r w:rsidR="00462D0B">
              <w:rPr>
                <w:noProof/>
                <w:webHidden/>
              </w:rPr>
              <w:tab/>
            </w:r>
            <w:r w:rsidR="00462D0B">
              <w:rPr>
                <w:noProof/>
                <w:webHidden/>
              </w:rPr>
              <w:fldChar w:fldCharType="begin"/>
            </w:r>
            <w:r w:rsidR="00462D0B">
              <w:rPr>
                <w:noProof/>
                <w:webHidden/>
              </w:rPr>
              <w:instrText xml:space="preserve"> PAGEREF _Toc117238892 \h </w:instrText>
            </w:r>
            <w:r w:rsidR="00462D0B">
              <w:rPr>
                <w:noProof/>
                <w:webHidden/>
              </w:rPr>
            </w:r>
            <w:r w:rsidR="00462D0B">
              <w:rPr>
                <w:noProof/>
                <w:webHidden/>
              </w:rPr>
              <w:fldChar w:fldCharType="separate"/>
            </w:r>
            <w:r w:rsidR="00462D0B">
              <w:rPr>
                <w:noProof/>
                <w:webHidden/>
              </w:rPr>
              <w:t>7</w:t>
            </w:r>
            <w:r w:rsidR="00462D0B">
              <w:rPr>
                <w:noProof/>
                <w:webHidden/>
              </w:rPr>
              <w:fldChar w:fldCharType="end"/>
            </w:r>
          </w:hyperlink>
        </w:p>
        <w:p w:rsidR="00462D0B" w:rsidRDefault="00A139EB">
          <w:pPr>
            <w:pStyle w:val="TOC2"/>
            <w:rPr>
              <w:rFonts w:asciiTheme="minorHAnsi" w:eastAsiaTheme="minorEastAsia" w:hAnsiTheme="minorHAnsi" w:cstheme="minorBidi"/>
              <w:noProof/>
              <w:lang w:eastAsia="en-AU"/>
            </w:rPr>
          </w:pPr>
          <w:hyperlink w:anchor="_Toc117238893" w:history="1">
            <w:r w:rsidR="00462D0B" w:rsidRPr="00C316C9">
              <w:rPr>
                <w:rStyle w:val="Hyperlink"/>
                <w:noProof/>
                <w:lang w:eastAsia="en-AU"/>
              </w:rPr>
              <w:t>Industrial manslaughter</w:t>
            </w:r>
            <w:r w:rsidR="00462D0B">
              <w:rPr>
                <w:noProof/>
                <w:webHidden/>
              </w:rPr>
              <w:tab/>
            </w:r>
            <w:r w:rsidR="00462D0B">
              <w:rPr>
                <w:noProof/>
                <w:webHidden/>
              </w:rPr>
              <w:fldChar w:fldCharType="begin"/>
            </w:r>
            <w:r w:rsidR="00462D0B">
              <w:rPr>
                <w:noProof/>
                <w:webHidden/>
              </w:rPr>
              <w:instrText xml:space="preserve"> PAGEREF _Toc117238893 \h </w:instrText>
            </w:r>
            <w:r w:rsidR="00462D0B">
              <w:rPr>
                <w:noProof/>
                <w:webHidden/>
              </w:rPr>
            </w:r>
            <w:r w:rsidR="00462D0B">
              <w:rPr>
                <w:noProof/>
                <w:webHidden/>
              </w:rPr>
              <w:fldChar w:fldCharType="separate"/>
            </w:r>
            <w:r w:rsidR="00462D0B">
              <w:rPr>
                <w:noProof/>
                <w:webHidden/>
              </w:rPr>
              <w:t>7</w:t>
            </w:r>
            <w:r w:rsidR="00462D0B">
              <w:rPr>
                <w:noProof/>
                <w:webHidden/>
              </w:rPr>
              <w:fldChar w:fldCharType="end"/>
            </w:r>
          </w:hyperlink>
        </w:p>
        <w:p w:rsidR="00462D0B" w:rsidRDefault="00A139EB">
          <w:pPr>
            <w:pStyle w:val="TOC2"/>
            <w:rPr>
              <w:rFonts w:asciiTheme="minorHAnsi" w:eastAsiaTheme="minorEastAsia" w:hAnsiTheme="minorHAnsi" w:cstheme="minorBidi"/>
              <w:noProof/>
              <w:lang w:eastAsia="en-AU"/>
            </w:rPr>
          </w:pPr>
          <w:hyperlink w:anchor="_Toc117238894" w:history="1">
            <w:r w:rsidR="00462D0B" w:rsidRPr="00C316C9">
              <w:rPr>
                <w:rStyle w:val="Hyperlink"/>
                <w:noProof/>
                <w:lang w:eastAsia="en-AU"/>
              </w:rPr>
              <w:t>Category 1 offence</w:t>
            </w:r>
            <w:r w:rsidR="00462D0B">
              <w:rPr>
                <w:noProof/>
                <w:webHidden/>
              </w:rPr>
              <w:tab/>
            </w:r>
            <w:r w:rsidR="00462D0B">
              <w:rPr>
                <w:noProof/>
                <w:webHidden/>
              </w:rPr>
              <w:fldChar w:fldCharType="begin"/>
            </w:r>
            <w:r w:rsidR="00462D0B">
              <w:rPr>
                <w:noProof/>
                <w:webHidden/>
              </w:rPr>
              <w:instrText xml:space="preserve"> PAGEREF _Toc117238894 \h </w:instrText>
            </w:r>
            <w:r w:rsidR="00462D0B">
              <w:rPr>
                <w:noProof/>
                <w:webHidden/>
              </w:rPr>
            </w:r>
            <w:r w:rsidR="00462D0B">
              <w:rPr>
                <w:noProof/>
                <w:webHidden/>
              </w:rPr>
              <w:fldChar w:fldCharType="separate"/>
            </w:r>
            <w:r w:rsidR="00462D0B">
              <w:rPr>
                <w:noProof/>
                <w:webHidden/>
              </w:rPr>
              <w:t>7</w:t>
            </w:r>
            <w:r w:rsidR="00462D0B">
              <w:rPr>
                <w:noProof/>
                <w:webHidden/>
              </w:rPr>
              <w:fldChar w:fldCharType="end"/>
            </w:r>
          </w:hyperlink>
        </w:p>
        <w:p w:rsidR="00462D0B" w:rsidRDefault="00A139EB">
          <w:pPr>
            <w:pStyle w:val="TOC2"/>
            <w:rPr>
              <w:rFonts w:asciiTheme="minorHAnsi" w:eastAsiaTheme="minorEastAsia" w:hAnsiTheme="minorHAnsi" w:cstheme="minorBidi"/>
              <w:noProof/>
              <w:lang w:eastAsia="en-AU"/>
            </w:rPr>
          </w:pPr>
          <w:hyperlink w:anchor="_Toc117238895" w:history="1">
            <w:r w:rsidR="00462D0B" w:rsidRPr="00C316C9">
              <w:rPr>
                <w:rStyle w:val="Hyperlink"/>
                <w:noProof/>
                <w:lang w:eastAsia="en-AU"/>
              </w:rPr>
              <w:t>Category 2 and Category 3 offences</w:t>
            </w:r>
            <w:r w:rsidR="00462D0B">
              <w:rPr>
                <w:noProof/>
                <w:webHidden/>
              </w:rPr>
              <w:tab/>
            </w:r>
            <w:r w:rsidR="00462D0B">
              <w:rPr>
                <w:noProof/>
                <w:webHidden/>
              </w:rPr>
              <w:fldChar w:fldCharType="begin"/>
            </w:r>
            <w:r w:rsidR="00462D0B">
              <w:rPr>
                <w:noProof/>
                <w:webHidden/>
              </w:rPr>
              <w:instrText xml:space="preserve"> PAGEREF _Toc117238895 \h </w:instrText>
            </w:r>
            <w:r w:rsidR="00462D0B">
              <w:rPr>
                <w:noProof/>
                <w:webHidden/>
              </w:rPr>
            </w:r>
            <w:r w:rsidR="00462D0B">
              <w:rPr>
                <w:noProof/>
                <w:webHidden/>
              </w:rPr>
              <w:fldChar w:fldCharType="separate"/>
            </w:r>
            <w:r w:rsidR="00462D0B">
              <w:rPr>
                <w:noProof/>
                <w:webHidden/>
              </w:rPr>
              <w:t>8</w:t>
            </w:r>
            <w:r w:rsidR="00462D0B">
              <w:rPr>
                <w:noProof/>
                <w:webHidden/>
              </w:rPr>
              <w:fldChar w:fldCharType="end"/>
            </w:r>
          </w:hyperlink>
        </w:p>
        <w:p w:rsidR="00462D0B" w:rsidRDefault="00A139EB">
          <w:pPr>
            <w:pStyle w:val="TOC2"/>
            <w:rPr>
              <w:rFonts w:asciiTheme="minorHAnsi" w:eastAsiaTheme="minorEastAsia" w:hAnsiTheme="minorHAnsi" w:cstheme="minorBidi"/>
              <w:noProof/>
              <w:lang w:eastAsia="en-AU"/>
            </w:rPr>
          </w:pPr>
          <w:hyperlink w:anchor="_Toc117238896" w:history="1">
            <w:r w:rsidR="00462D0B" w:rsidRPr="00C316C9">
              <w:rPr>
                <w:rStyle w:val="Hyperlink"/>
                <w:noProof/>
                <w:lang w:eastAsia="en-AU"/>
              </w:rPr>
              <w:t>Alternative offence</w:t>
            </w:r>
            <w:r w:rsidR="00462D0B">
              <w:rPr>
                <w:noProof/>
                <w:webHidden/>
              </w:rPr>
              <w:tab/>
            </w:r>
            <w:r w:rsidR="00462D0B">
              <w:rPr>
                <w:noProof/>
                <w:webHidden/>
              </w:rPr>
              <w:fldChar w:fldCharType="begin"/>
            </w:r>
            <w:r w:rsidR="00462D0B">
              <w:rPr>
                <w:noProof/>
                <w:webHidden/>
              </w:rPr>
              <w:instrText xml:space="preserve"> PAGEREF _Toc117238896 \h </w:instrText>
            </w:r>
            <w:r w:rsidR="00462D0B">
              <w:rPr>
                <w:noProof/>
                <w:webHidden/>
              </w:rPr>
            </w:r>
            <w:r w:rsidR="00462D0B">
              <w:rPr>
                <w:noProof/>
                <w:webHidden/>
              </w:rPr>
              <w:fldChar w:fldCharType="separate"/>
            </w:r>
            <w:r w:rsidR="00462D0B">
              <w:rPr>
                <w:noProof/>
                <w:webHidden/>
              </w:rPr>
              <w:t>8</w:t>
            </w:r>
            <w:r w:rsidR="00462D0B">
              <w:rPr>
                <w:noProof/>
                <w:webHidden/>
              </w:rPr>
              <w:fldChar w:fldCharType="end"/>
            </w:r>
          </w:hyperlink>
        </w:p>
        <w:p w:rsidR="00462D0B" w:rsidRDefault="00A139EB">
          <w:pPr>
            <w:pStyle w:val="TOC1"/>
            <w:rPr>
              <w:rFonts w:asciiTheme="minorHAnsi" w:eastAsiaTheme="minorEastAsia" w:hAnsiTheme="minorHAnsi" w:cstheme="minorBidi"/>
              <w:b w:val="0"/>
              <w:noProof/>
              <w:lang w:eastAsia="en-AU"/>
            </w:rPr>
          </w:pPr>
          <w:hyperlink w:anchor="_Toc117238897" w:history="1">
            <w:r w:rsidR="00462D0B" w:rsidRPr="00C316C9">
              <w:rPr>
                <w:rStyle w:val="Hyperlink"/>
                <w:noProof/>
                <w:lang w:eastAsia="en-AU"/>
              </w:rPr>
              <w:t>Limitation periods for prosecutions</w:t>
            </w:r>
            <w:r w:rsidR="00462D0B">
              <w:rPr>
                <w:noProof/>
                <w:webHidden/>
              </w:rPr>
              <w:tab/>
            </w:r>
            <w:r w:rsidR="00462D0B">
              <w:rPr>
                <w:noProof/>
                <w:webHidden/>
              </w:rPr>
              <w:fldChar w:fldCharType="begin"/>
            </w:r>
            <w:r w:rsidR="00462D0B">
              <w:rPr>
                <w:noProof/>
                <w:webHidden/>
              </w:rPr>
              <w:instrText xml:space="preserve"> PAGEREF _Toc117238897 \h </w:instrText>
            </w:r>
            <w:r w:rsidR="00462D0B">
              <w:rPr>
                <w:noProof/>
                <w:webHidden/>
              </w:rPr>
            </w:r>
            <w:r w:rsidR="00462D0B">
              <w:rPr>
                <w:noProof/>
                <w:webHidden/>
              </w:rPr>
              <w:fldChar w:fldCharType="separate"/>
            </w:r>
            <w:r w:rsidR="00462D0B">
              <w:rPr>
                <w:noProof/>
                <w:webHidden/>
              </w:rPr>
              <w:t>8</w:t>
            </w:r>
            <w:r w:rsidR="00462D0B">
              <w:rPr>
                <w:noProof/>
                <w:webHidden/>
              </w:rPr>
              <w:fldChar w:fldCharType="end"/>
            </w:r>
          </w:hyperlink>
        </w:p>
        <w:p w:rsidR="00462D0B" w:rsidRDefault="00A139EB">
          <w:pPr>
            <w:pStyle w:val="TOC1"/>
            <w:rPr>
              <w:rFonts w:asciiTheme="minorHAnsi" w:eastAsiaTheme="minorEastAsia" w:hAnsiTheme="minorHAnsi" w:cstheme="minorBidi"/>
              <w:b w:val="0"/>
              <w:noProof/>
              <w:lang w:eastAsia="en-AU"/>
            </w:rPr>
          </w:pPr>
          <w:hyperlink w:anchor="_Toc117238898" w:history="1">
            <w:r w:rsidR="00462D0B" w:rsidRPr="00C316C9">
              <w:rPr>
                <w:rStyle w:val="Hyperlink"/>
                <w:noProof/>
                <w:lang w:eastAsia="en-AU"/>
              </w:rPr>
              <w:t>Sentencing options</w:t>
            </w:r>
            <w:r w:rsidR="00462D0B">
              <w:rPr>
                <w:noProof/>
                <w:webHidden/>
              </w:rPr>
              <w:tab/>
            </w:r>
            <w:r w:rsidR="00462D0B">
              <w:rPr>
                <w:noProof/>
                <w:webHidden/>
              </w:rPr>
              <w:fldChar w:fldCharType="begin"/>
            </w:r>
            <w:r w:rsidR="00462D0B">
              <w:rPr>
                <w:noProof/>
                <w:webHidden/>
              </w:rPr>
              <w:instrText xml:space="preserve"> PAGEREF _Toc117238898 \h </w:instrText>
            </w:r>
            <w:r w:rsidR="00462D0B">
              <w:rPr>
                <w:noProof/>
                <w:webHidden/>
              </w:rPr>
            </w:r>
            <w:r w:rsidR="00462D0B">
              <w:rPr>
                <w:noProof/>
                <w:webHidden/>
              </w:rPr>
              <w:fldChar w:fldCharType="separate"/>
            </w:r>
            <w:r w:rsidR="00462D0B">
              <w:rPr>
                <w:noProof/>
                <w:webHidden/>
              </w:rPr>
              <w:t>9</w:t>
            </w:r>
            <w:r w:rsidR="00462D0B">
              <w:rPr>
                <w:noProof/>
                <w:webHidden/>
              </w:rPr>
              <w:fldChar w:fldCharType="end"/>
            </w:r>
          </w:hyperlink>
        </w:p>
        <w:p w:rsidR="00462D0B" w:rsidRDefault="00A139EB">
          <w:pPr>
            <w:pStyle w:val="TOC2"/>
            <w:rPr>
              <w:rFonts w:asciiTheme="minorHAnsi" w:eastAsiaTheme="minorEastAsia" w:hAnsiTheme="minorHAnsi" w:cstheme="minorBidi"/>
              <w:noProof/>
              <w:lang w:eastAsia="en-AU"/>
            </w:rPr>
          </w:pPr>
          <w:hyperlink w:anchor="_Toc117238899" w:history="1">
            <w:r w:rsidR="00462D0B" w:rsidRPr="00C316C9">
              <w:rPr>
                <w:rStyle w:val="Hyperlink"/>
                <w:noProof/>
                <w:lang w:eastAsia="en-AU"/>
              </w:rPr>
              <w:t>Purposes of sentencing</w:t>
            </w:r>
            <w:r w:rsidR="00462D0B">
              <w:rPr>
                <w:noProof/>
                <w:webHidden/>
              </w:rPr>
              <w:tab/>
            </w:r>
            <w:r w:rsidR="00462D0B">
              <w:rPr>
                <w:noProof/>
                <w:webHidden/>
              </w:rPr>
              <w:fldChar w:fldCharType="begin"/>
            </w:r>
            <w:r w:rsidR="00462D0B">
              <w:rPr>
                <w:noProof/>
                <w:webHidden/>
              </w:rPr>
              <w:instrText xml:space="preserve"> PAGEREF _Toc117238899 \h </w:instrText>
            </w:r>
            <w:r w:rsidR="00462D0B">
              <w:rPr>
                <w:noProof/>
                <w:webHidden/>
              </w:rPr>
            </w:r>
            <w:r w:rsidR="00462D0B">
              <w:rPr>
                <w:noProof/>
                <w:webHidden/>
              </w:rPr>
              <w:fldChar w:fldCharType="separate"/>
            </w:r>
            <w:r w:rsidR="00462D0B">
              <w:rPr>
                <w:noProof/>
                <w:webHidden/>
              </w:rPr>
              <w:t>9</w:t>
            </w:r>
            <w:r w:rsidR="00462D0B">
              <w:rPr>
                <w:noProof/>
                <w:webHidden/>
              </w:rPr>
              <w:fldChar w:fldCharType="end"/>
            </w:r>
          </w:hyperlink>
        </w:p>
        <w:p w:rsidR="00462D0B" w:rsidRDefault="00A139EB">
          <w:pPr>
            <w:pStyle w:val="TOC1"/>
            <w:rPr>
              <w:rFonts w:asciiTheme="minorHAnsi" w:eastAsiaTheme="minorEastAsia" w:hAnsiTheme="minorHAnsi" w:cstheme="minorBidi"/>
              <w:b w:val="0"/>
              <w:noProof/>
              <w:lang w:eastAsia="en-AU"/>
            </w:rPr>
          </w:pPr>
          <w:hyperlink w:anchor="_Toc117238900" w:history="1">
            <w:r w:rsidR="00462D0B" w:rsidRPr="00C316C9">
              <w:rPr>
                <w:rStyle w:val="Hyperlink"/>
                <w:noProof/>
                <w:lang w:eastAsia="en-AU"/>
              </w:rPr>
              <w:t>Enforceable undertakings</w:t>
            </w:r>
            <w:r w:rsidR="00462D0B">
              <w:rPr>
                <w:noProof/>
                <w:webHidden/>
              </w:rPr>
              <w:tab/>
            </w:r>
            <w:r w:rsidR="00462D0B">
              <w:rPr>
                <w:noProof/>
                <w:webHidden/>
              </w:rPr>
              <w:fldChar w:fldCharType="begin"/>
            </w:r>
            <w:r w:rsidR="00462D0B">
              <w:rPr>
                <w:noProof/>
                <w:webHidden/>
              </w:rPr>
              <w:instrText xml:space="preserve"> PAGEREF _Toc117238900 \h </w:instrText>
            </w:r>
            <w:r w:rsidR="00462D0B">
              <w:rPr>
                <w:noProof/>
                <w:webHidden/>
              </w:rPr>
            </w:r>
            <w:r w:rsidR="00462D0B">
              <w:rPr>
                <w:noProof/>
                <w:webHidden/>
              </w:rPr>
              <w:fldChar w:fldCharType="separate"/>
            </w:r>
            <w:r w:rsidR="00462D0B">
              <w:rPr>
                <w:noProof/>
                <w:webHidden/>
              </w:rPr>
              <w:t>9</w:t>
            </w:r>
            <w:r w:rsidR="00462D0B">
              <w:rPr>
                <w:noProof/>
                <w:webHidden/>
              </w:rPr>
              <w:fldChar w:fldCharType="end"/>
            </w:r>
          </w:hyperlink>
        </w:p>
        <w:p w:rsidR="00964B22" w:rsidRPr="002F2780" w:rsidRDefault="006747E0" w:rsidP="00964B22">
          <w:pPr>
            <w:rPr>
              <w:rFonts w:eastAsiaTheme="minorEastAsia" w:cs="Arial"/>
              <w:b/>
              <w:lang w:eastAsia="en-AU"/>
            </w:rPr>
          </w:pPr>
          <w:r>
            <w:rPr>
              <w:rFonts w:eastAsiaTheme="minorEastAsia" w:cs="Arial"/>
              <w:lang w:eastAsia="en-AU"/>
            </w:rPr>
            <w:fldChar w:fldCharType="end"/>
          </w:r>
        </w:p>
      </w:sdtContent>
    </w:sdt>
    <w:p w:rsidR="00964B22" w:rsidRPr="002F2780" w:rsidRDefault="00964B22" w:rsidP="00964B22">
      <w:pPr>
        <w:sectPr w:rsidR="00964B22" w:rsidRPr="002F2780" w:rsidSect="00C800F1">
          <w:headerReference w:type="first" r:id="rId13"/>
          <w:footerReference w:type="first" r:id="rId14"/>
          <w:pgSz w:w="11906" w:h="16838" w:code="9"/>
          <w:pgMar w:top="794" w:right="794" w:bottom="794" w:left="794" w:header="794" w:footer="794" w:gutter="0"/>
          <w:cols w:space="708"/>
          <w:titlePg/>
          <w:docGrid w:linePitch="360"/>
        </w:sectPr>
      </w:pPr>
    </w:p>
    <w:p w:rsidR="004D6618" w:rsidRDefault="004D6618" w:rsidP="006B4540">
      <w:pPr>
        <w:rPr>
          <w:lang w:eastAsia="en-AU"/>
        </w:rPr>
      </w:pPr>
      <w:r>
        <w:rPr>
          <w:lang w:eastAsia="en-AU"/>
        </w:rPr>
        <w:lastRenderedPageBreak/>
        <w:t xml:space="preserve">These guidelines provide an overview of NT WorkSafe’s approach to prosecution under the </w:t>
      </w:r>
      <w:hyperlink r:id="rId15" w:history="1">
        <w:r w:rsidRPr="006B4540">
          <w:rPr>
            <w:rStyle w:val="Hyperlink"/>
            <w:lang w:eastAsia="en-AU"/>
          </w:rPr>
          <w:t>Work Health and Safety (National Uniform Legislation) Act 2011</w:t>
        </w:r>
      </w:hyperlink>
      <w:r>
        <w:rPr>
          <w:lang w:eastAsia="en-AU"/>
        </w:rPr>
        <w:t xml:space="preserve"> (the Act) and the </w:t>
      </w:r>
      <w:hyperlink r:id="rId16" w:history="1">
        <w:r w:rsidRPr="006B4540">
          <w:rPr>
            <w:rStyle w:val="Hyperlink"/>
            <w:lang w:eastAsia="en-AU"/>
          </w:rPr>
          <w:t>Work Health and Safety (National Uniform Legislation) Regulations 2011</w:t>
        </w:r>
      </w:hyperlink>
      <w:r>
        <w:rPr>
          <w:lang w:eastAsia="en-AU"/>
        </w:rPr>
        <w:t xml:space="preserve"> (the Regulations). </w:t>
      </w:r>
    </w:p>
    <w:p w:rsidR="004D6618" w:rsidRDefault="004D6618" w:rsidP="004D6618">
      <w:pPr>
        <w:rPr>
          <w:lang w:eastAsia="en-AU"/>
        </w:rPr>
      </w:pPr>
      <w:r>
        <w:rPr>
          <w:lang w:eastAsia="en-AU"/>
        </w:rPr>
        <w:t xml:space="preserve">These guidelines are published in accordance with </w:t>
      </w:r>
      <w:hyperlink r:id="rId17" w:anchor="page=138&amp;zoom=auto,88,621" w:history="1">
        <w:r w:rsidRPr="006B4540">
          <w:rPr>
            <w:rStyle w:val="Hyperlink"/>
            <w:lang w:eastAsia="en-AU"/>
          </w:rPr>
          <w:t>section 230(3)(a) of the Act</w:t>
        </w:r>
      </w:hyperlink>
      <w:r>
        <w:rPr>
          <w:lang w:eastAsia="en-AU"/>
        </w:rPr>
        <w:t>.</w:t>
      </w:r>
    </w:p>
    <w:p w:rsidR="004D6618" w:rsidRDefault="004D6618" w:rsidP="004D6618">
      <w:pPr>
        <w:pStyle w:val="Heading1"/>
        <w:rPr>
          <w:lang w:eastAsia="en-AU"/>
        </w:rPr>
      </w:pPr>
      <w:bookmarkStart w:id="1" w:name="_Toc117238882"/>
      <w:r>
        <w:rPr>
          <w:lang w:eastAsia="en-AU"/>
        </w:rPr>
        <w:t>National Compliance and Enforcement Policy</w:t>
      </w:r>
      <w:bookmarkEnd w:id="1"/>
    </w:p>
    <w:p w:rsidR="004D6618" w:rsidRDefault="004D6618" w:rsidP="006B4540">
      <w:pPr>
        <w:rPr>
          <w:lang w:eastAsia="en-AU"/>
        </w:rPr>
      </w:pPr>
      <w:r>
        <w:rPr>
          <w:lang w:eastAsia="en-AU"/>
        </w:rPr>
        <w:t xml:space="preserve">All Australian work health and safety </w:t>
      </w:r>
      <w:r w:rsidRPr="006B4540">
        <w:rPr>
          <w:b/>
          <w:lang w:eastAsia="en-AU"/>
        </w:rPr>
        <w:t>(WHS)</w:t>
      </w:r>
      <w:r>
        <w:rPr>
          <w:lang w:eastAsia="en-AU"/>
        </w:rPr>
        <w:t xml:space="preserve"> regulators, including NT WorkSafe, are signatories to the </w:t>
      </w:r>
      <w:hyperlink r:id="rId18" w:history="1">
        <w:r w:rsidRPr="006B4540">
          <w:rPr>
            <w:rStyle w:val="Hyperlink"/>
            <w:lang w:eastAsia="en-AU"/>
          </w:rPr>
          <w:t>National Compliance and Enforcement Policy</w:t>
        </w:r>
      </w:hyperlink>
      <w:r>
        <w:rPr>
          <w:lang w:eastAsia="en-AU"/>
        </w:rPr>
        <w:t xml:space="preserve"> </w:t>
      </w:r>
      <w:r w:rsidRPr="006B4540">
        <w:rPr>
          <w:b/>
          <w:lang w:eastAsia="en-AU"/>
        </w:rPr>
        <w:t>(NCEP)</w:t>
      </w:r>
      <w:r>
        <w:rPr>
          <w:lang w:eastAsia="en-AU"/>
        </w:rPr>
        <w:t>.</w:t>
      </w:r>
    </w:p>
    <w:p w:rsidR="004D6618" w:rsidRDefault="004D6618" w:rsidP="004D6618">
      <w:pPr>
        <w:rPr>
          <w:lang w:eastAsia="en-AU"/>
        </w:rPr>
      </w:pPr>
      <w:r>
        <w:rPr>
          <w:lang w:eastAsia="en-AU"/>
        </w:rPr>
        <w:t>The NCEP outlines a nationally consistent approach to compliance and enforcement under the Act and the Regulations.</w:t>
      </w:r>
    </w:p>
    <w:p w:rsidR="004D6618" w:rsidRDefault="004D6618" w:rsidP="00F25163">
      <w:pPr>
        <w:spacing w:after="360"/>
        <w:rPr>
          <w:lang w:eastAsia="en-AU"/>
        </w:rPr>
      </w:pPr>
      <w:r>
        <w:rPr>
          <w:lang w:eastAsia="en-AU"/>
        </w:rPr>
        <w:t>The NCEP includes the following diagram which represents how WHS regulators can use compliance and enforcement tools in a proportionate way, and the ability to escalate compliance and enforcement if the initial intervention does not achieve the desired outcome.</w:t>
      </w:r>
    </w:p>
    <w:p w:rsidR="004D6618" w:rsidRDefault="004D6618" w:rsidP="00F25163">
      <w:pPr>
        <w:spacing w:after="60"/>
        <w:jc w:val="center"/>
        <w:rPr>
          <w:lang w:eastAsia="en-AU"/>
        </w:rPr>
      </w:pPr>
      <w:r>
        <w:rPr>
          <w:noProof/>
          <w:lang w:eastAsia="en-AU"/>
        </w:rPr>
        <w:drawing>
          <wp:inline distT="0" distB="0" distL="0" distR="0" wp14:anchorId="123C5283" wp14:editId="2F362E21">
            <wp:extent cx="4302098" cy="3744000"/>
            <wp:effectExtent l="0" t="0" r="381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02098" cy="3744000"/>
                    </a:xfrm>
                    <a:prstGeom prst="rect">
                      <a:avLst/>
                    </a:prstGeom>
                    <a:noFill/>
                  </pic:spPr>
                </pic:pic>
              </a:graphicData>
            </a:graphic>
          </wp:inline>
        </w:drawing>
      </w:r>
    </w:p>
    <w:p w:rsidR="004D6618" w:rsidRPr="004D6618" w:rsidRDefault="004D6618" w:rsidP="00F25163">
      <w:pPr>
        <w:spacing w:after="360"/>
        <w:rPr>
          <w:sz w:val="20"/>
          <w:lang w:eastAsia="en-AU"/>
        </w:rPr>
      </w:pPr>
      <w:r w:rsidRPr="004D6618">
        <w:rPr>
          <w:b/>
          <w:sz w:val="20"/>
          <w:lang w:eastAsia="en-AU"/>
        </w:rPr>
        <w:t>Source:</w:t>
      </w:r>
      <w:r w:rsidRPr="004D6618">
        <w:rPr>
          <w:sz w:val="20"/>
          <w:lang w:eastAsia="en-AU"/>
        </w:rPr>
        <w:t xml:space="preserve"> Safe Work Australia; National Health and Safety Compliance and Enforcement Policy.</w:t>
      </w:r>
    </w:p>
    <w:p w:rsidR="004D6618" w:rsidRDefault="004D6618" w:rsidP="004D6618">
      <w:pPr>
        <w:rPr>
          <w:lang w:eastAsia="en-AU"/>
        </w:rPr>
      </w:pPr>
      <w:r>
        <w:rPr>
          <w:lang w:eastAsia="en-AU"/>
        </w:rPr>
        <w:t>In doing so, the NCEP balances a number of considerations, including:</w:t>
      </w:r>
    </w:p>
    <w:p w:rsidR="004D6618" w:rsidRDefault="004D6618" w:rsidP="004D6618">
      <w:pPr>
        <w:pStyle w:val="ListParagraph"/>
        <w:numPr>
          <w:ilvl w:val="0"/>
          <w:numId w:val="13"/>
        </w:numPr>
        <w:rPr>
          <w:lang w:eastAsia="en-AU"/>
        </w:rPr>
      </w:pPr>
      <w:r>
        <w:rPr>
          <w:lang w:eastAsia="en-AU"/>
        </w:rPr>
        <w:t>community expectations that businesses and undertakings will be monitored and held accountable if they breach WHS laws;</w:t>
      </w:r>
    </w:p>
    <w:p w:rsidR="004D6618" w:rsidRDefault="004D6618" w:rsidP="004D6618">
      <w:pPr>
        <w:pStyle w:val="ListParagraph"/>
        <w:numPr>
          <w:ilvl w:val="0"/>
          <w:numId w:val="13"/>
        </w:numPr>
        <w:rPr>
          <w:lang w:eastAsia="en-AU"/>
        </w:rPr>
      </w:pPr>
      <w:r>
        <w:rPr>
          <w:lang w:eastAsia="en-AU"/>
        </w:rPr>
        <w:t>the need to support individual workplaces and industry bodies to build capability to achieve compliance with WHS laws; and</w:t>
      </w:r>
    </w:p>
    <w:p w:rsidR="004D6618" w:rsidRDefault="004D6618" w:rsidP="004D6618">
      <w:pPr>
        <w:pStyle w:val="ListParagraph"/>
        <w:numPr>
          <w:ilvl w:val="0"/>
          <w:numId w:val="13"/>
        </w:numPr>
        <w:rPr>
          <w:lang w:eastAsia="en-AU"/>
        </w:rPr>
      </w:pPr>
      <w:r>
        <w:rPr>
          <w:lang w:eastAsia="en-AU"/>
        </w:rPr>
        <w:t>the need to work with stakeholders to continue to promote innovation and continuous improvements in WHS standards.</w:t>
      </w:r>
    </w:p>
    <w:p w:rsidR="004D6618" w:rsidRDefault="004D6618" w:rsidP="004D6618">
      <w:pPr>
        <w:pStyle w:val="Heading1"/>
        <w:rPr>
          <w:lang w:eastAsia="en-AU"/>
        </w:rPr>
      </w:pPr>
      <w:bookmarkStart w:id="2" w:name="_Toc117238883"/>
      <w:r>
        <w:rPr>
          <w:lang w:eastAsia="en-AU"/>
        </w:rPr>
        <w:lastRenderedPageBreak/>
        <w:t>Director of Public Prosecutions</w:t>
      </w:r>
      <w:bookmarkEnd w:id="2"/>
    </w:p>
    <w:p w:rsidR="004D6618" w:rsidRDefault="004D6618" w:rsidP="004D6618">
      <w:pPr>
        <w:rPr>
          <w:lang w:eastAsia="en-AU"/>
        </w:rPr>
      </w:pPr>
      <w:r>
        <w:rPr>
          <w:lang w:eastAsia="en-AU"/>
        </w:rPr>
        <w:t xml:space="preserve">NT WorkSafe adopts and applies the </w:t>
      </w:r>
      <w:hyperlink r:id="rId20" w:history="1">
        <w:r w:rsidRPr="00462D0B">
          <w:rPr>
            <w:rStyle w:val="Hyperlink"/>
            <w:lang w:eastAsia="en-AU"/>
          </w:rPr>
          <w:t>Prosecution Guidelines of the Northern Territory Director of Public Prosecutions</w:t>
        </w:r>
      </w:hyperlink>
      <w:r>
        <w:rPr>
          <w:lang w:eastAsia="en-AU"/>
        </w:rPr>
        <w:t xml:space="preserve"> </w:t>
      </w:r>
      <w:r w:rsidRPr="006B4540">
        <w:rPr>
          <w:b/>
          <w:lang w:eastAsia="en-AU"/>
        </w:rPr>
        <w:t>(DPP)</w:t>
      </w:r>
      <w:r>
        <w:rPr>
          <w:lang w:eastAsia="en-AU"/>
        </w:rPr>
        <w:t>. These Guidelines are considered in relation to any decision by NT WorkSafe to initiate a prosecution under the Act.</w:t>
      </w:r>
    </w:p>
    <w:p w:rsidR="004D6618" w:rsidRDefault="004D6618" w:rsidP="00F25163">
      <w:pPr>
        <w:pStyle w:val="Heading2"/>
        <w:rPr>
          <w:lang w:eastAsia="en-AU"/>
        </w:rPr>
      </w:pPr>
      <w:bookmarkStart w:id="3" w:name="_Toc117238884"/>
      <w:r>
        <w:rPr>
          <w:lang w:eastAsia="en-AU"/>
        </w:rPr>
        <w:t>The decision to prosecute</w:t>
      </w:r>
      <w:bookmarkEnd w:id="3"/>
    </w:p>
    <w:p w:rsidR="004D6618" w:rsidRDefault="004D6618" w:rsidP="004D6618">
      <w:pPr>
        <w:rPr>
          <w:lang w:eastAsia="en-AU"/>
        </w:rPr>
      </w:pPr>
      <w:r>
        <w:rPr>
          <w:lang w:eastAsia="en-AU"/>
        </w:rPr>
        <w:t>Prosecution for an offence is a discretionary action. The dominant consideration in deciding whether or not to prosecute is if it is in the public interest.</w:t>
      </w:r>
    </w:p>
    <w:p w:rsidR="004D6618" w:rsidRDefault="004D6618" w:rsidP="004D6618">
      <w:pPr>
        <w:rPr>
          <w:lang w:eastAsia="en-AU"/>
        </w:rPr>
      </w:pPr>
      <w:r>
        <w:rPr>
          <w:lang w:eastAsia="en-AU"/>
        </w:rPr>
        <w:t>NT WorkSafe aims to change the behaviour of the alleged offender and deter future offenders by commencing a prosecution.</w:t>
      </w:r>
    </w:p>
    <w:p w:rsidR="004D6618" w:rsidRDefault="004D6618" w:rsidP="004D6618">
      <w:pPr>
        <w:rPr>
          <w:lang w:eastAsia="en-AU"/>
        </w:rPr>
      </w:pPr>
      <w:r>
        <w:rPr>
          <w:lang w:eastAsia="en-AU"/>
        </w:rPr>
        <w:t>Consistent with the NCEP, NT WorkSafe is committed to a policy of prosecuting whenever significant breaches of WHS legislation occur.</w:t>
      </w:r>
    </w:p>
    <w:p w:rsidR="004D6618" w:rsidRDefault="004D6618" w:rsidP="004D6618">
      <w:pPr>
        <w:rPr>
          <w:lang w:eastAsia="en-AU"/>
        </w:rPr>
      </w:pPr>
      <w:r>
        <w:rPr>
          <w:lang w:eastAsia="en-AU"/>
        </w:rPr>
        <w:t>Significant breaches generally include cases involving fatalities and/or serious injury or where potential risks to WHS are high.</w:t>
      </w:r>
    </w:p>
    <w:p w:rsidR="004D6618" w:rsidRDefault="004D6618" w:rsidP="00F25163">
      <w:pPr>
        <w:pStyle w:val="Heading2"/>
        <w:rPr>
          <w:lang w:eastAsia="en-AU"/>
        </w:rPr>
      </w:pPr>
      <w:bookmarkStart w:id="4" w:name="_Toc117238885"/>
      <w:r>
        <w:rPr>
          <w:lang w:eastAsia="en-AU"/>
        </w:rPr>
        <w:t>Factors to take into account</w:t>
      </w:r>
      <w:bookmarkEnd w:id="4"/>
    </w:p>
    <w:p w:rsidR="004D6618" w:rsidRDefault="004D6618" w:rsidP="004D6618">
      <w:pPr>
        <w:rPr>
          <w:lang w:eastAsia="en-AU"/>
        </w:rPr>
      </w:pPr>
      <w:r>
        <w:rPr>
          <w:lang w:eastAsia="en-AU"/>
        </w:rPr>
        <w:t>The DPP Guidelines require careful consideration to determine whether:</w:t>
      </w:r>
    </w:p>
    <w:p w:rsidR="004D6618" w:rsidRDefault="004D6618" w:rsidP="00F25163">
      <w:pPr>
        <w:pStyle w:val="ListParagraph"/>
        <w:numPr>
          <w:ilvl w:val="0"/>
          <w:numId w:val="14"/>
        </w:numPr>
        <w:rPr>
          <w:lang w:eastAsia="en-AU"/>
        </w:rPr>
      </w:pPr>
      <w:r>
        <w:rPr>
          <w:lang w:eastAsia="en-AU"/>
        </w:rPr>
        <w:t>the admissible evidence available is capable of establishing each element of the offence;</w:t>
      </w:r>
    </w:p>
    <w:p w:rsidR="004D6618" w:rsidRDefault="004D6618" w:rsidP="00F25163">
      <w:pPr>
        <w:pStyle w:val="ListParagraph"/>
        <w:numPr>
          <w:ilvl w:val="0"/>
          <w:numId w:val="14"/>
        </w:numPr>
        <w:rPr>
          <w:lang w:eastAsia="en-AU"/>
        </w:rPr>
      </w:pPr>
      <w:r>
        <w:rPr>
          <w:lang w:eastAsia="en-AU"/>
        </w:rPr>
        <w:t xml:space="preserve">there is a reasonable prospect of conviction; and </w:t>
      </w:r>
    </w:p>
    <w:p w:rsidR="004D6618" w:rsidRDefault="004D6618" w:rsidP="005B44E0">
      <w:pPr>
        <w:pStyle w:val="ListParagraph"/>
        <w:numPr>
          <w:ilvl w:val="0"/>
          <w:numId w:val="14"/>
        </w:numPr>
        <w:spacing w:after="200"/>
        <w:ind w:left="714" w:hanging="357"/>
        <w:rPr>
          <w:lang w:eastAsia="en-AU"/>
        </w:rPr>
      </w:pPr>
      <w:r>
        <w:rPr>
          <w:lang w:eastAsia="en-AU"/>
        </w:rPr>
        <w:t>if it is in the public interest to prosecute.</w:t>
      </w:r>
    </w:p>
    <w:p w:rsidR="004D6618" w:rsidRDefault="004D6618" w:rsidP="004D6618">
      <w:pPr>
        <w:rPr>
          <w:lang w:eastAsia="en-AU"/>
        </w:rPr>
      </w:pPr>
      <w:r>
        <w:rPr>
          <w:lang w:eastAsia="en-AU"/>
        </w:rPr>
        <w:t xml:space="preserve">For more information, </w:t>
      </w:r>
      <w:hyperlink r:id="rId21" w:history="1">
        <w:r w:rsidRPr="00F25163">
          <w:rPr>
            <w:rStyle w:val="Hyperlink"/>
            <w:lang w:eastAsia="en-AU"/>
          </w:rPr>
          <w:t>refer to the DPP Guidelines</w:t>
        </w:r>
      </w:hyperlink>
      <w:r>
        <w:rPr>
          <w:lang w:eastAsia="en-AU"/>
        </w:rPr>
        <w:t>.</w:t>
      </w:r>
    </w:p>
    <w:p w:rsidR="004D6618" w:rsidRDefault="004D6618" w:rsidP="00F25163">
      <w:pPr>
        <w:pStyle w:val="Heading3"/>
        <w:rPr>
          <w:lang w:eastAsia="en-AU"/>
        </w:rPr>
      </w:pPr>
      <w:bookmarkStart w:id="5" w:name="_Toc117238886"/>
      <w:r>
        <w:rPr>
          <w:lang w:eastAsia="en-AU"/>
        </w:rPr>
        <w:t>Reasonable prospect of conviction</w:t>
      </w:r>
      <w:bookmarkEnd w:id="5"/>
    </w:p>
    <w:p w:rsidR="004D6618" w:rsidRDefault="004D6618" w:rsidP="004D6618">
      <w:pPr>
        <w:rPr>
          <w:lang w:eastAsia="en-AU"/>
        </w:rPr>
      </w:pPr>
      <w:r>
        <w:rPr>
          <w:lang w:eastAsia="en-AU"/>
        </w:rPr>
        <w:t>This consideration requires an exercise of judgment which will depend upon an evaluation of the weight of the available evidence, and the strength of the prosecution case in light of anticipated court proceedings.</w:t>
      </w:r>
    </w:p>
    <w:p w:rsidR="004D6618" w:rsidRDefault="004D6618" w:rsidP="004D6618">
      <w:pPr>
        <w:rPr>
          <w:lang w:eastAsia="en-AU"/>
        </w:rPr>
      </w:pPr>
      <w:r>
        <w:rPr>
          <w:lang w:eastAsia="en-AU"/>
        </w:rPr>
        <w:t>For instance, the evaluation of the strength of a prosecution case will be whether the alleged offender ensured, so far as reasonably practicable, that the alleged risk was addressed, and the existence of evidence to support any defence that may be raised.</w:t>
      </w:r>
    </w:p>
    <w:p w:rsidR="004D6618" w:rsidRDefault="004D6618" w:rsidP="00F25163">
      <w:pPr>
        <w:pStyle w:val="Heading3"/>
        <w:rPr>
          <w:lang w:eastAsia="en-AU"/>
        </w:rPr>
      </w:pPr>
      <w:bookmarkStart w:id="6" w:name="_Toc117238887"/>
      <w:r>
        <w:rPr>
          <w:lang w:eastAsia="en-AU"/>
        </w:rPr>
        <w:t>Public interest test</w:t>
      </w:r>
      <w:bookmarkEnd w:id="6"/>
    </w:p>
    <w:p w:rsidR="004D6618" w:rsidRDefault="004D6618" w:rsidP="004D6618">
      <w:pPr>
        <w:rPr>
          <w:lang w:eastAsia="en-AU"/>
        </w:rPr>
      </w:pPr>
      <w:r>
        <w:rPr>
          <w:lang w:eastAsia="en-AU"/>
        </w:rPr>
        <w:t>In considering the public interest element, the main criteria to take into account include:</w:t>
      </w:r>
    </w:p>
    <w:p w:rsidR="00F25163" w:rsidRDefault="004D6618" w:rsidP="00027443">
      <w:pPr>
        <w:pStyle w:val="ListParagraph"/>
        <w:numPr>
          <w:ilvl w:val="0"/>
          <w:numId w:val="15"/>
        </w:numPr>
        <w:rPr>
          <w:lang w:eastAsia="en-AU"/>
        </w:rPr>
      </w:pPr>
      <w:r>
        <w:rPr>
          <w:lang w:eastAsia="en-AU"/>
        </w:rPr>
        <w:t xml:space="preserve">the seriousness or, conversely, the triviality of the alleged offence; or that it is of a “technical” nature only; </w:t>
      </w:r>
    </w:p>
    <w:p w:rsidR="00F25163" w:rsidRDefault="004D6618" w:rsidP="00A04858">
      <w:pPr>
        <w:pStyle w:val="ListParagraph"/>
        <w:numPr>
          <w:ilvl w:val="0"/>
          <w:numId w:val="15"/>
        </w:numPr>
        <w:rPr>
          <w:lang w:eastAsia="en-AU"/>
        </w:rPr>
      </w:pPr>
      <w:r>
        <w:rPr>
          <w:lang w:eastAsia="en-AU"/>
        </w:rPr>
        <w:t xml:space="preserve">whether or not the alleged offence is of considerable public concern; </w:t>
      </w:r>
    </w:p>
    <w:p w:rsidR="00F25163" w:rsidRDefault="004D6618" w:rsidP="004D6618">
      <w:pPr>
        <w:pStyle w:val="ListParagraph"/>
        <w:numPr>
          <w:ilvl w:val="0"/>
          <w:numId w:val="15"/>
        </w:numPr>
        <w:rPr>
          <w:lang w:eastAsia="en-AU"/>
        </w:rPr>
      </w:pPr>
      <w:r>
        <w:rPr>
          <w:lang w:eastAsia="en-AU"/>
        </w:rPr>
        <w:t xml:space="preserve">the obsolescence or obscurity of the law; </w:t>
      </w:r>
    </w:p>
    <w:p w:rsidR="00F25163" w:rsidRDefault="004D6618" w:rsidP="004D6618">
      <w:pPr>
        <w:pStyle w:val="ListParagraph"/>
        <w:numPr>
          <w:ilvl w:val="0"/>
          <w:numId w:val="15"/>
        </w:numPr>
        <w:rPr>
          <w:lang w:eastAsia="en-AU"/>
        </w:rPr>
      </w:pPr>
      <w:r>
        <w:rPr>
          <w:lang w:eastAsia="en-AU"/>
        </w:rPr>
        <w:t xml:space="preserve">whether or not the prosecution would be perceived as counterproductive for example, by bringing the law into disrepute; </w:t>
      </w:r>
    </w:p>
    <w:p w:rsidR="00F25163" w:rsidRDefault="004D6618" w:rsidP="004D6618">
      <w:pPr>
        <w:pStyle w:val="ListParagraph"/>
        <w:numPr>
          <w:ilvl w:val="0"/>
          <w:numId w:val="15"/>
        </w:numPr>
        <w:rPr>
          <w:lang w:eastAsia="en-AU"/>
        </w:rPr>
      </w:pPr>
      <w:r>
        <w:rPr>
          <w:lang w:eastAsia="en-AU"/>
        </w:rPr>
        <w:t xml:space="preserve">special circumstances that would prevent a fair trial from being conducted; </w:t>
      </w:r>
    </w:p>
    <w:p w:rsidR="00F25163" w:rsidRDefault="004D6618" w:rsidP="004D6618">
      <w:pPr>
        <w:pStyle w:val="ListParagraph"/>
        <w:numPr>
          <w:ilvl w:val="0"/>
          <w:numId w:val="15"/>
        </w:numPr>
        <w:rPr>
          <w:lang w:eastAsia="en-AU"/>
        </w:rPr>
      </w:pPr>
      <w:r>
        <w:rPr>
          <w:lang w:eastAsia="en-AU"/>
        </w:rPr>
        <w:lastRenderedPageBreak/>
        <w:t xml:space="preserve">the necessity to maintain public confidence in such basic institutions as the Parliament and the Courts; </w:t>
      </w:r>
    </w:p>
    <w:p w:rsidR="00F25163" w:rsidRDefault="004D6618" w:rsidP="004D6618">
      <w:pPr>
        <w:pStyle w:val="ListParagraph"/>
        <w:numPr>
          <w:ilvl w:val="0"/>
          <w:numId w:val="15"/>
        </w:numPr>
        <w:rPr>
          <w:lang w:eastAsia="en-AU"/>
        </w:rPr>
      </w:pPr>
      <w:r>
        <w:rPr>
          <w:lang w:eastAsia="en-AU"/>
        </w:rPr>
        <w:t xml:space="preserve">the staleness of the alleged offence; </w:t>
      </w:r>
    </w:p>
    <w:p w:rsidR="00F25163" w:rsidRDefault="004D6618" w:rsidP="004D6618">
      <w:pPr>
        <w:pStyle w:val="ListParagraph"/>
        <w:numPr>
          <w:ilvl w:val="0"/>
          <w:numId w:val="15"/>
        </w:numPr>
        <w:rPr>
          <w:lang w:eastAsia="en-AU"/>
        </w:rPr>
      </w:pPr>
      <w:r>
        <w:rPr>
          <w:lang w:eastAsia="en-AU"/>
        </w:rPr>
        <w:t xml:space="preserve">the prevalence of the alleged offence and any need for deterrence, both personal and general; </w:t>
      </w:r>
    </w:p>
    <w:p w:rsidR="00F25163" w:rsidRDefault="004D6618" w:rsidP="004D6618">
      <w:pPr>
        <w:pStyle w:val="ListParagraph"/>
        <w:numPr>
          <w:ilvl w:val="0"/>
          <w:numId w:val="15"/>
        </w:numPr>
        <w:rPr>
          <w:lang w:eastAsia="en-AU"/>
        </w:rPr>
      </w:pPr>
      <w:r>
        <w:rPr>
          <w:lang w:eastAsia="en-AU"/>
        </w:rPr>
        <w:t xml:space="preserve">the availability and efficacy of any alternatives to prosecution; </w:t>
      </w:r>
    </w:p>
    <w:p w:rsidR="00F25163" w:rsidRDefault="004D6618" w:rsidP="004D6618">
      <w:pPr>
        <w:pStyle w:val="ListParagraph"/>
        <w:numPr>
          <w:ilvl w:val="0"/>
          <w:numId w:val="15"/>
        </w:numPr>
        <w:rPr>
          <w:lang w:eastAsia="en-A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Asia="en-AU"/>
        </w:rPr>
      </w:pPr>
      <w:r>
        <w:rPr>
          <w:lang w:eastAsia="en-AU"/>
        </w:rPr>
        <w:t xml:space="preserve">the likely length and expense of a trial; </w:t>
      </w:r>
    </w:p>
    <w:p w:rsidR="00F25163" w:rsidRDefault="004D6618" w:rsidP="009F721E">
      <w:pPr>
        <w:pStyle w:val="ListParagraph"/>
        <w:numPr>
          <w:ilvl w:val="0"/>
          <w:numId w:val="15"/>
        </w:numPr>
        <w:rPr>
          <w:lang w:eastAsia="en-AU"/>
        </w:rPr>
      </w:pPr>
      <w:r>
        <w:rPr>
          <w:lang w:eastAsia="en-AU"/>
        </w:rPr>
        <w:t xml:space="preserve">whether or not any resulting conviction would necessarily be regarded as unsafe and unsatisfactory; </w:t>
      </w:r>
    </w:p>
    <w:p w:rsidR="00F25163" w:rsidRDefault="00F25163" w:rsidP="00CE2639">
      <w:pPr>
        <w:pStyle w:val="ListParagraph"/>
        <w:numPr>
          <w:ilvl w:val="0"/>
          <w:numId w:val="15"/>
        </w:numPr>
        <w:rPr>
          <w:lang w:eastAsia="en-AU"/>
        </w:rPr>
      </w:pPr>
      <w:r>
        <w:rPr>
          <w:lang w:eastAsia="en-AU"/>
        </w:rPr>
        <w:t>t</w:t>
      </w:r>
      <w:r w:rsidR="004D6618">
        <w:rPr>
          <w:lang w:eastAsia="en-AU"/>
        </w:rPr>
        <w:t xml:space="preserve">he likely outcome in the event of a finding of guilt, having regard to the sentencing options available to the court; </w:t>
      </w:r>
    </w:p>
    <w:p w:rsidR="00F25163" w:rsidRDefault="004D6618" w:rsidP="004D6618">
      <w:pPr>
        <w:pStyle w:val="ListParagraph"/>
        <w:numPr>
          <w:ilvl w:val="0"/>
          <w:numId w:val="15"/>
        </w:numPr>
        <w:rPr>
          <w:lang w:eastAsia="en-AU"/>
        </w:rPr>
      </w:pPr>
      <w:r>
        <w:rPr>
          <w:lang w:eastAsia="en-AU"/>
        </w:rPr>
        <w:t xml:space="preserve">whether or not the proceedings or the consequences of any resulting conviction would be unduly harsh or oppressive; </w:t>
      </w:r>
    </w:p>
    <w:p w:rsidR="00F25163" w:rsidRDefault="004D6618" w:rsidP="004D6618">
      <w:pPr>
        <w:pStyle w:val="ListParagraph"/>
        <w:numPr>
          <w:ilvl w:val="0"/>
          <w:numId w:val="15"/>
        </w:numPr>
        <w:rPr>
          <w:lang w:eastAsia="en-AU"/>
        </w:rPr>
      </w:pPr>
      <w:r>
        <w:rPr>
          <w:lang w:eastAsia="en-AU"/>
        </w:rPr>
        <w:t xml:space="preserve">the degree of culpability of the offender in connection with the offence; </w:t>
      </w:r>
    </w:p>
    <w:p w:rsidR="00F25163" w:rsidRDefault="004D6618" w:rsidP="004D6618">
      <w:pPr>
        <w:pStyle w:val="ListParagraph"/>
        <w:numPr>
          <w:ilvl w:val="0"/>
          <w:numId w:val="15"/>
        </w:numPr>
        <w:rPr>
          <w:lang w:eastAsia="en-AU"/>
        </w:rPr>
      </w:pPr>
      <w:r>
        <w:rPr>
          <w:lang w:eastAsia="en-AU"/>
        </w:rPr>
        <w:t>any mitigating or aggravating circumstances;</w:t>
      </w:r>
    </w:p>
    <w:p w:rsidR="00F25163" w:rsidRDefault="004D6618" w:rsidP="004D6618">
      <w:pPr>
        <w:pStyle w:val="ListParagraph"/>
        <w:numPr>
          <w:ilvl w:val="0"/>
          <w:numId w:val="15"/>
        </w:numPr>
        <w:rPr>
          <w:lang w:eastAsia="en-AU"/>
        </w:rPr>
      </w:pPr>
      <w:r>
        <w:rPr>
          <w:lang w:eastAsia="en-AU"/>
        </w:rPr>
        <w:t xml:space="preserve">the youth, age, maturity, intelligence, physical health, mental health or special disability or infirmity of the offender, a witness or a victim; </w:t>
      </w:r>
    </w:p>
    <w:p w:rsidR="00F25163" w:rsidRDefault="004D6618" w:rsidP="004D6618">
      <w:pPr>
        <w:pStyle w:val="ListParagraph"/>
        <w:numPr>
          <w:ilvl w:val="0"/>
          <w:numId w:val="15"/>
        </w:numPr>
        <w:rPr>
          <w:lang w:eastAsia="en-AU"/>
        </w:rPr>
      </w:pPr>
      <w:r>
        <w:rPr>
          <w:lang w:eastAsia="en-AU"/>
        </w:rPr>
        <w:t xml:space="preserve">the offender’s antecedents and background; </w:t>
      </w:r>
    </w:p>
    <w:p w:rsidR="00F25163" w:rsidRDefault="004D6618" w:rsidP="004D6618">
      <w:pPr>
        <w:pStyle w:val="ListParagraph"/>
        <w:numPr>
          <w:ilvl w:val="0"/>
          <w:numId w:val="15"/>
        </w:numPr>
        <w:rPr>
          <w:lang w:eastAsia="en-AU"/>
        </w:rPr>
      </w:pPr>
      <w:r>
        <w:rPr>
          <w:lang w:eastAsia="en-AU"/>
        </w:rPr>
        <w:t xml:space="preserve">the circumstances in which the alleged offence was committed; </w:t>
      </w:r>
    </w:p>
    <w:p w:rsidR="00F25163" w:rsidRDefault="004D6618" w:rsidP="007528AE">
      <w:pPr>
        <w:pStyle w:val="ListParagraph"/>
        <w:numPr>
          <w:ilvl w:val="0"/>
          <w:numId w:val="15"/>
        </w:numPr>
        <w:rPr>
          <w:lang w:eastAsia="en-AU"/>
        </w:rPr>
      </w:pPr>
      <w:r>
        <w:rPr>
          <w:lang w:eastAsia="en-AU"/>
        </w:rPr>
        <w:t xml:space="preserve">whether or not the offender is willing to co-operate in the investigation or prosecution of others, or the extent to which the offender has done so; </w:t>
      </w:r>
    </w:p>
    <w:p w:rsidR="00F25163" w:rsidRDefault="004D6618" w:rsidP="004D6618">
      <w:pPr>
        <w:pStyle w:val="ListParagraph"/>
        <w:numPr>
          <w:ilvl w:val="0"/>
          <w:numId w:val="15"/>
        </w:numPr>
        <w:rPr>
          <w:lang w:eastAsia="en-AU"/>
        </w:rPr>
      </w:pPr>
      <w:r>
        <w:rPr>
          <w:lang w:eastAsia="en-AU"/>
        </w:rPr>
        <w:t>the attitude of a victim or in some cases a material witness to a prosecution; and/or</w:t>
      </w:r>
    </w:p>
    <w:p w:rsidR="004D6618" w:rsidRDefault="004D6618" w:rsidP="005B44E0">
      <w:pPr>
        <w:pStyle w:val="ListParagraph"/>
        <w:numPr>
          <w:ilvl w:val="0"/>
          <w:numId w:val="15"/>
        </w:numPr>
        <w:spacing w:after="200"/>
        <w:ind w:left="714" w:hanging="357"/>
        <w:rPr>
          <w:lang w:eastAsia="en-AU"/>
        </w:rPr>
      </w:pPr>
      <w:r>
        <w:rPr>
          <w:lang w:eastAsia="en-AU"/>
        </w:rPr>
        <w:t>any entitlement or liability of a victim or other person or body to criminal compensation, reparation or forfeiture if prosecution action is taken.</w:t>
      </w:r>
    </w:p>
    <w:p w:rsidR="004D6618" w:rsidRDefault="004D6618" w:rsidP="004D6618">
      <w:pPr>
        <w:rPr>
          <w:lang w:eastAsia="en-AU"/>
        </w:rPr>
      </w:pPr>
      <w:r>
        <w:rPr>
          <w:lang w:eastAsia="en-AU"/>
        </w:rPr>
        <w:t>The applicability of and weight to be given to these and other factors will vary and depend on the particular circumstances of each case.</w:t>
      </w:r>
    </w:p>
    <w:p w:rsidR="004D6618" w:rsidRDefault="004D6618" w:rsidP="00F25163">
      <w:pPr>
        <w:pStyle w:val="Heading2"/>
        <w:rPr>
          <w:lang w:eastAsia="en-AU"/>
        </w:rPr>
      </w:pPr>
      <w:bookmarkStart w:id="7" w:name="_Toc117238888"/>
      <w:r>
        <w:rPr>
          <w:lang w:eastAsia="en-AU"/>
        </w:rPr>
        <w:t>Irrelevant considerations</w:t>
      </w:r>
      <w:bookmarkEnd w:id="7"/>
    </w:p>
    <w:p w:rsidR="004D6618" w:rsidRDefault="004D6618" w:rsidP="004D6618">
      <w:pPr>
        <w:rPr>
          <w:lang w:eastAsia="en-AU"/>
        </w:rPr>
      </w:pPr>
      <w:r>
        <w:rPr>
          <w:lang w:eastAsia="en-AU"/>
        </w:rPr>
        <w:t>NT WorkSafe adopts the principle that a prosecution must not be brought for improper purposes. A decision to prosecute will not be influenced by:</w:t>
      </w:r>
    </w:p>
    <w:p w:rsidR="00F25163" w:rsidRDefault="004D6618" w:rsidP="002F68EF">
      <w:pPr>
        <w:pStyle w:val="ListParagraph"/>
        <w:numPr>
          <w:ilvl w:val="0"/>
          <w:numId w:val="16"/>
        </w:numPr>
        <w:rPr>
          <w:lang w:eastAsia="en-AU"/>
        </w:rPr>
      </w:pPr>
      <w:r>
        <w:rPr>
          <w:lang w:eastAsia="en-AU"/>
        </w:rPr>
        <w:t>any discriminatory factor – for example race, nationality; or</w:t>
      </w:r>
    </w:p>
    <w:p w:rsidR="00F25163" w:rsidRDefault="004D6618" w:rsidP="00413077">
      <w:pPr>
        <w:pStyle w:val="ListParagraph"/>
        <w:numPr>
          <w:ilvl w:val="0"/>
          <w:numId w:val="16"/>
        </w:numPr>
        <w:rPr>
          <w:lang w:eastAsia="en-AU"/>
        </w:rPr>
      </w:pPr>
      <w:r>
        <w:rPr>
          <w:lang w:eastAsia="en-AU"/>
        </w:rPr>
        <w:t>personal empathy or antipathy towards a person; or</w:t>
      </w:r>
    </w:p>
    <w:p w:rsidR="00F25163" w:rsidRDefault="004D6618" w:rsidP="00CE010D">
      <w:pPr>
        <w:pStyle w:val="ListParagraph"/>
        <w:numPr>
          <w:ilvl w:val="0"/>
          <w:numId w:val="16"/>
        </w:numPr>
        <w:rPr>
          <w:lang w:eastAsia="en-AU"/>
        </w:rPr>
      </w:pPr>
      <w:r>
        <w:rPr>
          <w:lang w:eastAsia="en-AU"/>
        </w:rPr>
        <w:t>the political or other affiliations of those responsible for the prosecution decision; or</w:t>
      </w:r>
    </w:p>
    <w:p w:rsidR="004D6618" w:rsidRDefault="00F25163" w:rsidP="00CE010D">
      <w:pPr>
        <w:pStyle w:val="ListParagraph"/>
        <w:numPr>
          <w:ilvl w:val="0"/>
          <w:numId w:val="16"/>
        </w:numPr>
        <w:rPr>
          <w:lang w:eastAsia="en-AU"/>
        </w:rPr>
      </w:pPr>
      <w:r>
        <w:rPr>
          <w:lang w:eastAsia="en-AU"/>
        </w:rPr>
        <w:t>po</w:t>
      </w:r>
      <w:r w:rsidR="004D6618">
        <w:rPr>
          <w:lang w:eastAsia="en-AU"/>
        </w:rPr>
        <w:t>ssible political advantage to the government or any political party, group or individual.</w:t>
      </w:r>
    </w:p>
    <w:p w:rsidR="004D6618" w:rsidRDefault="004D6618" w:rsidP="00F25163">
      <w:pPr>
        <w:pStyle w:val="Heading2"/>
        <w:rPr>
          <w:lang w:eastAsia="en-AU"/>
        </w:rPr>
      </w:pPr>
      <w:bookmarkStart w:id="8" w:name="_Toc117238889"/>
      <w:r>
        <w:rPr>
          <w:lang w:eastAsia="en-AU"/>
        </w:rPr>
        <w:t>Target areas for prosecution</w:t>
      </w:r>
      <w:bookmarkEnd w:id="8"/>
    </w:p>
    <w:p w:rsidR="004D6618" w:rsidRDefault="004D6618" w:rsidP="004D6618">
      <w:pPr>
        <w:rPr>
          <w:lang w:eastAsia="en-AU"/>
        </w:rPr>
      </w:pPr>
      <w:r>
        <w:rPr>
          <w:lang w:eastAsia="en-AU"/>
        </w:rPr>
        <w:t>While NT WorkSafe has identified in its Strategic Plan priority industries and mechanisms of injury, every incident and possible breach of WHS duties is assessed on its own merits.</w:t>
      </w:r>
    </w:p>
    <w:p w:rsidR="004D6618" w:rsidRDefault="004D6618" w:rsidP="00F25163">
      <w:pPr>
        <w:pStyle w:val="Heading1"/>
        <w:rPr>
          <w:lang w:eastAsia="en-AU"/>
        </w:rPr>
      </w:pPr>
      <w:bookmarkStart w:id="9" w:name="_Toc117238890"/>
      <w:r>
        <w:rPr>
          <w:lang w:eastAsia="en-AU"/>
        </w:rPr>
        <w:lastRenderedPageBreak/>
        <w:t>Request for prosecution</w:t>
      </w:r>
      <w:bookmarkEnd w:id="9"/>
      <w:r>
        <w:rPr>
          <w:lang w:eastAsia="en-AU"/>
        </w:rPr>
        <w:t xml:space="preserve"> </w:t>
      </w:r>
    </w:p>
    <w:p w:rsidR="004D6618" w:rsidRDefault="004D6618" w:rsidP="004D6618">
      <w:pPr>
        <w:rPr>
          <w:lang w:eastAsia="en-AU"/>
        </w:rPr>
      </w:pPr>
      <w:r>
        <w:rPr>
          <w:lang w:eastAsia="en-AU"/>
        </w:rPr>
        <w:t xml:space="preserve">Under </w:t>
      </w:r>
      <w:hyperlink r:id="rId22" w:anchor="page=138&amp;zoom=auto,88,306" w:history="1">
        <w:r w:rsidRPr="00462D0B">
          <w:rPr>
            <w:rStyle w:val="Hyperlink"/>
            <w:lang w:eastAsia="en-AU"/>
          </w:rPr>
          <w:t>section 231 of the Act</w:t>
        </w:r>
      </w:hyperlink>
      <w:r>
        <w:rPr>
          <w:lang w:eastAsia="en-AU"/>
        </w:rPr>
        <w:t>, a person may request NT WorkSafe to bring a prosecution if the person reasonably believes that the alleged breach constitutes a Category 1, Category 2 or Category 3 offence, or industrial manslaughter, and no prosecution for the offence has been brought within 6 months of it occurring.</w:t>
      </w:r>
    </w:p>
    <w:p w:rsidR="004D6618" w:rsidRDefault="004D6618" w:rsidP="004D6618">
      <w:pPr>
        <w:rPr>
          <w:lang w:eastAsia="en-AU"/>
        </w:rPr>
      </w:pPr>
      <w:r>
        <w:rPr>
          <w:lang w:eastAsia="en-AU"/>
        </w:rPr>
        <w:t>NT WorkSafe may not accept a request by a person if it has been more than 12 months since the alleged breach occurred.</w:t>
      </w:r>
    </w:p>
    <w:p w:rsidR="004D6618" w:rsidRDefault="004D6618" w:rsidP="004D6618">
      <w:pPr>
        <w:rPr>
          <w:lang w:eastAsia="en-AU"/>
        </w:rPr>
      </w:pPr>
      <w:r>
        <w:rPr>
          <w:lang w:eastAsia="en-AU"/>
        </w:rPr>
        <w:t>If a request is made, then the person must ensure that the request is in writing and contains information about the alleged breach, and the grounds for the belief that the offence occurred.</w:t>
      </w:r>
    </w:p>
    <w:p w:rsidR="004D6618" w:rsidRDefault="004D6618" w:rsidP="004D6618">
      <w:pPr>
        <w:rPr>
          <w:lang w:eastAsia="en-AU"/>
        </w:rPr>
      </w:pPr>
      <w:r>
        <w:rPr>
          <w:lang w:eastAsia="en-AU"/>
        </w:rPr>
        <w:t>In turn, NT WorkSafe must – within three (3) months of receiving a request for prosecution – give written notice to the person who made the request and any person alleged to be responsible for the offence advising whether a prosecution has been or will be brought, or give reasons why a prosecution will not be brought.</w:t>
      </w:r>
    </w:p>
    <w:p w:rsidR="004D6618" w:rsidRDefault="004D6618" w:rsidP="004D6618">
      <w:pPr>
        <w:rPr>
          <w:lang w:eastAsia="en-AU"/>
        </w:rPr>
      </w:pPr>
      <w:r>
        <w:rPr>
          <w:lang w:eastAsia="en-AU"/>
        </w:rPr>
        <w:t xml:space="preserve">NT WorkSafe may also publish information via a written notice on the </w:t>
      </w:r>
      <w:hyperlink r:id="rId23" w:history="1">
        <w:r w:rsidRPr="00462D0B">
          <w:rPr>
            <w:rStyle w:val="Hyperlink"/>
            <w:lang w:eastAsia="en-AU"/>
          </w:rPr>
          <w:t>NT WorkSafe website</w:t>
        </w:r>
      </w:hyperlink>
      <w:r>
        <w:rPr>
          <w:lang w:eastAsia="en-AU"/>
        </w:rPr>
        <w:t>.</w:t>
      </w:r>
    </w:p>
    <w:p w:rsidR="004D6618" w:rsidRDefault="004D6618" w:rsidP="00F25163">
      <w:pPr>
        <w:pStyle w:val="Heading2"/>
        <w:rPr>
          <w:lang w:eastAsia="en-AU"/>
        </w:rPr>
      </w:pPr>
      <w:bookmarkStart w:id="10" w:name="_Toc117238891"/>
      <w:r>
        <w:rPr>
          <w:lang w:eastAsia="en-AU"/>
        </w:rPr>
        <w:t>Referral and consent from the Director of Public Prosecutions</w:t>
      </w:r>
      <w:bookmarkEnd w:id="10"/>
      <w:r>
        <w:rPr>
          <w:lang w:eastAsia="en-AU"/>
        </w:rPr>
        <w:t xml:space="preserve"> </w:t>
      </w:r>
    </w:p>
    <w:p w:rsidR="004D6618" w:rsidRDefault="004D6618" w:rsidP="004D6618">
      <w:pPr>
        <w:rPr>
          <w:lang w:eastAsia="en-AU"/>
        </w:rPr>
      </w:pPr>
      <w:r>
        <w:rPr>
          <w:lang w:eastAsia="en-AU"/>
        </w:rPr>
        <w:t>When considering a prosecution in respect of a death for a Category 1, Category 2 or Category 3 offence, or industrial manslaughter, NT WorkSafe is required to:</w:t>
      </w:r>
    </w:p>
    <w:p w:rsidR="004D6618" w:rsidRDefault="004D6618" w:rsidP="00F25163">
      <w:pPr>
        <w:pStyle w:val="ListParagraph"/>
        <w:numPr>
          <w:ilvl w:val="0"/>
          <w:numId w:val="17"/>
        </w:numPr>
        <w:rPr>
          <w:lang w:eastAsia="en-AU"/>
        </w:rPr>
      </w:pPr>
      <w:r>
        <w:rPr>
          <w:lang w:eastAsia="en-AU"/>
        </w:rPr>
        <w:t>seek the views of the DPP on the merits of a prosecution; and</w:t>
      </w:r>
    </w:p>
    <w:p w:rsidR="004D6618" w:rsidRDefault="004D6618" w:rsidP="00F25163">
      <w:pPr>
        <w:pStyle w:val="ListParagraph"/>
        <w:numPr>
          <w:ilvl w:val="0"/>
          <w:numId w:val="17"/>
        </w:numPr>
        <w:rPr>
          <w:lang w:eastAsia="en-AU"/>
        </w:rPr>
      </w:pPr>
      <w:r>
        <w:rPr>
          <w:lang w:eastAsia="en-AU"/>
        </w:rPr>
        <w:t>obtain consent from the DPP prior to commencing a prosecution.</w:t>
      </w:r>
    </w:p>
    <w:p w:rsidR="004D6618" w:rsidRDefault="004D6618" w:rsidP="00F25163">
      <w:pPr>
        <w:pStyle w:val="Heading1"/>
        <w:rPr>
          <w:lang w:eastAsia="en-AU"/>
        </w:rPr>
      </w:pPr>
      <w:bookmarkStart w:id="11" w:name="_Toc117238892"/>
      <w:r>
        <w:rPr>
          <w:lang w:eastAsia="en-AU"/>
        </w:rPr>
        <w:t>Categories of offences</w:t>
      </w:r>
      <w:bookmarkEnd w:id="11"/>
    </w:p>
    <w:p w:rsidR="004D6618" w:rsidRDefault="004D6618" w:rsidP="004D6618">
      <w:pPr>
        <w:rPr>
          <w:lang w:eastAsia="en-AU"/>
        </w:rPr>
      </w:pPr>
      <w:r>
        <w:rPr>
          <w:lang w:eastAsia="en-AU"/>
        </w:rPr>
        <w:t>There are four categories of offences for failing to comply with a work health and safety duty under the Act.</w:t>
      </w:r>
    </w:p>
    <w:p w:rsidR="004D6618" w:rsidRDefault="004D6618" w:rsidP="00F25163">
      <w:pPr>
        <w:pStyle w:val="Heading2"/>
        <w:rPr>
          <w:lang w:eastAsia="en-AU"/>
        </w:rPr>
      </w:pPr>
      <w:bookmarkStart w:id="12" w:name="_Toc117238893"/>
      <w:r>
        <w:rPr>
          <w:lang w:eastAsia="en-AU"/>
        </w:rPr>
        <w:t>Industrial manslaughter</w:t>
      </w:r>
      <w:bookmarkEnd w:id="12"/>
      <w:r>
        <w:rPr>
          <w:lang w:eastAsia="en-AU"/>
        </w:rPr>
        <w:t xml:space="preserve"> </w:t>
      </w:r>
    </w:p>
    <w:p w:rsidR="004D6618" w:rsidRDefault="004D6618" w:rsidP="004D6618">
      <w:pPr>
        <w:rPr>
          <w:lang w:eastAsia="en-AU"/>
        </w:rPr>
      </w:pPr>
      <w:r>
        <w:rPr>
          <w:lang w:eastAsia="en-AU"/>
        </w:rPr>
        <w:t xml:space="preserve">The industrial manslaughter offence </w:t>
      </w:r>
      <w:r w:rsidR="00462D0B">
        <w:rPr>
          <w:lang w:eastAsia="en-AU"/>
        </w:rPr>
        <w:t>(</w:t>
      </w:r>
      <w:hyperlink r:id="rId24" w:anchor="page=39&amp;zoom=auto,88,213" w:history="1">
        <w:r w:rsidR="00462D0B" w:rsidRPr="00462D0B">
          <w:rPr>
            <w:rStyle w:val="Hyperlink"/>
            <w:lang w:eastAsia="en-AU"/>
          </w:rPr>
          <w:t>section 34B of the Act</w:t>
        </w:r>
      </w:hyperlink>
      <w:r w:rsidR="00462D0B">
        <w:rPr>
          <w:lang w:eastAsia="en-AU"/>
        </w:rPr>
        <w:t xml:space="preserve">) </w:t>
      </w:r>
      <w:r>
        <w:rPr>
          <w:lang w:eastAsia="en-AU"/>
        </w:rPr>
        <w:t>applies when a person intentionally breaches a work health and safety duty owed to a worker by engaging in negligent conduct which is responsible for the death of the worker.</w:t>
      </w:r>
    </w:p>
    <w:p w:rsidR="004D6618" w:rsidRDefault="004D6618" w:rsidP="004D6618">
      <w:pPr>
        <w:rPr>
          <w:lang w:eastAsia="en-AU"/>
        </w:rPr>
      </w:pPr>
      <w:r>
        <w:rPr>
          <w:lang w:eastAsia="en-AU"/>
        </w:rPr>
        <w:t>The prosecution needs to prove that a person charged with this offence intentionally engages in reckless or negligent conduct that breached the health and safety duty and such conduct led to the death of an individual. If an individual is found guilty of this offence, they can be sentenced to imprisonment for life. If a body corporate is found guilty of this offence, a court can impose a penalty of up to 65,000 penalty units.</w:t>
      </w:r>
    </w:p>
    <w:p w:rsidR="004D6618" w:rsidRDefault="004D6618" w:rsidP="00F25163">
      <w:pPr>
        <w:pStyle w:val="Heading2"/>
        <w:rPr>
          <w:lang w:eastAsia="en-AU"/>
        </w:rPr>
      </w:pPr>
      <w:bookmarkStart w:id="13" w:name="_Toc117238894"/>
      <w:r>
        <w:rPr>
          <w:lang w:eastAsia="en-AU"/>
        </w:rPr>
        <w:t>Category 1</w:t>
      </w:r>
      <w:r w:rsidR="005B44E0">
        <w:rPr>
          <w:lang w:eastAsia="en-AU"/>
        </w:rPr>
        <w:t xml:space="preserve"> offence</w:t>
      </w:r>
      <w:bookmarkEnd w:id="13"/>
    </w:p>
    <w:p w:rsidR="004D6618" w:rsidRDefault="004D6618" w:rsidP="004D6618">
      <w:pPr>
        <w:rPr>
          <w:lang w:eastAsia="en-AU"/>
        </w:rPr>
      </w:pPr>
      <w:r>
        <w:rPr>
          <w:lang w:eastAsia="en-AU"/>
        </w:rPr>
        <w:t>This category</w:t>
      </w:r>
      <w:r w:rsidR="005B44E0">
        <w:rPr>
          <w:lang w:eastAsia="en-AU"/>
        </w:rPr>
        <w:t xml:space="preserve"> </w:t>
      </w:r>
      <w:r>
        <w:rPr>
          <w:lang w:eastAsia="en-AU"/>
        </w:rPr>
        <w:t xml:space="preserve">of offending </w:t>
      </w:r>
      <w:r w:rsidR="005B44E0">
        <w:rPr>
          <w:lang w:eastAsia="en-AU"/>
        </w:rPr>
        <w:t>(</w:t>
      </w:r>
      <w:hyperlink r:id="rId25" w:anchor="page=37&amp;zoom=auto,88,449" w:history="1">
        <w:r w:rsidR="005B44E0" w:rsidRPr="00462D0B">
          <w:rPr>
            <w:rStyle w:val="Hyperlink"/>
            <w:lang w:eastAsia="en-AU"/>
          </w:rPr>
          <w:t>section 31 of the Act</w:t>
        </w:r>
      </w:hyperlink>
      <w:r w:rsidR="005B44E0">
        <w:rPr>
          <w:lang w:eastAsia="en-AU"/>
        </w:rPr>
        <w:t xml:space="preserve">) </w:t>
      </w:r>
      <w:r>
        <w:rPr>
          <w:lang w:eastAsia="en-AU"/>
        </w:rPr>
        <w:t xml:space="preserve">involves reckless conduct that exposes an individual to a risk of death or serious injury or illness without reasonable excuse. </w:t>
      </w:r>
    </w:p>
    <w:p w:rsidR="004D6618" w:rsidRDefault="004D6618" w:rsidP="004D6618">
      <w:pPr>
        <w:rPr>
          <w:lang w:eastAsia="en-AU"/>
        </w:rPr>
      </w:pPr>
      <w:r>
        <w:rPr>
          <w:lang w:eastAsia="en-AU"/>
        </w:rPr>
        <w:t xml:space="preserve">The prosecution will be required to prove that the charged person or business was reckless (awareness that a risk exists or will exist), in addition to proving the whole of the offence. The maximum penalties </w:t>
      </w:r>
      <w:r>
        <w:rPr>
          <w:lang w:eastAsia="en-AU"/>
        </w:rPr>
        <w:lastRenderedPageBreak/>
        <w:t>which apply is imprisonment of 5 years or a monetary penalty ranging from $300,000 to $3,000,000 depending if the person charged is an individual, or a body corporate.</w:t>
      </w:r>
    </w:p>
    <w:p w:rsidR="004D6618" w:rsidRDefault="005B44E0" w:rsidP="00F25163">
      <w:pPr>
        <w:pStyle w:val="Heading2"/>
        <w:rPr>
          <w:lang w:eastAsia="en-AU"/>
        </w:rPr>
      </w:pPr>
      <w:bookmarkStart w:id="14" w:name="_Toc117238895"/>
      <w:r>
        <w:rPr>
          <w:lang w:eastAsia="en-AU"/>
        </w:rPr>
        <w:t xml:space="preserve">Category 2 </w:t>
      </w:r>
      <w:r w:rsidR="00F25163">
        <w:rPr>
          <w:lang w:eastAsia="en-AU"/>
        </w:rPr>
        <w:t xml:space="preserve">and </w:t>
      </w:r>
      <w:r w:rsidR="004D6618">
        <w:rPr>
          <w:lang w:eastAsia="en-AU"/>
        </w:rPr>
        <w:t>Category 3</w:t>
      </w:r>
      <w:r>
        <w:rPr>
          <w:lang w:eastAsia="en-AU"/>
        </w:rPr>
        <w:t xml:space="preserve"> offences</w:t>
      </w:r>
      <w:bookmarkEnd w:id="14"/>
    </w:p>
    <w:p w:rsidR="004D6618" w:rsidRDefault="004D6618" w:rsidP="004D6618">
      <w:pPr>
        <w:rPr>
          <w:lang w:eastAsia="en-AU"/>
        </w:rPr>
      </w:pPr>
      <w:r>
        <w:rPr>
          <w:lang w:eastAsia="en-AU"/>
        </w:rPr>
        <w:t xml:space="preserve">Category 2 </w:t>
      </w:r>
      <w:r w:rsidR="005B44E0">
        <w:rPr>
          <w:lang w:eastAsia="en-AU"/>
        </w:rPr>
        <w:t>(</w:t>
      </w:r>
      <w:hyperlink r:id="rId26" w:anchor="page=38&amp;zoom=auto,88,667" w:history="1">
        <w:r w:rsidR="005B44E0" w:rsidRPr="00462D0B">
          <w:rPr>
            <w:rStyle w:val="Hyperlink"/>
            <w:lang w:eastAsia="en-AU"/>
          </w:rPr>
          <w:t>section 32 of the Act</w:t>
        </w:r>
      </w:hyperlink>
      <w:r w:rsidR="005B44E0">
        <w:rPr>
          <w:lang w:eastAsia="en-AU"/>
        </w:rPr>
        <w:t xml:space="preserve">) </w:t>
      </w:r>
      <w:r>
        <w:rPr>
          <w:lang w:eastAsia="en-AU"/>
        </w:rPr>
        <w:t xml:space="preserve">and 3 </w:t>
      </w:r>
      <w:r w:rsidR="005B44E0">
        <w:rPr>
          <w:lang w:eastAsia="en-AU"/>
        </w:rPr>
        <w:t>(</w:t>
      </w:r>
      <w:hyperlink r:id="rId27" w:anchor="page=38&amp;zoom=auto,88,284" w:history="1">
        <w:r w:rsidR="005B44E0" w:rsidRPr="00462D0B">
          <w:rPr>
            <w:rStyle w:val="Hyperlink"/>
            <w:lang w:eastAsia="en-AU"/>
          </w:rPr>
          <w:t>section 33 of the Act</w:t>
        </w:r>
      </w:hyperlink>
      <w:r w:rsidR="005B44E0">
        <w:rPr>
          <w:lang w:eastAsia="en-AU"/>
        </w:rPr>
        <w:t xml:space="preserve">) </w:t>
      </w:r>
      <w:r>
        <w:rPr>
          <w:lang w:eastAsia="en-AU"/>
        </w:rPr>
        <w:t>offences are at a lower level than Category 1 offences as they do not involve recklessness.</w:t>
      </w:r>
    </w:p>
    <w:p w:rsidR="004D6618" w:rsidRDefault="004D6618" w:rsidP="004D6618">
      <w:pPr>
        <w:rPr>
          <w:lang w:eastAsia="en-AU"/>
        </w:rPr>
      </w:pPr>
      <w:r>
        <w:rPr>
          <w:lang w:eastAsia="en-AU"/>
        </w:rPr>
        <w:t>The prosecution still need to prove the case however the level of proof required is lower than the higher offences.</w:t>
      </w:r>
    </w:p>
    <w:p w:rsidR="004D6618" w:rsidRDefault="004D6618" w:rsidP="004D6618">
      <w:pPr>
        <w:rPr>
          <w:lang w:eastAsia="en-AU"/>
        </w:rPr>
      </w:pPr>
      <w:r>
        <w:rPr>
          <w:lang w:eastAsia="en-AU"/>
        </w:rPr>
        <w:t>Category 2 offences require proof that the failure to comply with the work health and safety duty exposed an individual to a risk of death or serious injury or illness.</w:t>
      </w:r>
    </w:p>
    <w:p w:rsidR="004D6618" w:rsidRDefault="004D6618" w:rsidP="004D6618">
      <w:pPr>
        <w:rPr>
          <w:lang w:eastAsia="en-AU"/>
        </w:rPr>
      </w:pPr>
      <w:r>
        <w:rPr>
          <w:lang w:eastAsia="en-AU"/>
        </w:rPr>
        <w:t>Offences without this exposure element would be prosecuted as Category 3 offences. The charge would simply be that the person or business had a duty and failed to meet it.</w:t>
      </w:r>
    </w:p>
    <w:p w:rsidR="004D6618" w:rsidRDefault="004D6618" w:rsidP="005B44E0">
      <w:pPr>
        <w:pStyle w:val="Heading2"/>
        <w:rPr>
          <w:lang w:eastAsia="en-AU"/>
        </w:rPr>
      </w:pPr>
      <w:bookmarkStart w:id="15" w:name="_Toc117238896"/>
      <w:r>
        <w:rPr>
          <w:lang w:eastAsia="en-AU"/>
        </w:rPr>
        <w:t>Alternative offence</w:t>
      </w:r>
      <w:bookmarkEnd w:id="15"/>
    </w:p>
    <w:p w:rsidR="004D6618" w:rsidRDefault="00A139EB" w:rsidP="004D6618">
      <w:pPr>
        <w:rPr>
          <w:lang w:eastAsia="en-AU"/>
        </w:rPr>
      </w:pPr>
      <w:hyperlink r:id="rId28" w:anchor="page=40&amp;zoom=auto,88,211" w:history="1">
        <w:r w:rsidR="004D6618" w:rsidRPr="00462D0B">
          <w:rPr>
            <w:rStyle w:val="Hyperlink"/>
            <w:lang w:eastAsia="en-AU"/>
          </w:rPr>
          <w:t>Section 34D of the Act</w:t>
        </w:r>
      </w:hyperlink>
      <w:r w:rsidR="004D6618">
        <w:rPr>
          <w:lang w:eastAsia="en-AU"/>
        </w:rPr>
        <w:t xml:space="preserve"> allows the Court to find a person charged with industrial manslaughter guilty of an alternative offence, if the Court:</w:t>
      </w:r>
    </w:p>
    <w:p w:rsidR="004D6618" w:rsidRDefault="004D6618" w:rsidP="005B44E0">
      <w:pPr>
        <w:pStyle w:val="ListParagraph"/>
        <w:numPr>
          <w:ilvl w:val="0"/>
          <w:numId w:val="18"/>
        </w:numPr>
        <w:rPr>
          <w:lang w:eastAsia="en-AU"/>
        </w:rPr>
      </w:pPr>
      <w:r>
        <w:rPr>
          <w:lang w:eastAsia="en-AU"/>
        </w:rPr>
        <w:t>is not satisfied beyond reasonable doubt that the person is guilty of industrial manslaughter; but</w:t>
      </w:r>
    </w:p>
    <w:p w:rsidR="004D6618" w:rsidRDefault="004D6618" w:rsidP="005B44E0">
      <w:pPr>
        <w:pStyle w:val="ListParagraph"/>
        <w:numPr>
          <w:ilvl w:val="0"/>
          <w:numId w:val="18"/>
        </w:numPr>
        <w:rPr>
          <w:lang w:eastAsia="en-AU"/>
        </w:rPr>
      </w:pPr>
      <w:r>
        <w:rPr>
          <w:lang w:eastAsia="en-AU"/>
        </w:rPr>
        <w:t>is satisfied beyond a reasonable doubt that the person committed an alternative offence.</w:t>
      </w:r>
    </w:p>
    <w:p w:rsidR="004D6618" w:rsidRDefault="004D6618" w:rsidP="004D6618">
      <w:pPr>
        <w:rPr>
          <w:lang w:eastAsia="en-AU"/>
        </w:rPr>
      </w:pPr>
      <w:r w:rsidRPr="005B44E0">
        <w:rPr>
          <w:b/>
          <w:color w:val="DB7310"/>
          <w:lang w:eastAsia="en-AU"/>
        </w:rPr>
        <w:t>Note:</w:t>
      </w:r>
      <w:r>
        <w:rPr>
          <w:lang w:eastAsia="en-AU"/>
        </w:rPr>
        <w:t xml:space="preserve"> An ‘alternative offence’ means a Category 1 or Category 2 offence.</w:t>
      </w:r>
    </w:p>
    <w:p w:rsidR="004D6618" w:rsidRDefault="004D6618" w:rsidP="005B44E0">
      <w:pPr>
        <w:pStyle w:val="Heading1"/>
        <w:rPr>
          <w:lang w:eastAsia="en-AU"/>
        </w:rPr>
      </w:pPr>
      <w:bookmarkStart w:id="16" w:name="_Toc117238897"/>
      <w:r>
        <w:rPr>
          <w:lang w:eastAsia="en-AU"/>
        </w:rPr>
        <w:t>Limitation periods for prosecutions</w:t>
      </w:r>
      <w:bookmarkEnd w:id="16"/>
    </w:p>
    <w:p w:rsidR="004D6618" w:rsidRDefault="004D6618" w:rsidP="004D6618">
      <w:pPr>
        <w:rPr>
          <w:lang w:eastAsia="en-AU"/>
        </w:rPr>
      </w:pPr>
      <w:r>
        <w:rPr>
          <w:lang w:eastAsia="en-AU"/>
        </w:rPr>
        <w:t>Strict timeframes, known as limitation periods, apply to the commencement of a prosecution. The purpose of adhering to these limitation periods is to balance the need of a duty holder (to have proceedings brought and resolved quickly) with the public interest in having a matter thoroughly investigated so that a sound case can be brought.</w:t>
      </w:r>
    </w:p>
    <w:p w:rsidR="004D6618" w:rsidRDefault="00A139EB" w:rsidP="004D6618">
      <w:pPr>
        <w:rPr>
          <w:lang w:eastAsia="en-AU"/>
        </w:rPr>
      </w:pPr>
      <w:hyperlink r:id="rId29" w:anchor="page=141&amp;zoom=auto,88,747" w:history="1">
        <w:r w:rsidR="004D6618" w:rsidRPr="00462D0B">
          <w:rPr>
            <w:rStyle w:val="Hyperlink"/>
            <w:lang w:eastAsia="en-AU"/>
          </w:rPr>
          <w:t>Section 232(1) of the Act</w:t>
        </w:r>
      </w:hyperlink>
      <w:r w:rsidR="004D6618">
        <w:rPr>
          <w:lang w:eastAsia="en-AU"/>
        </w:rPr>
        <w:t xml:space="preserve"> sets out the limitation periods for when proceedings for an offence may be commenced. These are as follows:</w:t>
      </w:r>
    </w:p>
    <w:p w:rsidR="004D6618" w:rsidRDefault="004D6618" w:rsidP="005B44E0">
      <w:pPr>
        <w:pStyle w:val="ListParagraph"/>
        <w:numPr>
          <w:ilvl w:val="0"/>
          <w:numId w:val="19"/>
        </w:numPr>
        <w:rPr>
          <w:lang w:eastAsia="en-AU"/>
        </w:rPr>
      </w:pPr>
      <w:r>
        <w:rPr>
          <w:lang w:eastAsia="en-AU"/>
        </w:rPr>
        <w:t>within 2 years after the offence first comes to the Regulator’s attention;</w:t>
      </w:r>
    </w:p>
    <w:p w:rsidR="004D6618" w:rsidRDefault="004D6618" w:rsidP="005B44E0">
      <w:pPr>
        <w:pStyle w:val="ListParagraph"/>
        <w:numPr>
          <w:ilvl w:val="0"/>
          <w:numId w:val="19"/>
        </w:numPr>
        <w:rPr>
          <w:lang w:eastAsia="en-AU"/>
        </w:rPr>
      </w:pPr>
      <w:r>
        <w:rPr>
          <w:lang w:eastAsia="en-AU"/>
        </w:rPr>
        <w:t>within 1 year after a finding in a coronial or other official inquiry that an offence has occurred;</w:t>
      </w:r>
    </w:p>
    <w:p w:rsidR="004D6618" w:rsidRDefault="004D6618" w:rsidP="005B44E0">
      <w:pPr>
        <w:pStyle w:val="ListParagraph"/>
        <w:numPr>
          <w:ilvl w:val="0"/>
          <w:numId w:val="19"/>
        </w:numPr>
        <w:spacing w:after="200"/>
        <w:ind w:left="714" w:hanging="357"/>
        <w:rPr>
          <w:lang w:eastAsia="en-AU"/>
        </w:rPr>
      </w:pPr>
      <w:r>
        <w:rPr>
          <w:lang w:eastAsia="en-AU"/>
        </w:rPr>
        <w:t>within 6 months of a contravention or withdrawal of an enforceable undertaking.</w:t>
      </w:r>
    </w:p>
    <w:p w:rsidR="004D6618" w:rsidRDefault="004D6618" w:rsidP="004D6618">
      <w:pPr>
        <w:rPr>
          <w:lang w:eastAsia="en-AU"/>
        </w:rPr>
      </w:pPr>
      <w:r>
        <w:rPr>
          <w:lang w:eastAsia="en-AU"/>
        </w:rPr>
        <w:t>If fresh evidence relating to a Category 1 offence is discovered, then proceedings may be brought:</w:t>
      </w:r>
    </w:p>
    <w:p w:rsidR="004D6618" w:rsidRDefault="004D6618" w:rsidP="005B44E0">
      <w:pPr>
        <w:pStyle w:val="ListParagraph"/>
        <w:numPr>
          <w:ilvl w:val="0"/>
          <w:numId w:val="20"/>
        </w:numPr>
        <w:rPr>
          <w:lang w:eastAsia="en-AU"/>
        </w:rPr>
      </w:pPr>
      <w:r>
        <w:rPr>
          <w:lang w:eastAsia="en-AU"/>
        </w:rPr>
        <w:t xml:space="preserve">at any time after the applicable limitation period in section 232(1) has ended; and </w:t>
      </w:r>
    </w:p>
    <w:p w:rsidR="004D6618" w:rsidRDefault="004D6618" w:rsidP="005B44E0">
      <w:pPr>
        <w:pStyle w:val="ListParagraph"/>
        <w:numPr>
          <w:ilvl w:val="0"/>
          <w:numId w:val="20"/>
        </w:numPr>
        <w:rPr>
          <w:lang w:eastAsia="en-AU"/>
        </w:rPr>
      </w:pPr>
      <w:r>
        <w:rPr>
          <w:lang w:eastAsia="en-AU"/>
        </w:rPr>
        <w:t>the court is satisfied that the evidence could not reasonably have been discovered within the applicable limitation period.</w:t>
      </w:r>
    </w:p>
    <w:p w:rsidR="004D6618" w:rsidRDefault="004D6618" w:rsidP="004D6618">
      <w:pPr>
        <w:rPr>
          <w:lang w:eastAsia="en-AU"/>
        </w:rPr>
      </w:pPr>
      <w:r w:rsidRPr="005B44E0">
        <w:rPr>
          <w:b/>
          <w:color w:val="DB7310"/>
          <w:lang w:eastAsia="en-AU"/>
        </w:rPr>
        <w:t>Note:</w:t>
      </w:r>
      <w:r>
        <w:rPr>
          <w:lang w:eastAsia="en-AU"/>
        </w:rPr>
        <w:t xml:space="preserve"> The limitation periods in section 232(1) do not apply in respect of industrial manslaughter. </w:t>
      </w:r>
    </w:p>
    <w:p w:rsidR="004D6618" w:rsidRDefault="004D6618" w:rsidP="005B44E0">
      <w:pPr>
        <w:pStyle w:val="Heading1"/>
        <w:spacing w:before="840"/>
        <w:rPr>
          <w:lang w:eastAsia="en-AU"/>
        </w:rPr>
      </w:pPr>
      <w:bookmarkStart w:id="17" w:name="_Toc117238898"/>
      <w:r>
        <w:rPr>
          <w:lang w:eastAsia="en-AU"/>
        </w:rPr>
        <w:lastRenderedPageBreak/>
        <w:t>Sentencing options</w:t>
      </w:r>
      <w:bookmarkEnd w:id="17"/>
    </w:p>
    <w:p w:rsidR="004D6618" w:rsidRDefault="00A139EB" w:rsidP="004D6618">
      <w:pPr>
        <w:rPr>
          <w:lang w:eastAsia="en-AU"/>
        </w:rPr>
      </w:pPr>
      <w:hyperlink r:id="rId30" w:anchor="page=142&amp;zoom=auto,88,747" w:history="1">
        <w:r w:rsidR="004D6618" w:rsidRPr="00462D0B">
          <w:rPr>
            <w:rStyle w:val="Hyperlink"/>
            <w:lang w:eastAsia="en-AU"/>
          </w:rPr>
          <w:t>Part 13, Division 2 of the Act</w:t>
        </w:r>
      </w:hyperlink>
      <w:r w:rsidR="004D6618">
        <w:rPr>
          <w:lang w:eastAsia="en-AU"/>
        </w:rPr>
        <w:t xml:space="preserve"> provides a range of sentencing options available to the Court for WHS offences. In addition to any monetary penalty or imprisonment imposed in relation to finding a person guilty of an offence, the Court may also make one or more orders, with or without recording a conviction, specifically:</w:t>
      </w:r>
    </w:p>
    <w:p w:rsidR="004D6618" w:rsidRDefault="005B44E0" w:rsidP="005B44E0">
      <w:pPr>
        <w:pStyle w:val="ListParagraph"/>
        <w:numPr>
          <w:ilvl w:val="0"/>
          <w:numId w:val="21"/>
        </w:numPr>
        <w:rPr>
          <w:lang w:eastAsia="en-AU"/>
        </w:rPr>
      </w:pPr>
      <w:r>
        <w:rPr>
          <w:lang w:eastAsia="en-AU"/>
        </w:rPr>
        <w:t>adverse publicity orders;</w:t>
      </w:r>
    </w:p>
    <w:p w:rsidR="005B44E0" w:rsidRDefault="005B44E0" w:rsidP="00534A16">
      <w:pPr>
        <w:pStyle w:val="ListParagraph"/>
        <w:numPr>
          <w:ilvl w:val="0"/>
          <w:numId w:val="21"/>
        </w:numPr>
        <w:rPr>
          <w:lang w:eastAsia="en-AU"/>
        </w:rPr>
      </w:pPr>
      <w:r>
        <w:rPr>
          <w:lang w:eastAsia="en-AU"/>
        </w:rPr>
        <w:t>orders for restoration;</w:t>
      </w:r>
    </w:p>
    <w:p w:rsidR="005B44E0" w:rsidRDefault="005B44E0" w:rsidP="0088753A">
      <w:pPr>
        <w:pStyle w:val="ListParagraph"/>
        <w:numPr>
          <w:ilvl w:val="0"/>
          <w:numId w:val="21"/>
        </w:numPr>
        <w:rPr>
          <w:lang w:eastAsia="en-AU"/>
        </w:rPr>
      </w:pPr>
      <w:r>
        <w:rPr>
          <w:lang w:eastAsia="en-AU"/>
        </w:rPr>
        <w:t>WHS project orders;</w:t>
      </w:r>
    </w:p>
    <w:p w:rsidR="005B44E0" w:rsidRDefault="004D6618" w:rsidP="00032D8A">
      <w:pPr>
        <w:pStyle w:val="ListParagraph"/>
        <w:numPr>
          <w:ilvl w:val="0"/>
          <w:numId w:val="21"/>
        </w:numPr>
        <w:rPr>
          <w:lang w:eastAsia="en-AU"/>
        </w:rPr>
      </w:pPr>
      <w:r>
        <w:rPr>
          <w:lang w:eastAsia="en-AU"/>
        </w:rPr>
        <w:t>court-or</w:t>
      </w:r>
      <w:r w:rsidR="005B44E0">
        <w:rPr>
          <w:lang w:eastAsia="en-AU"/>
        </w:rPr>
        <w:t>dered WHS undertakings;</w:t>
      </w:r>
    </w:p>
    <w:p w:rsidR="005B44E0" w:rsidRDefault="004D6618" w:rsidP="004A0525">
      <w:pPr>
        <w:pStyle w:val="ListParagraph"/>
        <w:numPr>
          <w:ilvl w:val="0"/>
          <w:numId w:val="21"/>
        </w:numPr>
        <w:rPr>
          <w:lang w:eastAsia="en-AU"/>
        </w:rPr>
      </w:pPr>
      <w:r>
        <w:rPr>
          <w:lang w:eastAsia="en-AU"/>
        </w:rPr>
        <w:t>injunctions</w:t>
      </w:r>
      <w:r w:rsidR="005B44E0">
        <w:rPr>
          <w:lang w:eastAsia="en-AU"/>
        </w:rPr>
        <w:t>;</w:t>
      </w:r>
      <w:r>
        <w:rPr>
          <w:lang w:eastAsia="en-AU"/>
        </w:rPr>
        <w:t xml:space="preserve"> and</w:t>
      </w:r>
    </w:p>
    <w:p w:rsidR="004D6618" w:rsidRDefault="004D6618" w:rsidP="005B44E0">
      <w:pPr>
        <w:pStyle w:val="ListParagraph"/>
        <w:numPr>
          <w:ilvl w:val="0"/>
          <w:numId w:val="21"/>
        </w:numPr>
        <w:spacing w:after="200"/>
        <w:ind w:left="714" w:hanging="357"/>
        <w:rPr>
          <w:lang w:eastAsia="en-AU"/>
        </w:rPr>
      </w:pPr>
      <w:r>
        <w:rPr>
          <w:lang w:eastAsia="en-AU"/>
        </w:rPr>
        <w:t>training orders.</w:t>
      </w:r>
    </w:p>
    <w:p w:rsidR="004D6618" w:rsidRDefault="004D6618" w:rsidP="004D6618">
      <w:pPr>
        <w:rPr>
          <w:lang w:eastAsia="en-AU"/>
        </w:rPr>
      </w:pPr>
      <w:r>
        <w:rPr>
          <w:lang w:eastAsia="en-AU"/>
        </w:rPr>
        <w:t>In line with the DPP Guidelines, NT WorkSafe may make submissions on sentences to:</w:t>
      </w:r>
    </w:p>
    <w:p w:rsidR="00E92EB4" w:rsidRDefault="004D6618" w:rsidP="00D73F36">
      <w:pPr>
        <w:pStyle w:val="ListParagraph"/>
        <w:numPr>
          <w:ilvl w:val="0"/>
          <w:numId w:val="22"/>
        </w:numPr>
        <w:rPr>
          <w:lang w:eastAsia="en-AU"/>
        </w:rPr>
      </w:pPr>
      <w:r>
        <w:rPr>
          <w:lang w:eastAsia="en-AU"/>
        </w:rPr>
        <w:t>inform the court of all relevant circumstances of the case;</w:t>
      </w:r>
    </w:p>
    <w:p w:rsidR="00E92EB4" w:rsidRDefault="004D6618" w:rsidP="004D6618">
      <w:pPr>
        <w:pStyle w:val="ListParagraph"/>
        <w:numPr>
          <w:ilvl w:val="0"/>
          <w:numId w:val="22"/>
        </w:numPr>
        <w:rPr>
          <w:lang w:eastAsia="en-AU"/>
        </w:rPr>
      </w:pPr>
      <w:r>
        <w:rPr>
          <w:lang w:eastAsia="en-AU"/>
        </w:rPr>
        <w:t>inform the court of any relevant authority or legislation relevant to the appropriate sentence;</w:t>
      </w:r>
    </w:p>
    <w:p w:rsidR="00E92EB4" w:rsidRDefault="004D6618" w:rsidP="004D6618">
      <w:pPr>
        <w:pStyle w:val="ListParagraph"/>
        <w:numPr>
          <w:ilvl w:val="0"/>
          <w:numId w:val="22"/>
        </w:numPr>
        <w:rPr>
          <w:lang w:eastAsia="en-AU"/>
        </w:rPr>
      </w:pPr>
      <w:r>
        <w:rPr>
          <w:lang w:eastAsia="en-AU"/>
        </w:rPr>
        <w:t>provide an appropriate level of assistance on the sentencing range; and</w:t>
      </w:r>
    </w:p>
    <w:p w:rsidR="004D6618" w:rsidRDefault="004D6618" w:rsidP="00E92EB4">
      <w:pPr>
        <w:pStyle w:val="ListParagraph"/>
        <w:numPr>
          <w:ilvl w:val="0"/>
          <w:numId w:val="22"/>
        </w:numPr>
        <w:spacing w:after="200"/>
        <w:ind w:left="714" w:hanging="357"/>
        <w:rPr>
          <w:lang w:eastAsia="en-AU"/>
        </w:rPr>
      </w:pPr>
      <w:r>
        <w:rPr>
          <w:lang w:eastAsia="en-AU"/>
        </w:rPr>
        <w:t>assist the court to avoid appealable error on the issue of sentence.</w:t>
      </w:r>
    </w:p>
    <w:p w:rsidR="004D6618" w:rsidRDefault="004D6618" w:rsidP="00E92EB4">
      <w:pPr>
        <w:pStyle w:val="Heading2"/>
        <w:rPr>
          <w:lang w:eastAsia="en-AU"/>
        </w:rPr>
      </w:pPr>
      <w:bookmarkStart w:id="18" w:name="_Toc117238899"/>
      <w:r>
        <w:rPr>
          <w:lang w:eastAsia="en-AU"/>
        </w:rPr>
        <w:t>Purposes of sentencing</w:t>
      </w:r>
      <w:bookmarkEnd w:id="18"/>
    </w:p>
    <w:p w:rsidR="004D6618" w:rsidRDefault="004D6618" w:rsidP="004D6618">
      <w:pPr>
        <w:rPr>
          <w:lang w:eastAsia="en-AU"/>
        </w:rPr>
      </w:pPr>
      <w:r>
        <w:rPr>
          <w:lang w:eastAsia="en-AU"/>
        </w:rPr>
        <w:t>The court may sentence an offender for the following reasons:</w:t>
      </w:r>
    </w:p>
    <w:p w:rsidR="00E92EB4" w:rsidRDefault="004D6618" w:rsidP="00FA6D78">
      <w:pPr>
        <w:pStyle w:val="ListParagraph"/>
        <w:numPr>
          <w:ilvl w:val="0"/>
          <w:numId w:val="23"/>
        </w:numPr>
        <w:rPr>
          <w:lang w:eastAsia="en-AU"/>
        </w:rPr>
      </w:pPr>
      <w:r>
        <w:rPr>
          <w:lang w:eastAsia="en-AU"/>
        </w:rPr>
        <w:t>to ensure that the offender is adequately punished for the offence;</w:t>
      </w:r>
    </w:p>
    <w:p w:rsidR="00E92EB4" w:rsidRDefault="004D6618" w:rsidP="00155DE9">
      <w:pPr>
        <w:pStyle w:val="ListParagraph"/>
        <w:numPr>
          <w:ilvl w:val="0"/>
          <w:numId w:val="23"/>
        </w:numPr>
        <w:rPr>
          <w:lang w:eastAsia="en-AU"/>
        </w:rPr>
      </w:pPr>
      <w:r>
        <w:rPr>
          <w:lang w:eastAsia="en-AU"/>
        </w:rPr>
        <w:t>to deter the offender and other persons in the industry from committing similar offences;</w:t>
      </w:r>
    </w:p>
    <w:p w:rsidR="00E92EB4" w:rsidRDefault="004D6618" w:rsidP="009A550E">
      <w:pPr>
        <w:pStyle w:val="ListParagraph"/>
        <w:numPr>
          <w:ilvl w:val="0"/>
          <w:numId w:val="23"/>
        </w:numPr>
        <w:rPr>
          <w:lang w:eastAsia="en-AU"/>
        </w:rPr>
      </w:pPr>
      <w:r>
        <w:rPr>
          <w:lang w:eastAsia="en-AU"/>
        </w:rPr>
        <w:t>to protect the community from the offender;</w:t>
      </w:r>
    </w:p>
    <w:p w:rsidR="00E92EB4" w:rsidRDefault="004D6618" w:rsidP="007E1A02">
      <w:pPr>
        <w:pStyle w:val="ListParagraph"/>
        <w:numPr>
          <w:ilvl w:val="0"/>
          <w:numId w:val="23"/>
        </w:numPr>
        <w:rPr>
          <w:lang w:eastAsia="en-AU"/>
        </w:rPr>
      </w:pPr>
      <w:r>
        <w:rPr>
          <w:lang w:eastAsia="en-AU"/>
        </w:rPr>
        <w:t>to promote the rehabilitation of the offender;</w:t>
      </w:r>
    </w:p>
    <w:p w:rsidR="00E92EB4" w:rsidRDefault="004D6618" w:rsidP="00C72D40">
      <w:pPr>
        <w:pStyle w:val="ListParagraph"/>
        <w:numPr>
          <w:ilvl w:val="0"/>
          <w:numId w:val="23"/>
        </w:numPr>
        <w:rPr>
          <w:lang w:eastAsia="en-AU"/>
        </w:rPr>
      </w:pPr>
      <w:r>
        <w:rPr>
          <w:lang w:eastAsia="en-AU"/>
        </w:rPr>
        <w:t>to make the offender accountable for their actions;</w:t>
      </w:r>
    </w:p>
    <w:p w:rsidR="00E92EB4" w:rsidRDefault="00E92EB4" w:rsidP="009B76A5">
      <w:pPr>
        <w:pStyle w:val="ListParagraph"/>
        <w:numPr>
          <w:ilvl w:val="0"/>
          <w:numId w:val="23"/>
        </w:numPr>
        <w:rPr>
          <w:lang w:eastAsia="en-AU"/>
        </w:rPr>
      </w:pPr>
      <w:r>
        <w:rPr>
          <w:lang w:eastAsia="en-AU"/>
        </w:rPr>
        <w:t>t</w:t>
      </w:r>
      <w:r w:rsidR="004D6618">
        <w:rPr>
          <w:lang w:eastAsia="en-AU"/>
        </w:rPr>
        <w:t>o condemn the conduct of the offender; and</w:t>
      </w:r>
    </w:p>
    <w:p w:rsidR="004D6618" w:rsidRDefault="004D6618" w:rsidP="009B76A5">
      <w:pPr>
        <w:pStyle w:val="ListParagraph"/>
        <w:numPr>
          <w:ilvl w:val="0"/>
          <w:numId w:val="23"/>
        </w:numPr>
        <w:rPr>
          <w:lang w:eastAsia="en-AU"/>
        </w:rPr>
      </w:pPr>
      <w:r>
        <w:rPr>
          <w:lang w:eastAsia="en-AU"/>
        </w:rPr>
        <w:t>to recognise the harm done to the victim of the crime and the community.</w:t>
      </w:r>
    </w:p>
    <w:p w:rsidR="004D6618" w:rsidRDefault="004D6618" w:rsidP="00E92EB4">
      <w:pPr>
        <w:pStyle w:val="Heading1"/>
        <w:rPr>
          <w:lang w:eastAsia="en-AU"/>
        </w:rPr>
      </w:pPr>
      <w:bookmarkStart w:id="19" w:name="_Toc117238900"/>
      <w:r>
        <w:rPr>
          <w:lang w:eastAsia="en-AU"/>
        </w:rPr>
        <w:t>Enforceable undertakings</w:t>
      </w:r>
      <w:bookmarkEnd w:id="19"/>
    </w:p>
    <w:p w:rsidR="004D6618" w:rsidRDefault="004D6618" w:rsidP="004D6618">
      <w:pPr>
        <w:rPr>
          <w:lang w:eastAsia="en-AU"/>
        </w:rPr>
      </w:pPr>
      <w:r>
        <w:rPr>
          <w:lang w:eastAsia="en-AU"/>
        </w:rPr>
        <w:t xml:space="preserve">Enforceable undertakings are legally binding agreements entered into as an alternative to prosecution for an alleged breach of the Act which is of a serious nature. </w:t>
      </w:r>
    </w:p>
    <w:p w:rsidR="004D6618" w:rsidRDefault="004D6618" w:rsidP="004D6618">
      <w:pPr>
        <w:rPr>
          <w:lang w:eastAsia="en-AU"/>
        </w:rPr>
      </w:pPr>
      <w:r>
        <w:rPr>
          <w:lang w:eastAsia="en-AU"/>
        </w:rPr>
        <w:t xml:space="preserve">Under </w:t>
      </w:r>
      <w:hyperlink r:id="rId31" w:anchor="page=127&amp;zoom=auto,88,219" w:history="1">
        <w:r w:rsidRPr="00462D0B">
          <w:rPr>
            <w:rStyle w:val="Hyperlink"/>
            <w:lang w:eastAsia="en-AU"/>
          </w:rPr>
          <w:t>section 216 of the Act</w:t>
        </w:r>
      </w:hyperlink>
      <w:r>
        <w:rPr>
          <w:lang w:eastAsia="en-AU"/>
        </w:rPr>
        <w:t>, NT WorkSafe has discretion to accept an enforceable undertaking. If accepted, the person who proposed the undertaking is obliged to carry out the specific activities outlined in the enforceable undertaking.</w:t>
      </w:r>
    </w:p>
    <w:p w:rsidR="004D6618" w:rsidRDefault="004D6618" w:rsidP="004D6618">
      <w:pPr>
        <w:rPr>
          <w:lang w:eastAsia="en-AU"/>
        </w:rPr>
      </w:pPr>
      <w:r>
        <w:rPr>
          <w:lang w:eastAsia="en-AU"/>
        </w:rPr>
        <w:t xml:space="preserve">NT WorkSafe has published </w:t>
      </w:r>
      <w:hyperlink r:id="rId32" w:history="1">
        <w:r w:rsidRPr="00462D0B">
          <w:rPr>
            <w:rStyle w:val="Hyperlink"/>
            <w:lang w:eastAsia="en-AU"/>
          </w:rPr>
          <w:t>enforceable undertaking guidelines</w:t>
        </w:r>
      </w:hyperlink>
      <w:r>
        <w:rPr>
          <w:lang w:eastAsia="en-AU"/>
        </w:rPr>
        <w:t xml:space="preserve"> on the </w:t>
      </w:r>
      <w:hyperlink r:id="rId33" w:history="1">
        <w:r w:rsidRPr="00462D0B">
          <w:rPr>
            <w:rStyle w:val="Hyperlink"/>
            <w:lang w:eastAsia="en-AU"/>
          </w:rPr>
          <w:t>NT WorkSafe website</w:t>
        </w:r>
      </w:hyperlink>
      <w:r>
        <w:rPr>
          <w:lang w:eastAsia="en-AU"/>
        </w:rPr>
        <w:t xml:space="preserve">. </w:t>
      </w:r>
    </w:p>
    <w:p w:rsidR="004D6618" w:rsidRPr="00E92EB4" w:rsidRDefault="004D6618" w:rsidP="004D6618">
      <w:pPr>
        <w:rPr>
          <w:lang w:eastAsia="en-AU"/>
        </w:rPr>
      </w:pPr>
      <w:r w:rsidRPr="00E92EB4">
        <w:rPr>
          <w:b/>
          <w:color w:val="DB7310"/>
          <w:lang w:eastAsia="en-AU"/>
        </w:rPr>
        <w:t>Note:</w:t>
      </w:r>
      <w:r w:rsidRPr="00E92EB4">
        <w:rPr>
          <w:color w:val="DB7310"/>
          <w:lang w:eastAsia="en-AU"/>
        </w:rPr>
        <w:t xml:space="preserve"> </w:t>
      </w:r>
      <w:r w:rsidRPr="00E92EB4">
        <w:rPr>
          <w:lang w:eastAsia="en-AU"/>
        </w:rPr>
        <w:t>An enforceable undertaking is not available for an alleged Category 1 or industrial manslaughter offence.</w:t>
      </w:r>
    </w:p>
    <w:sectPr w:rsidR="004D6618" w:rsidRPr="00E92EB4" w:rsidSect="00C95D30">
      <w:footerReference w:type="default" r:id="rId34"/>
      <w:headerReference w:type="first" r:id="rId35"/>
      <w:pgSz w:w="11906" w:h="16838" w:code="9"/>
      <w:pgMar w:top="794" w:right="794" w:bottom="794" w:left="794"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39EB" w:rsidRDefault="00A139EB">
      <w:r>
        <w:separator/>
      </w:r>
    </w:p>
  </w:endnote>
  <w:endnote w:type="continuationSeparator" w:id="0">
    <w:p w:rsidR="00A139EB" w:rsidRDefault="00A139EB">
      <w:r>
        <w:continuationSeparator/>
      </w:r>
    </w:p>
  </w:endnote>
  <w:endnote w:type="continuationNotice" w:id="1">
    <w:p w:rsidR="00A139EB" w:rsidRDefault="00A139E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B22" w:rsidRPr="00F538BD" w:rsidRDefault="004D6618" w:rsidP="000A385C">
    <w:pPr>
      <w:pStyle w:val="Hidden"/>
      <w:ind w:firstLine="0"/>
      <w:jc w:val="right"/>
    </w:pPr>
    <w:r w:rsidRPr="001852AF">
      <w:rPr>
        <w:noProof/>
        <w:lang w:eastAsia="en-AU"/>
      </w:rPr>
      <w:drawing>
        <wp:inline distT="0" distB="0" distL="0" distR="0" wp14:anchorId="3DD3E325" wp14:editId="04BDDA7C">
          <wp:extent cx="3805371" cy="79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05371" cy="7920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77F" w:rsidRPr="00F538BD" w:rsidRDefault="0004577F" w:rsidP="000A385C">
    <w:pPr>
      <w:pStyle w:val="Hidden"/>
      <w:ind w:firstLine="0"/>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C35" w:rsidRPr="00E92EB4" w:rsidRDefault="009B7C35" w:rsidP="002C6C39">
    <w:pPr>
      <w:spacing w:after="0"/>
      <w:rPr>
        <w:sz w:val="16"/>
      </w:rPr>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A50829" w:rsidRPr="00132658" w:rsidTr="00AD224A">
      <w:trPr>
        <w:cantSplit/>
        <w:trHeight w:hRule="exact" w:val="850"/>
        <w:tblHeader/>
      </w:trPr>
      <w:tc>
        <w:tcPr>
          <w:tcW w:w="10318" w:type="dxa"/>
          <w:vAlign w:val="bottom"/>
        </w:tcPr>
        <w:p w:rsidR="00A50829" w:rsidRDefault="00F25163" w:rsidP="00A50829">
          <w:pPr>
            <w:spacing w:after="0"/>
            <w:rPr>
              <w:rStyle w:val="PageNumber"/>
              <w:b/>
            </w:rPr>
          </w:pPr>
          <w:r>
            <w:rPr>
              <w:rStyle w:val="PageNumber"/>
            </w:rPr>
            <w:t>NT WorkSafe</w:t>
          </w:r>
        </w:p>
        <w:p w:rsidR="00A50829" w:rsidRPr="00CE6614" w:rsidRDefault="00A139EB" w:rsidP="00A50829">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2-10-21T00:00:00Z">
                <w:dateFormat w:val="d MMMM yyyy"/>
                <w:lid w:val="en-AU"/>
                <w:storeMappedDataAs w:val="dateTime"/>
                <w:calendar w:val="gregorian"/>
              </w:date>
            </w:sdtPr>
            <w:sdtEndPr>
              <w:rPr>
                <w:rStyle w:val="PageNumber"/>
              </w:rPr>
            </w:sdtEndPr>
            <w:sdtContent>
              <w:r w:rsidR="00F25163">
                <w:rPr>
                  <w:rStyle w:val="PageNumber"/>
                </w:rPr>
                <w:t>21 October 2022</w:t>
              </w:r>
            </w:sdtContent>
          </w:sdt>
          <w:r w:rsidR="0073290A" w:rsidRPr="00CE6614">
            <w:rPr>
              <w:rStyle w:val="PageNumber"/>
            </w:rPr>
            <w:t xml:space="preserve"> | Version </w:t>
          </w:r>
          <w:r w:rsidR="00F25163">
            <w:rPr>
              <w:rStyle w:val="PageNumber"/>
            </w:rPr>
            <w:t>1.3</w:t>
          </w:r>
        </w:p>
        <w:p w:rsidR="00A50829" w:rsidRPr="00AC4488" w:rsidRDefault="0073290A" w:rsidP="00A50829">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7E2060">
            <w:rPr>
              <w:rStyle w:val="PageNumber"/>
              <w:noProof/>
            </w:rPr>
            <w:t>9</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7E2060">
            <w:rPr>
              <w:rStyle w:val="PageNumber"/>
              <w:noProof/>
            </w:rPr>
            <w:t>9</w:t>
          </w:r>
          <w:r w:rsidRPr="00AC4488">
            <w:rPr>
              <w:rStyle w:val="PageNumber"/>
            </w:rPr>
            <w:fldChar w:fldCharType="end"/>
          </w:r>
        </w:p>
      </w:tc>
    </w:tr>
  </w:tbl>
  <w:p w:rsidR="00417E19" w:rsidRDefault="00A139EB" w:rsidP="00AD1B26">
    <w:pPr>
      <w:pStyle w:val="Hidden"/>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39EB" w:rsidRDefault="00A139EB">
      <w:r>
        <w:separator/>
      </w:r>
    </w:p>
  </w:footnote>
  <w:footnote w:type="continuationSeparator" w:id="0">
    <w:p w:rsidR="00A139EB" w:rsidRDefault="00A139EB">
      <w:r>
        <w:continuationSeparator/>
      </w:r>
    </w:p>
  </w:footnote>
  <w:footnote w:type="continuationNotice" w:id="1">
    <w:p w:rsidR="00A139EB" w:rsidRDefault="00A139E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B22" w:rsidRPr="008E0345" w:rsidRDefault="00A139EB" w:rsidP="001852AF">
    <w:pPr>
      <w:pStyle w:val="Header"/>
    </w:pPr>
    <w:sdt>
      <w:sdtPr>
        <w:alias w:val="Title"/>
        <w:tag w:val="Title"/>
        <w:id w:val="1186557051"/>
        <w:lock w:val="sdtLocked"/>
        <w:dataBinding w:prefixMappings="xmlns:ns0='http://purl.org/dc/elements/1.1/' xmlns:ns1='http://schemas.openxmlformats.org/package/2006/metadata/core-properties' " w:xpath="/ns1:coreProperties[1]/ns0:title[1]" w:storeItemID="{6C3C8BC8-F283-45AE-878A-BAB7291924A1}"/>
        <w:text/>
      </w:sdtPr>
      <w:sdtEndPr/>
      <w:sdtContent>
        <w:r w:rsidR="004D6618">
          <w:t>Prosecution Guidelines</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373" w:rsidRDefault="004B7373" w:rsidP="00382BE1">
    <w:pPr>
      <w:tabs>
        <w:tab w:val="right" w:pos="10318"/>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B22" w:rsidRPr="00274F1C" w:rsidRDefault="00964B22" w:rsidP="008E034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
      <w:id w:val="2130893165"/>
      <w:placeholder>
        <w:docPart w:val="41243FC62FEE41AA8355108DF8E5CC51"/>
      </w:placeholder>
      <w:dataBinding w:prefixMappings="xmlns:ns0='http://purl.org/dc/elements/1.1/' xmlns:ns1='http://schemas.openxmlformats.org/package/2006/metadata/core-properties' " w:xpath="/ns1:coreProperties[1]/ns0:title[1]" w:storeItemID="{6C3C8BC8-F283-45AE-878A-BAB7291924A1}"/>
      <w:text/>
    </w:sdtPr>
    <w:sdtEndPr/>
    <w:sdtContent>
      <w:p w:rsidR="00983000" w:rsidRPr="00964B22" w:rsidRDefault="004D6618" w:rsidP="008E0345">
        <w:pPr>
          <w:pStyle w:val="Header"/>
          <w:rPr>
            <w:b/>
          </w:rPr>
        </w:pPr>
        <w:r>
          <w:t>Prosecution Guidelines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C6DBF"/>
    <w:multiLevelType w:val="hybridMultilevel"/>
    <w:tmpl w:val="F650FF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7245D0"/>
    <w:multiLevelType w:val="multilevel"/>
    <w:tmpl w:val="0C78A7AC"/>
    <w:name w:val="NTG Table Bullet List322"/>
    <w:numStyleLink w:val="Tablebulletlist"/>
  </w:abstractNum>
  <w:abstractNum w:abstractNumId="2" w15:restartNumberingAfterBreak="0">
    <w:nsid w:val="0F195B3C"/>
    <w:multiLevelType w:val="multilevel"/>
    <w:tmpl w:val="3928FD02"/>
    <w:name w:val="NTG Table Bullet List3322222"/>
    <w:numStyleLink w:val="Bulletlist"/>
  </w:abstractNum>
  <w:abstractNum w:abstractNumId="3" w15:restartNumberingAfterBreak="0">
    <w:nsid w:val="100244A1"/>
    <w:multiLevelType w:val="multilevel"/>
    <w:tmpl w:val="0C78A7AC"/>
    <w:name w:val="NTG Table Bullet List332"/>
    <w:numStyleLink w:val="Tablebulletlist"/>
  </w:abstractNum>
  <w:abstractNum w:abstractNumId="4" w15:restartNumberingAfterBreak="0">
    <w:nsid w:val="1012237B"/>
    <w:multiLevelType w:val="multilevel"/>
    <w:tmpl w:val="0C78A7AC"/>
    <w:name w:val="NTG Table Bullet List32"/>
    <w:numStyleLink w:val="Tablebulletlist"/>
  </w:abstractNum>
  <w:abstractNum w:abstractNumId="5" w15:restartNumberingAfterBreak="0">
    <w:nsid w:val="15E93577"/>
    <w:multiLevelType w:val="multilevel"/>
    <w:tmpl w:val="4E6AC8F6"/>
    <w:name w:val="NTG Table Bullet List33222222"/>
    <w:numStyleLink w:val="Numberlist"/>
  </w:abstractNum>
  <w:abstractNum w:abstractNumId="6" w15:restartNumberingAfterBreak="0">
    <w:nsid w:val="18D26C06"/>
    <w:multiLevelType w:val="multilevel"/>
    <w:tmpl w:val="3E5E177A"/>
    <w:name w:val="NTG Table Bullet List33222222222222222"/>
    <w:numStyleLink w:val="Tablenumberlist"/>
  </w:abstractNum>
  <w:abstractNum w:abstractNumId="7" w15:restartNumberingAfterBreak="0">
    <w:nsid w:val="19533A06"/>
    <w:multiLevelType w:val="multilevel"/>
    <w:tmpl w:val="3928FD02"/>
    <w:name w:val="NTG Table Bullet List3222"/>
    <w:numStyleLink w:val="Bulletlist"/>
  </w:abstractNum>
  <w:abstractNum w:abstractNumId="8"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9" w15:restartNumberingAfterBreak="0">
    <w:nsid w:val="1B26429D"/>
    <w:multiLevelType w:val="multilevel"/>
    <w:tmpl w:val="3E5E177A"/>
    <w:name w:val="NTG Table Bullet List33222222222"/>
    <w:numStyleLink w:val="Tablenumberlist"/>
  </w:abstractNum>
  <w:abstractNum w:abstractNumId="10" w15:restartNumberingAfterBreak="0">
    <w:nsid w:val="1B86276C"/>
    <w:multiLevelType w:val="multilevel"/>
    <w:tmpl w:val="3928FD02"/>
    <w:name w:val="NTG Table Bullet List32223"/>
    <w:numStyleLink w:val="Bulletlist"/>
  </w:abstractNum>
  <w:abstractNum w:abstractNumId="11" w15:restartNumberingAfterBreak="0">
    <w:nsid w:val="1D0744AE"/>
    <w:multiLevelType w:val="multilevel"/>
    <w:tmpl w:val="3E5E177A"/>
    <w:name w:val="NTG Table Bullet List3222322"/>
    <w:numStyleLink w:val="Tablenumberlist"/>
  </w:abstractNum>
  <w:abstractNum w:abstractNumId="12"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3" w15:restartNumberingAfterBreak="0">
    <w:nsid w:val="272E3F76"/>
    <w:multiLevelType w:val="multilevel"/>
    <w:tmpl w:val="3E5E177A"/>
    <w:name w:val="NTG Table Bullet List3322"/>
    <w:numStyleLink w:val="Tablenumberlist"/>
  </w:abstractNum>
  <w:abstractNum w:abstractNumId="14" w15:restartNumberingAfterBreak="0">
    <w:nsid w:val="27CE4608"/>
    <w:multiLevelType w:val="multilevel"/>
    <w:tmpl w:val="3E5E177A"/>
    <w:name w:val="NTG Table Bullet List33222"/>
    <w:numStyleLink w:val="Tablenumberlist"/>
  </w:abstractNum>
  <w:abstractNum w:abstractNumId="15" w15:restartNumberingAfterBreak="0">
    <w:nsid w:val="27D83E4D"/>
    <w:multiLevelType w:val="multilevel"/>
    <w:tmpl w:val="3928FD02"/>
    <w:numStyleLink w:val="Bulletlist"/>
  </w:abstractNum>
  <w:abstractNum w:abstractNumId="16"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7" w15:restartNumberingAfterBreak="0">
    <w:nsid w:val="2E693641"/>
    <w:multiLevelType w:val="multilevel"/>
    <w:tmpl w:val="3E5E177A"/>
    <w:name w:val="NTG Table Bullet List33"/>
    <w:numStyleLink w:val="Tablenumberlist"/>
  </w:abstractNum>
  <w:abstractNum w:abstractNumId="18" w15:restartNumberingAfterBreak="0">
    <w:nsid w:val="2E8B3765"/>
    <w:multiLevelType w:val="hybridMultilevel"/>
    <w:tmpl w:val="D624C4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EF077BC"/>
    <w:multiLevelType w:val="multilevel"/>
    <w:tmpl w:val="0C78A7AC"/>
    <w:name w:val="NTG Table Bullet List33222222222222222222"/>
    <w:numStyleLink w:val="Tablebulletlist"/>
  </w:abstractNum>
  <w:abstractNum w:abstractNumId="20" w15:restartNumberingAfterBreak="0">
    <w:nsid w:val="30DE67DD"/>
    <w:multiLevelType w:val="hybridMultilevel"/>
    <w:tmpl w:val="35A08D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2DF44DA"/>
    <w:multiLevelType w:val="multilevel"/>
    <w:tmpl w:val="3E5E177A"/>
    <w:name w:val="NTG Table Bullet List3222323"/>
    <w:numStyleLink w:val="Tablenumberlist"/>
  </w:abstractNum>
  <w:abstractNum w:abstractNumId="22" w15:restartNumberingAfterBreak="0">
    <w:nsid w:val="330E51F4"/>
    <w:multiLevelType w:val="hybridMultilevel"/>
    <w:tmpl w:val="6D7E05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61D3088"/>
    <w:multiLevelType w:val="hybridMultilevel"/>
    <w:tmpl w:val="3C40DB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5"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BAB41E0"/>
    <w:multiLevelType w:val="hybridMultilevel"/>
    <w:tmpl w:val="B8E80D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BE61945"/>
    <w:multiLevelType w:val="multilevel"/>
    <w:tmpl w:val="3928FD02"/>
    <w:name w:val="NTG Table Bullet List332222222222222222"/>
    <w:numStyleLink w:val="Bulletlist"/>
  </w:abstractNum>
  <w:abstractNum w:abstractNumId="28" w15:restartNumberingAfterBreak="0">
    <w:nsid w:val="49633191"/>
    <w:multiLevelType w:val="hybridMultilevel"/>
    <w:tmpl w:val="9454CC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9FD3A20"/>
    <w:multiLevelType w:val="multilevel"/>
    <w:tmpl w:val="3E5E177A"/>
    <w:name w:val="NTG Table Bullet List3322222222222"/>
    <w:numStyleLink w:val="Tablenumberlist"/>
  </w:abstractNum>
  <w:abstractNum w:abstractNumId="30"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1"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2" w15:restartNumberingAfterBreak="0">
    <w:nsid w:val="4DC41CC6"/>
    <w:multiLevelType w:val="hybridMultilevel"/>
    <w:tmpl w:val="BCF0D3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3842BC6"/>
    <w:multiLevelType w:val="multilevel"/>
    <w:tmpl w:val="0C78A7AC"/>
    <w:numStyleLink w:val="Tablebulletlist"/>
  </w:abstractNum>
  <w:abstractNum w:abstractNumId="34"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5" w15:restartNumberingAfterBreak="0">
    <w:nsid w:val="56DA2CAE"/>
    <w:multiLevelType w:val="multilevel"/>
    <w:tmpl w:val="3E5E177A"/>
    <w:name w:val="NTG Table Bullet List332222222222222"/>
    <w:numStyleLink w:val="Tablenumberlist"/>
  </w:abstractNum>
  <w:abstractNum w:abstractNumId="36" w15:restartNumberingAfterBreak="0">
    <w:nsid w:val="583359D9"/>
    <w:multiLevelType w:val="multilevel"/>
    <w:tmpl w:val="3E5E177A"/>
    <w:name w:val="NTG Table Bullet List332222222"/>
    <w:numStyleLink w:val="Tablenumberlist"/>
  </w:abstractNum>
  <w:abstractNum w:abstractNumId="37" w15:restartNumberingAfterBreak="0">
    <w:nsid w:val="5A151DA2"/>
    <w:multiLevelType w:val="hybridMultilevel"/>
    <w:tmpl w:val="0E60D8D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B9A5FFE"/>
    <w:multiLevelType w:val="multilevel"/>
    <w:tmpl w:val="0C78A7AC"/>
    <w:name w:val="NTG Table Bullet List33222222222222"/>
    <w:numStyleLink w:val="Tablebulletlist"/>
  </w:abstractNum>
  <w:abstractNum w:abstractNumId="39" w15:restartNumberingAfterBreak="0">
    <w:nsid w:val="5D444259"/>
    <w:multiLevelType w:val="multilevel"/>
    <w:tmpl w:val="0C78A7AC"/>
    <w:name w:val="NTG Table Bullet List332222"/>
    <w:numStyleLink w:val="Tablebulletlist"/>
  </w:abstractNum>
  <w:abstractNum w:abstractNumId="40"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9262556"/>
    <w:multiLevelType w:val="multilevel"/>
    <w:tmpl w:val="3E5E177A"/>
    <w:name w:val="NTG Table Bullet List3322222222222222"/>
    <w:numStyleLink w:val="Tablenumberlist"/>
  </w:abstractNum>
  <w:abstractNum w:abstractNumId="42" w15:restartNumberingAfterBreak="0">
    <w:nsid w:val="6EA91B45"/>
    <w:multiLevelType w:val="hybridMultilevel"/>
    <w:tmpl w:val="74AA10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453664D"/>
    <w:multiLevelType w:val="multilevel"/>
    <w:tmpl w:val="0C78A7AC"/>
    <w:name w:val="NTG Table Bullet List3322222222222222222"/>
    <w:numStyleLink w:val="Tablebulletlist"/>
  </w:abstractNum>
  <w:abstractNum w:abstractNumId="44" w15:restartNumberingAfterBreak="0">
    <w:nsid w:val="76141D1E"/>
    <w:multiLevelType w:val="multilevel"/>
    <w:tmpl w:val="0C78A7AC"/>
    <w:name w:val="NTG Table Bullet List332222222222"/>
    <w:numStyleLink w:val="Tablebulletlist"/>
  </w:abstractNum>
  <w:abstractNum w:abstractNumId="45" w15:restartNumberingAfterBreak="0">
    <w:nsid w:val="76D404B5"/>
    <w:multiLevelType w:val="hybridMultilevel"/>
    <w:tmpl w:val="6792E13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9B0253F"/>
    <w:multiLevelType w:val="hybridMultilevel"/>
    <w:tmpl w:val="F648E9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9CC6470"/>
    <w:multiLevelType w:val="multilevel"/>
    <w:tmpl w:val="FE386D30"/>
    <w:lvl w:ilvl="0">
      <w:start w:val="1"/>
      <w:numFmt w:val="decimal"/>
      <w:suff w:val="space"/>
      <w:lvlText w:val="%1."/>
      <w:lvlJc w:val="left"/>
      <w:pPr>
        <w:ind w:left="432" w:hanging="432"/>
      </w:pPr>
      <w:rPr>
        <w:rFonts w:hint="default"/>
        <w:b w:val="0"/>
        <w:i w:val="0"/>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48"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24"/>
  </w:num>
  <w:num w:numId="2">
    <w:abstractNumId w:val="12"/>
  </w:num>
  <w:num w:numId="3">
    <w:abstractNumId w:val="47"/>
  </w:num>
  <w:num w:numId="4">
    <w:abstractNumId w:val="30"/>
  </w:num>
  <w:num w:numId="5">
    <w:abstractNumId w:val="16"/>
  </w:num>
  <w:num w:numId="6">
    <w:abstractNumId w:val="8"/>
  </w:num>
  <w:num w:numId="7">
    <w:abstractNumId w:val="33"/>
  </w:num>
  <w:num w:numId="8">
    <w:abstractNumId w:val="15"/>
  </w:num>
  <w:num w:numId="9">
    <w:abstractNumId w:val="25"/>
  </w:num>
  <w:num w:numId="10">
    <w:abstractNumId w:val="0"/>
  </w:num>
  <w:num w:numId="11">
    <w:abstractNumId w:val="47"/>
  </w:num>
  <w:num w:numId="12">
    <w:abstractNumId w:val="40"/>
  </w:num>
  <w:num w:numId="13">
    <w:abstractNumId w:val="23"/>
  </w:num>
  <w:num w:numId="14">
    <w:abstractNumId w:val="28"/>
  </w:num>
  <w:num w:numId="15">
    <w:abstractNumId w:val="45"/>
  </w:num>
  <w:num w:numId="16">
    <w:abstractNumId w:val="37"/>
  </w:num>
  <w:num w:numId="17">
    <w:abstractNumId w:val="26"/>
  </w:num>
  <w:num w:numId="18">
    <w:abstractNumId w:val="32"/>
  </w:num>
  <w:num w:numId="19">
    <w:abstractNumId w:val="42"/>
  </w:num>
  <w:num w:numId="20">
    <w:abstractNumId w:val="46"/>
  </w:num>
  <w:num w:numId="21">
    <w:abstractNumId w:val="20"/>
  </w:num>
  <w:num w:numId="22">
    <w:abstractNumId w:val="18"/>
  </w:num>
  <w:num w:numId="23">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ocumentProtection w:edit="readOnly" w:enforcement="1" w:cryptProviderType="rsaAES" w:cryptAlgorithmClass="hash" w:cryptAlgorithmType="typeAny" w:cryptAlgorithmSid="14" w:cryptSpinCount="100000" w:hash="iTYpt2HOcHBXBBBIK13I0NKVKekwXGczl6vYGNvkZHik7WO+gVYG9AXw5n8U+9M3rSbcd/1yJdKpHt/gnvYJsA==" w:salt="U+OJpNFnzL3DNWZnWSIf3g=="/>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618"/>
    <w:rsid w:val="00001DDF"/>
    <w:rsid w:val="0000322D"/>
    <w:rsid w:val="00007670"/>
    <w:rsid w:val="00010036"/>
    <w:rsid w:val="00010665"/>
    <w:rsid w:val="0002393A"/>
    <w:rsid w:val="00027DB8"/>
    <w:rsid w:val="000307A7"/>
    <w:rsid w:val="00031A96"/>
    <w:rsid w:val="00040BF3"/>
    <w:rsid w:val="00043424"/>
    <w:rsid w:val="0004577F"/>
    <w:rsid w:val="00046C59"/>
    <w:rsid w:val="00051362"/>
    <w:rsid w:val="00051F45"/>
    <w:rsid w:val="00052953"/>
    <w:rsid w:val="0005341A"/>
    <w:rsid w:val="00056DEF"/>
    <w:rsid w:val="000720BE"/>
    <w:rsid w:val="0007259C"/>
    <w:rsid w:val="00072A6C"/>
    <w:rsid w:val="00074573"/>
    <w:rsid w:val="00080202"/>
    <w:rsid w:val="00080DCD"/>
    <w:rsid w:val="00080E22"/>
    <w:rsid w:val="00082573"/>
    <w:rsid w:val="000840A3"/>
    <w:rsid w:val="00085062"/>
    <w:rsid w:val="00086A5F"/>
    <w:rsid w:val="000911EF"/>
    <w:rsid w:val="000962C5"/>
    <w:rsid w:val="000A385C"/>
    <w:rsid w:val="000A4317"/>
    <w:rsid w:val="000A559C"/>
    <w:rsid w:val="000B2CA1"/>
    <w:rsid w:val="000B7F0A"/>
    <w:rsid w:val="000D1F29"/>
    <w:rsid w:val="000D633D"/>
    <w:rsid w:val="000D6FA4"/>
    <w:rsid w:val="000E0962"/>
    <w:rsid w:val="000E342B"/>
    <w:rsid w:val="000E38FB"/>
    <w:rsid w:val="000E5DD2"/>
    <w:rsid w:val="000F2958"/>
    <w:rsid w:val="000F4805"/>
    <w:rsid w:val="000F4B50"/>
    <w:rsid w:val="00104E7F"/>
    <w:rsid w:val="001117D8"/>
    <w:rsid w:val="001137EC"/>
    <w:rsid w:val="001152F5"/>
    <w:rsid w:val="00117743"/>
    <w:rsid w:val="00117F5B"/>
    <w:rsid w:val="00127543"/>
    <w:rsid w:val="00132658"/>
    <w:rsid w:val="00147DED"/>
    <w:rsid w:val="00150DC0"/>
    <w:rsid w:val="00156CD4"/>
    <w:rsid w:val="00161CC6"/>
    <w:rsid w:val="00164A3E"/>
    <w:rsid w:val="00166FF6"/>
    <w:rsid w:val="00172C77"/>
    <w:rsid w:val="00176123"/>
    <w:rsid w:val="00181620"/>
    <w:rsid w:val="001852AF"/>
    <w:rsid w:val="001957AD"/>
    <w:rsid w:val="001A21F0"/>
    <w:rsid w:val="001A2B7F"/>
    <w:rsid w:val="001A3AFD"/>
    <w:rsid w:val="001A496C"/>
    <w:rsid w:val="001A6304"/>
    <w:rsid w:val="001B2B6C"/>
    <w:rsid w:val="001C3C59"/>
    <w:rsid w:val="001D01C4"/>
    <w:rsid w:val="001D52B0"/>
    <w:rsid w:val="001D5A18"/>
    <w:rsid w:val="001D7CA4"/>
    <w:rsid w:val="001E057F"/>
    <w:rsid w:val="001E14EB"/>
    <w:rsid w:val="001E1982"/>
    <w:rsid w:val="001F2879"/>
    <w:rsid w:val="001F59E6"/>
    <w:rsid w:val="00200069"/>
    <w:rsid w:val="00202014"/>
    <w:rsid w:val="00206936"/>
    <w:rsid w:val="00206C6F"/>
    <w:rsid w:val="00206FBD"/>
    <w:rsid w:val="00207746"/>
    <w:rsid w:val="00221220"/>
    <w:rsid w:val="00230031"/>
    <w:rsid w:val="00235C01"/>
    <w:rsid w:val="00236878"/>
    <w:rsid w:val="00247343"/>
    <w:rsid w:val="00265C56"/>
    <w:rsid w:val="00265EB7"/>
    <w:rsid w:val="002716CD"/>
    <w:rsid w:val="00274D4B"/>
    <w:rsid w:val="002806F5"/>
    <w:rsid w:val="00281577"/>
    <w:rsid w:val="002926BC"/>
    <w:rsid w:val="00293A72"/>
    <w:rsid w:val="002A0160"/>
    <w:rsid w:val="002A30C3"/>
    <w:rsid w:val="002A6F6A"/>
    <w:rsid w:val="002A7712"/>
    <w:rsid w:val="002B38F7"/>
    <w:rsid w:val="002B5591"/>
    <w:rsid w:val="002B6AA4"/>
    <w:rsid w:val="002C1FE9"/>
    <w:rsid w:val="002D3A57"/>
    <w:rsid w:val="002D7D05"/>
    <w:rsid w:val="002E20C8"/>
    <w:rsid w:val="002E4290"/>
    <w:rsid w:val="002E5B94"/>
    <w:rsid w:val="002E66A6"/>
    <w:rsid w:val="002F0DB1"/>
    <w:rsid w:val="002F156B"/>
    <w:rsid w:val="002F2885"/>
    <w:rsid w:val="002F3CF1"/>
    <w:rsid w:val="002F45A1"/>
    <w:rsid w:val="003037F9"/>
    <w:rsid w:val="0030583E"/>
    <w:rsid w:val="00305FC7"/>
    <w:rsid w:val="00307FE1"/>
    <w:rsid w:val="003164BA"/>
    <w:rsid w:val="003223FE"/>
    <w:rsid w:val="003258E6"/>
    <w:rsid w:val="00342283"/>
    <w:rsid w:val="00343A87"/>
    <w:rsid w:val="00344A36"/>
    <w:rsid w:val="003456F4"/>
    <w:rsid w:val="00347FB6"/>
    <w:rsid w:val="003504FD"/>
    <w:rsid w:val="00350881"/>
    <w:rsid w:val="00357D55"/>
    <w:rsid w:val="00363513"/>
    <w:rsid w:val="003657E5"/>
    <w:rsid w:val="0036589C"/>
    <w:rsid w:val="00371312"/>
    <w:rsid w:val="00371DC7"/>
    <w:rsid w:val="003765C6"/>
    <w:rsid w:val="00376BF0"/>
    <w:rsid w:val="00377B21"/>
    <w:rsid w:val="003812ED"/>
    <w:rsid w:val="00382BE1"/>
    <w:rsid w:val="00384AD4"/>
    <w:rsid w:val="00386F63"/>
    <w:rsid w:val="00390CE3"/>
    <w:rsid w:val="00394876"/>
    <w:rsid w:val="00394AAF"/>
    <w:rsid w:val="00394CE5"/>
    <w:rsid w:val="003A1804"/>
    <w:rsid w:val="003A6341"/>
    <w:rsid w:val="003B173F"/>
    <w:rsid w:val="003B67FD"/>
    <w:rsid w:val="003B6A61"/>
    <w:rsid w:val="003D42C0"/>
    <w:rsid w:val="003D5B29"/>
    <w:rsid w:val="003D7818"/>
    <w:rsid w:val="003E2445"/>
    <w:rsid w:val="003E2D4C"/>
    <w:rsid w:val="003E3BB2"/>
    <w:rsid w:val="003F5B58"/>
    <w:rsid w:val="00401606"/>
    <w:rsid w:val="0040222A"/>
    <w:rsid w:val="004047BC"/>
    <w:rsid w:val="00406497"/>
    <w:rsid w:val="0040786D"/>
    <w:rsid w:val="004100F7"/>
    <w:rsid w:val="00414CB3"/>
    <w:rsid w:val="0041563D"/>
    <w:rsid w:val="00420CF5"/>
    <w:rsid w:val="00422874"/>
    <w:rsid w:val="00426E25"/>
    <w:rsid w:val="00427D9C"/>
    <w:rsid w:val="00427E7E"/>
    <w:rsid w:val="004433AE"/>
    <w:rsid w:val="00443B6E"/>
    <w:rsid w:val="004521CB"/>
    <w:rsid w:val="0045420A"/>
    <w:rsid w:val="004554D4"/>
    <w:rsid w:val="00461744"/>
    <w:rsid w:val="00462D0B"/>
    <w:rsid w:val="00466185"/>
    <w:rsid w:val="004668A7"/>
    <w:rsid w:val="00466D96"/>
    <w:rsid w:val="00467747"/>
    <w:rsid w:val="00473C98"/>
    <w:rsid w:val="00474965"/>
    <w:rsid w:val="00482DF8"/>
    <w:rsid w:val="004864DE"/>
    <w:rsid w:val="00487E53"/>
    <w:rsid w:val="00494BE5"/>
    <w:rsid w:val="004A0EBA"/>
    <w:rsid w:val="004A2538"/>
    <w:rsid w:val="004B0C15"/>
    <w:rsid w:val="004B35EA"/>
    <w:rsid w:val="004B69E4"/>
    <w:rsid w:val="004B7373"/>
    <w:rsid w:val="004C2BF4"/>
    <w:rsid w:val="004C6C39"/>
    <w:rsid w:val="004D075F"/>
    <w:rsid w:val="004D1B76"/>
    <w:rsid w:val="004D344E"/>
    <w:rsid w:val="004D6618"/>
    <w:rsid w:val="004E019E"/>
    <w:rsid w:val="004E06EC"/>
    <w:rsid w:val="004E2CB7"/>
    <w:rsid w:val="004F016A"/>
    <w:rsid w:val="004F2206"/>
    <w:rsid w:val="00500F94"/>
    <w:rsid w:val="00502FB3"/>
    <w:rsid w:val="00503DE9"/>
    <w:rsid w:val="0050530C"/>
    <w:rsid w:val="00505DEA"/>
    <w:rsid w:val="00507782"/>
    <w:rsid w:val="00512A04"/>
    <w:rsid w:val="00523F20"/>
    <w:rsid w:val="005249F5"/>
    <w:rsid w:val="005260F7"/>
    <w:rsid w:val="00532D48"/>
    <w:rsid w:val="00543BD1"/>
    <w:rsid w:val="00546D7E"/>
    <w:rsid w:val="00554706"/>
    <w:rsid w:val="00556113"/>
    <w:rsid w:val="00564C12"/>
    <w:rsid w:val="005654B8"/>
    <w:rsid w:val="0057377F"/>
    <w:rsid w:val="005762CC"/>
    <w:rsid w:val="00582D3D"/>
    <w:rsid w:val="00595386"/>
    <w:rsid w:val="005A3621"/>
    <w:rsid w:val="005A4AC0"/>
    <w:rsid w:val="005A5FDF"/>
    <w:rsid w:val="005B0FB7"/>
    <w:rsid w:val="005B122A"/>
    <w:rsid w:val="005B44E0"/>
    <w:rsid w:val="005B5AC2"/>
    <w:rsid w:val="005C1D3E"/>
    <w:rsid w:val="005C2833"/>
    <w:rsid w:val="005E144D"/>
    <w:rsid w:val="005E1500"/>
    <w:rsid w:val="005E3A43"/>
    <w:rsid w:val="005E51A4"/>
    <w:rsid w:val="005F77C7"/>
    <w:rsid w:val="0060030B"/>
    <w:rsid w:val="00620675"/>
    <w:rsid w:val="00622910"/>
    <w:rsid w:val="00630AE1"/>
    <w:rsid w:val="006433C3"/>
    <w:rsid w:val="00650F5B"/>
    <w:rsid w:val="00652DC0"/>
    <w:rsid w:val="00660584"/>
    <w:rsid w:val="006670D7"/>
    <w:rsid w:val="00667B20"/>
    <w:rsid w:val="006719EA"/>
    <w:rsid w:val="00671F13"/>
    <w:rsid w:val="0067400A"/>
    <w:rsid w:val="006747E0"/>
    <w:rsid w:val="006847AD"/>
    <w:rsid w:val="00690862"/>
    <w:rsid w:val="00690B7D"/>
    <w:rsid w:val="0069114B"/>
    <w:rsid w:val="006A756A"/>
    <w:rsid w:val="006B4540"/>
    <w:rsid w:val="006C1F12"/>
    <w:rsid w:val="006C396A"/>
    <w:rsid w:val="006D1ADA"/>
    <w:rsid w:val="006D66F7"/>
    <w:rsid w:val="006E3B5D"/>
    <w:rsid w:val="00702D61"/>
    <w:rsid w:val="00705C9D"/>
    <w:rsid w:val="00705F13"/>
    <w:rsid w:val="00714F1D"/>
    <w:rsid w:val="00715225"/>
    <w:rsid w:val="00720CC6"/>
    <w:rsid w:val="00722DDB"/>
    <w:rsid w:val="00724728"/>
    <w:rsid w:val="00724F98"/>
    <w:rsid w:val="00730B9B"/>
    <w:rsid w:val="0073182E"/>
    <w:rsid w:val="0073290A"/>
    <w:rsid w:val="007332FF"/>
    <w:rsid w:val="007372B0"/>
    <w:rsid w:val="007408F5"/>
    <w:rsid w:val="00741EAE"/>
    <w:rsid w:val="00755248"/>
    <w:rsid w:val="0076190B"/>
    <w:rsid w:val="007634EF"/>
    <w:rsid w:val="0076355D"/>
    <w:rsid w:val="00763A2D"/>
    <w:rsid w:val="00774335"/>
    <w:rsid w:val="007761D8"/>
    <w:rsid w:val="00777795"/>
    <w:rsid w:val="00783A57"/>
    <w:rsid w:val="00784C92"/>
    <w:rsid w:val="007859CD"/>
    <w:rsid w:val="007907E4"/>
    <w:rsid w:val="00796461"/>
    <w:rsid w:val="007A6A4F"/>
    <w:rsid w:val="007B03F5"/>
    <w:rsid w:val="007B59D3"/>
    <w:rsid w:val="007B5C09"/>
    <w:rsid w:val="007B5DA2"/>
    <w:rsid w:val="007C0966"/>
    <w:rsid w:val="007C19E7"/>
    <w:rsid w:val="007C5CFD"/>
    <w:rsid w:val="007C6D9F"/>
    <w:rsid w:val="007D4893"/>
    <w:rsid w:val="007D7697"/>
    <w:rsid w:val="007E2060"/>
    <w:rsid w:val="007E69F5"/>
    <w:rsid w:val="007E70CF"/>
    <w:rsid w:val="007E74A4"/>
    <w:rsid w:val="007F263F"/>
    <w:rsid w:val="007F46EA"/>
    <w:rsid w:val="007F5579"/>
    <w:rsid w:val="008002E8"/>
    <w:rsid w:val="008016AF"/>
    <w:rsid w:val="0080766E"/>
    <w:rsid w:val="008105BE"/>
    <w:rsid w:val="00811169"/>
    <w:rsid w:val="00815297"/>
    <w:rsid w:val="00817BA1"/>
    <w:rsid w:val="00823022"/>
    <w:rsid w:val="0082634E"/>
    <w:rsid w:val="0082717F"/>
    <w:rsid w:val="008313C4"/>
    <w:rsid w:val="00835434"/>
    <w:rsid w:val="008358C0"/>
    <w:rsid w:val="00842838"/>
    <w:rsid w:val="00854EC1"/>
    <w:rsid w:val="0085797F"/>
    <w:rsid w:val="00860804"/>
    <w:rsid w:val="00861DC3"/>
    <w:rsid w:val="00867019"/>
    <w:rsid w:val="008735A9"/>
    <w:rsid w:val="00877D20"/>
    <w:rsid w:val="00881C48"/>
    <w:rsid w:val="00885590"/>
    <w:rsid w:val="00885B80"/>
    <w:rsid w:val="00885C30"/>
    <w:rsid w:val="00885E9B"/>
    <w:rsid w:val="00886C9D"/>
    <w:rsid w:val="00892A6A"/>
    <w:rsid w:val="00893C96"/>
    <w:rsid w:val="0089500A"/>
    <w:rsid w:val="00897C94"/>
    <w:rsid w:val="008A51A3"/>
    <w:rsid w:val="008A7C12"/>
    <w:rsid w:val="008B03CE"/>
    <w:rsid w:val="008B529E"/>
    <w:rsid w:val="008B7C3D"/>
    <w:rsid w:val="008C17FB"/>
    <w:rsid w:val="008C3A43"/>
    <w:rsid w:val="008D1B00"/>
    <w:rsid w:val="008D2631"/>
    <w:rsid w:val="008D57B8"/>
    <w:rsid w:val="008E0345"/>
    <w:rsid w:val="008E03FC"/>
    <w:rsid w:val="008E510B"/>
    <w:rsid w:val="00902B13"/>
    <w:rsid w:val="00911941"/>
    <w:rsid w:val="009138A0"/>
    <w:rsid w:val="00925F0F"/>
    <w:rsid w:val="00930C91"/>
    <w:rsid w:val="00932F6B"/>
    <w:rsid w:val="009436FF"/>
    <w:rsid w:val="009468BC"/>
    <w:rsid w:val="009616DF"/>
    <w:rsid w:val="00964B22"/>
    <w:rsid w:val="0096542F"/>
    <w:rsid w:val="0096663C"/>
    <w:rsid w:val="00967FA7"/>
    <w:rsid w:val="00970F01"/>
    <w:rsid w:val="00971645"/>
    <w:rsid w:val="00977919"/>
    <w:rsid w:val="00983000"/>
    <w:rsid w:val="009870FA"/>
    <w:rsid w:val="009921C3"/>
    <w:rsid w:val="0099551D"/>
    <w:rsid w:val="009A5897"/>
    <w:rsid w:val="009A5F24"/>
    <w:rsid w:val="009B0B3E"/>
    <w:rsid w:val="009B1913"/>
    <w:rsid w:val="009B6657"/>
    <w:rsid w:val="009B7C35"/>
    <w:rsid w:val="009C198E"/>
    <w:rsid w:val="009C21F1"/>
    <w:rsid w:val="009D0EB5"/>
    <w:rsid w:val="009D14F9"/>
    <w:rsid w:val="009D2B74"/>
    <w:rsid w:val="009D63FF"/>
    <w:rsid w:val="009E175D"/>
    <w:rsid w:val="009E3CC2"/>
    <w:rsid w:val="009F06BD"/>
    <w:rsid w:val="009F2A4D"/>
    <w:rsid w:val="009F3302"/>
    <w:rsid w:val="00A00828"/>
    <w:rsid w:val="00A03290"/>
    <w:rsid w:val="00A07490"/>
    <w:rsid w:val="00A10655"/>
    <w:rsid w:val="00A1197C"/>
    <w:rsid w:val="00A12B64"/>
    <w:rsid w:val="00A139EB"/>
    <w:rsid w:val="00A22C38"/>
    <w:rsid w:val="00A25193"/>
    <w:rsid w:val="00A26E80"/>
    <w:rsid w:val="00A31AE8"/>
    <w:rsid w:val="00A3739D"/>
    <w:rsid w:val="00A37DDA"/>
    <w:rsid w:val="00A37ED8"/>
    <w:rsid w:val="00A53FE8"/>
    <w:rsid w:val="00A925EC"/>
    <w:rsid w:val="00A929AA"/>
    <w:rsid w:val="00A92B6B"/>
    <w:rsid w:val="00A955A9"/>
    <w:rsid w:val="00AA541E"/>
    <w:rsid w:val="00AD0DA4"/>
    <w:rsid w:val="00AD4169"/>
    <w:rsid w:val="00AE25C6"/>
    <w:rsid w:val="00AE306C"/>
    <w:rsid w:val="00AF28C1"/>
    <w:rsid w:val="00AF3B49"/>
    <w:rsid w:val="00B02EF1"/>
    <w:rsid w:val="00B07C97"/>
    <w:rsid w:val="00B07EA1"/>
    <w:rsid w:val="00B11C67"/>
    <w:rsid w:val="00B15754"/>
    <w:rsid w:val="00B15A27"/>
    <w:rsid w:val="00B2046E"/>
    <w:rsid w:val="00B20E8B"/>
    <w:rsid w:val="00B257E1"/>
    <w:rsid w:val="00B2599A"/>
    <w:rsid w:val="00B27AC4"/>
    <w:rsid w:val="00B343CC"/>
    <w:rsid w:val="00B43C75"/>
    <w:rsid w:val="00B4794D"/>
    <w:rsid w:val="00B47ABC"/>
    <w:rsid w:val="00B5084A"/>
    <w:rsid w:val="00B606A1"/>
    <w:rsid w:val="00B614F7"/>
    <w:rsid w:val="00B61B26"/>
    <w:rsid w:val="00B675B2"/>
    <w:rsid w:val="00B81261"/>
    <w:rsid w:val="00B8223E"/>
    <w:rsid w:val="00B832AE"/>
    <w:rsid w:val="00B83E5C"/>
    <w:rsid w:val="00B86678"/>
    <w:rsid w:val="00B92F9B"/>
    <w:rsid w:val="00B941B3"/>
    <w:rsid w:val="00B96513"/>
    <w:rsid w:val="00BA1D47"/>
    <w:rsid w:val="00BA66F0"/>
    <w:rsid w:val="00BB2239"/>
    <w:rsid w:val="00BB2AE7"/>
    <w:rsid w:val="00BB6464"/>
    <w:rsid w:val="00BC1BB8"/>
    <w:rsid w:val="00BD7FE1"/>
    <w:rsid w:val="00BE37CA"/>
    <w:rsid w:val="00BE6144"/>
    <w:rsid w:val="00BE635A"/>
    <w:rsid w:val="00BF17E9"/>
    <w:rsid w:val="00BF2ABB"/>
    <w:rsid w:val="00BF5099"/>
    <w:rsid w:val="00BF5345"/>
    <w:rsid w:val="00C10F10"/>
    <w:rsid w:val="00C15D4D"/>
    <w:rsid w:val="00C175DC"/>
    <w:rsid w:val="00C30171"/>
    <w:rsid w:val="00C309D8"/>
    <w:rsid w:val="00C33127"/>
    <w:rsid w:val="00C43519"/>
    <w:rsid w:val="00C51537"/>
    <w:rsid w:val="00C52BC3"/>
    <w:rsid w:val="00C61AFA"/>
    <w:rsid w:val="00C61D64"/>
    <w:rsid w:val="00C62099"/>
    <w:rsid w:val="00C64EA3"/>
    <w:rsid w:val="00C72867"/>
    <w:rsid w:val="00C75E81"/>
    <w:rsid w:val="00C75F52"/>
    <w:rsid w:val="00C800F1"/>
    <w:rsid w:val="00C842DB"/>
    <w:rsid w:val="00C86533"/>
    <w:rsid w:val="00C86609"/>
    <w:rsid w:val="00C92B4C"/>
    <w:rsid w:val="00C954F6"/>
    <w:rsid w:val="00CA6BC5"/>
    <w:rsid w:val="00CC61CD"/>
    <w:rsid w:val="00CD5011"/>
    <w:rsid w:val="00CE640F"/>
    <w:rsid w:val="00CE76BC"/>
    <w:rsid w:val="00CF540E"/>
    <w:rsid w:val="00D02F07"/>
    <w:rsid w:val="00D23346"/>
    <w:rsid w:val="00D27EBE"/>
    <w:rsid w:val="00D36A49"/>
    <w:rsid w:val="00D517C6"/>
    <w:rsid w:val="00D64806"/>
    <w:rsid w:val="00D71D84"/>
    <w:rsid w:val="00D72464"/>
    <w:rsid w:val="00D768EB"/>
    <w:rsid w:val="00D82D1E"/>
    <w:rsid w:val="00D832D9"/>
    <w:rsid w:val="00D90F00"/>
    <w:rsid w:val="00D94F6B"/>
    <w:rsid w:val="00D975C0"/>
    <w:rsid w:val="00DA5285"/>
    <w:rsid w:val="00DB191D"/>
    <w:rsid w:val="00DB4F91"/>
    <w:rsid w:val="00DB5BBC"/>
    <w:rsid w:val="00DC1EF7"/>
    <w:rsid w:val="00DC1F0F"/>
    <w:rsid w:val="00DC3117"/>
    <w:rsid w:val="00DC5DD9"/>
    <w:rsid w:val="00DC6D2D"/>
    <w:rsid w:val="00DC6D4C"/>
    <w:rsid w:val="00DD64C2"/>
    <w:rsid w:val="00DE33B5"/>
    <w:rsid w:val="00DE5E18"/>
    <w:rsid w:val="00DE6E01"/>
    <w:rsid w:val="00DF0487"/>
    <w:rsid w:val="00DF5EA4"/>
    <w:rsid w:val="00E02681"/>
    <w:rsid w:val="00E02792"/>
    <w:rsid w:val="00E034D8"/>
    <w:rsid w:val="00E04CC0"/>
    <w:rsid w:val="00E06F49"/>
    <w:rsid w:val="00E15816"/>
    <w:rsid w:val="00E160D5"/>
    <w:rsid w:val="00E239FF"/>
    <w:rsid w:val="00E27D7B"/>
    <w:rsid w:val="00E30556"/>
    <w:rsid w:val="00E30981"/>
    <w:rsid w:val="00E33136"/>
    <w:rsid w:val="00E34D7C"/>
    <w:rsid w:val="00E36C7E"/>
    <w:rsid w:val="00E3723D"/>
    <w:rsid w:val="00E44C89"/>
    <w:rsid w:val="00E470F6"/>
    <w:rsid w:val="00E61BA2"/>
    <w:rsid w:val="00E63864"/>
    <w:rsid w:val="00E6403F"/>
    <w:rsid w:val="00E64725"/>
    <w:rsid w:val="00E757FF"/>
    <w:rsid w:val="00E770C4"/>
    <w:rsid w:val="00E84C5A"/>
    <w:rsid w:val="00E861DB"/>
    <w:rsid w:val="00E92EB4"/>
    <w:rsid w:val="00E93406"/>
    <w:rsid w:val="00E956C5"/>
    <w:rsid w:val="00E9579A"/>
    <w:rsid w:val="00E95C39"/>
    <w:rsid w:val="00EA2C39"/>
    <w:rsid w:val="00EB0A3C"/>
    <w:rsid w:val="00EB0A96"/>
    <w:rsid w:val="00EB77F9"/>
    <w:rsid w:val="00EC142E"/>
    <w:rsid w:val="00EC5769"/>
    <w:rsid w:val="00EC7D00"/>
    <w:rsid w:val="00ED0304"/>
    <w:rsid w:val="00ED087C"/>
    <w:rsid w:val="00EE38FA"/>
    <w:rsid w:val="00EE3E2C"/>
    <w:rsid w:val="00EE5D23"/>
    <w:rsid w:val="00EE750D"/>
    <w:rsid w:val="00EF3CA4"/>
    <w:rsid w:val="00EF5E1F"/>
    <w:rsid w:val="00EF7859"/>
    <w:rsid w:val="00F014DA"/>
    <w:rsid w:val="00F02591"/>
    <w:rsid w:val="00F14273"/>
    <w:rsid w:val="00F25163"/>
    <w:rsid w:val="00F47483"/>
    <w:rsid w:val="00F5696E"/>
    <w:rsid w:val="00F60EFF"/>
    <w:rsid w:val="00F67D2D"/>
    <w:rsid w:val="00F70FE0"/>
    <w:rsid w:val="00F860CC"/>
    <w:rsid w:val="00F90858"/>
    <w:rsid w:val="00F94398"/>
    <w:rsid w:val="00FA4629"/>
    <w:rsid w:val="00FB0845"/>
    <w:rsid w:val="00FB2B56"/>
    <w:rsid w:val="00FB4E3A"/>
    <w:rsid w:val="00FC12BF"/>
    <w:rsid w:val="00FC1A7C"/>
    <w:rsid w:val="00FC2C60"/>
    <w:rsid w:val="00FC64AB"/>
    <w:rsid w:val="00FD3E6F"/>
    <w:rsid w:val="00FD51B9"/>
    <w:rsid w:val="00FE2A39"/>
    <w:rsid w:val="00FE2EF6"/>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F93CE6"/>
  <w15:docId w15:val="{ECA916F2-0B1A-43A7-8D03-AA672243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A43"/>
    <w:rPr>
      <w:rFonts w:ascii="Lato" w:hAnsi="Lato"/>
    </w:rPr>
  </w:style>
  <w:style w:type="paragraph" w:styleId="Heading1">
    <w:name w:val="heading 1"/>
    <w:basedOn w:val="Normal"/>
    <w:next w:val="Normal"/>
    <w:link w:val="Heading1Char"/>
    <w:uiPriority w:val="2"/>
    <w:qFormat/>
    <w:rsid w:val="004D6618"/>
    <w:pPr>
      <w:spacing w:before="240"/>
      <w:outlineLvl w:val="0"/>
    </w:pPr>
    <w:rPr>
      <w:rFonts w:asciiTheme="majorHAnsi" w:eastAsiaTheme="majorEastAsia" w:hAnsiTheme="majorHAnsi" w:cstheme="majorBidi"/>
      <w:bCs/>
      <w:color w:val="DB7310"/>
      <w:kern w:val="32"/>
      <w:sz w:val="36"/>
      <w:szCs w:val="32"/>
    </w:rPr>
  </w:style>
  <w:style w:type="paragraph" w:styleId="Heading2">
    <w:name w:val="heading 2"/>
    <w:basedOn w:val="Normal"/>
    <w:next w:val="Normal"/>
    <w:link w:val="Heading2Char"/>
    <w:uiPriority w:val="2"/>
    <w:qFormat/>
    <w:rsid w:val="004D6618"/>
    <w:pPr>
      <w:spacing w:before="240"/>
      <w:outlineLvl w:val="1"/>
    </w:pPr>
    <w:rPr>
      <w:rFonts w:asciiTheme="majorHAnsi" w:eastAsiaTheme="majorEastAsia" w:hAnsiTheme="majorHAnsi" w:cstheme="majorBidi"/>
      <w:bCs/>
      <w:iCs/>
      <w:color w:val="454347"/>
      <w:sz w:val="32"/>
      <w:szCs w:val="32"/>
    </w:rPr>
  </w:style>
  <w:style w:type="paragraph" w:styleId="Heading3">
    <w:name w:val="heading 3"/>
    <w:basedOn w:val="Normal"/>
    <w:next w:val="Normal"/>
    <w:link w:val="Heading3Char"/>
    <w:uiPriority w:val="2"/>
    <w:qFormat/>
    <w:rsid w:val="004D6618"/>
    <w:pPr>
      <w:spacing w:before="240"/>
      <w:outlineLvl w:val="2"/>
    </w:pPr>
    <w:rPr>
      <w:rFonts w:asciiTheme="majorHAnsi" w:hAnsiTheme="majorHAnsi" w:cs="Arial"/>
      <w:bCs/>
      <w:color w:val="454347"/>
      <w:sz w:val="28"/>
      <w:szCs w:val="28"/>
    </w:rPr>
  </w:style>
  <w:style w:type="paragraph" w:styleId="Heading4">
    <w:name w:val="heading 4"/>
    <w:basedOn w:val="Normal"/>
    <w:next w:val="Normal"/>
    <w:link w:val="Heading4Char"/>
    <w:uiPriority w:val="2"/>
    <w:qFormat/>
    <w:rsid w:val="004D6618"/>
    <w:pPr>
      <w:spacing w:before="240"/>
      <w:outlineLvl w:val="3"/>
    </w:pPr>
    <w:rPr>
      <w:rFonts w:asciiTheme="majorHAnsi" w:eastAsiaTheme="majorEastAsia" w:hAnsiTheme="majorHAnsi" w:cstheme="majorBidi"/>
      <w:bCs/>
      <w:iCs/>
      <w:color w:val="454347"/>
      <w:sz w:val="24"/>
    </w:rPr>
  </w:style>
  <w:style w:type="paragraph" w:styleId="Heading5">
    <w:name w:val="heading 5"/>
    <w:basedOn w:val="Normal"/>
    <w:next w:val="Normal"/>
    <w:link w:val="Heading5Char"/>
    <w:uiPriority w:val="2"/>
    <w:semiHidden/>
    <w:rsid w:val="001C3C59"/>
    <w:pPr>
      <w:numPr>
        <w:ilvl w:val="4"/>
        <w:numId w:val="11"/>
      </w:numPr>
      <w:outlineLvl w:val="4"/>
    </w:pPr>
    <w:rPr>
      <w:rFonts w:asciiTheme="majorHAnsi" w:hAnsiTheme="majorHAnsi"/>
      <w:color w:val="1F1F5F" w:themeColor="text1"/>
      <w:lang w:eastAsia="en-AU"/>
    </w:rPr>
  </w:style>
  <w:style w:type="paragraph" w:styleId="Heading6">
    <w:name w:val="heading 6"/>
    <w:basedOn w:val="Normal"/>
    <w:next w:val="Normal"/>
    <w:link w:val="Heading6Char"/>
    <w:uiPriority w:val="2"/>
    <w:semiHidden/>
    <w:rsid w:val="001C3C59"/>
    <w:pPr>
      <w:numPr>
        <w:ilvl w:val="5"/>
        <w:numId w:val="11"/>
      </w:numPr>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1C3C59"/>
    <w:pPr>
      <w:numPr>
        <w:ilvl w:val="6"/>
        <w:numId w:val="11"/>
      </w:numPr>
      <w:outlineLvl w:val="6"/>
    </w:pPr>
    <w:rPr>
      <w:rFonts w:asciiTheme="majorHAnsi" w:hAnsiTheme="majorHAnsi"/>
      <w:color w:val="1F1F5F" w:themeColor="text1"/>
      <w:lang w:eastAsia="en-AU"/>
    </w:rPr>
  </w:style>
  <w:style w:type="paragraph" w:styleId="Heading8">
    <w:name w:val="heading 8"/>
    <w:basedOn w:val="Normal"/>
    <w:next w:val="Normal"/>
    <w:link w:val="Heading8Char"/>
    <w:uiPriority w:val="2"/>
    <w:semiHidden/>
    <w:rsid w:val="001C3C59"/>
    <w:pPr>
      <w:numPr>
        <w:ilvl w:val="7"/>
        <w:numId w:val="11"/>
      </w:numPr>
      <w:outlineLvl w:val="7"/>
    </w:pPr>
    <w:rPr>
      <w:rFonts w:asciiTheme="majorHAnsi" w:hAnsiTheme="majorHAnsi"/>
      <w:color w:val="606060"/>
      <w:lang w:eastAsia="en-AU"/>
    </w:rPr>
  </w:style>
  <w:style w:type="paragraph" w:styleId="Heading9">
    <w:name w:val="heading 9"/>
    <w:basedOn w:val="Normal"/>
    <w:next w:val="Normal"/>
    <w:link w:val="Heading9Char"/>
    <w:uiPriority w:val="2"/>
    <w:semiHidden/>
    <w:rsid w:val="001C3C59"/>
    <w:pPr>
      <w:numPr>
        <w:ilvl w:val="8"/>
        <w:numId w:val="3"/>
      </w:numPr>
      <w:outlineLvl w:val="8"/>
    </w:pPr>
    <w:rPr>
      <w:rFonts w:asciiTheme="majorHAnsi" w:hAnsiTheme="majorHAnsi"/>
      <w:color w:val="1F1F5F"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2"/>
    <w:rsid w:val="004D6618"/>
    <w:rPr>
      <w:rFonts w:asciiTheme="majorHAnsi" w:eastAsiaTheme="majorEastAsia" w:hAnsiTheme="majorHAnsi" w:cstheme="majorBidi"/>
      <w:bCs/>
      <w:color w:val="DB7310"/>
      <w:kern w:val="32"/>
      <w:sz w:val="36"/>
      <w:szCs w:val="32"/>
    </w:rPr>
  </w:style>
  <w:style w:type="character" w:customStyle="1" w:styleId="Heading2Char">
    <w:name w:val="Heading 2 Char"/>
    <w:basedOn w:val="DefaultParagraphFont"/>
    <w:link w:val="Heading2"/>
    <w:uiPriority w:val="2"/>
    <w:rsid w:val="004D6618"/>
    <w:rPr>
      <w:rFonts w:asciiTheme="majorHAnsi" w:eastAsiaTheme="majorEastAsia" w:hAnsiTheme="majorHAnsi" w:cstheme="majorBidi"/>
      <w:bCs/>
      <w:iCs/>
      <w:color w:val="454347"/>
      <w:sz w:val="32"/>
      <w:szCs w:val="32"/>
    </w:rPr>
  </w:style>
  <w:style w:type="paragraph" w:styleId="Title">
    <w:name w:val="Title"/>
    <w:basedOn w:val="Normal"/>
    <w:next w:val="Normal"/>
    <w:link w:val="TitleChar"/>
    <w:qFormat/>
    <w:rsid w:val="004D6618"/>
    <w:rPr>
      <w:rFonts w:ascii="Lato Semibold" w:eastAsia="Times New Roman" w:hAnsi="Lato Semibold"/>
      <w:bCs/>
      <w:color w:val="DB7310"/>
      <w:kern w:val="32"/>
      <w:sz w:val="60"/>
      <w:szCs w:val="64"/>
    </w:rPr>
  </w:style>
  <w:style w:type="character" w:customStyle="1" w:styleId="TitleChar">
    <w:name w:val="Title Char"/>
    <w:basedOn w:val="DefaultParagraphFont"/>
    <w:link w:val="Title"/>
    <w:rsid w:val="004D6618"/>
    <w:rPr>
      <w:rFonts w:ascii="Lato Semibold" w:eastAsia="Times New Roman" w:hAnsi="Lato Semibold"/>
      <w:bCs/>
      <w:color w:val="DB7310"/>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4D6618"/>
    <w:rPr>
      <w:rFonts w:asciiTheme="majorHAnsi" w:hAnsiTheme="majorHAnsi" w:cs="Arial"/>
      <w:bCs/>
      <w:color w:val="454347"/>
      <w:sz w:val="28"/>
      <w:szCs w:val="28"/>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690862"/>
    <w:pPr>
      <w:tabs>
        <w:tab w:val="right" w:pos="10318"/>
      </w:tabs>
      <w:spacing w:after="240"/>
      <w:jc w:val="right"/>
    </w:pPr>
  </w:style>
  <w:style w:type="character" w:customStyle="1" w:styleId="HeaderChar">
    <w:name w:val="Header Char"/>
    <w:aliases w:val="Page header Char"/>
    <w:basedOn w:val="DefaultParagraphFont"/>
    <w:link w:val="Header"/>
    <w:uiPriority w:val="8"/>
    <w:rsid w:val="00690862"/>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4D6618"/>
    <w:pPr>
      <w:numPr>
        <w:ilvl w:val="1"/>
      </w:numPr>
      <w:spacing w:after="160"/>
    </w:pPr>
    <w:rPr>
      <w:rFonts w:ascii="Lato Semibold" w:eastAsia="Times New Roman" w:hAnsi="Lato Semibold"/>
      <w:color w:val="808080"/>
      <w:sz w:val="40"/>
    </w:rPr>
  </w:style>
  <w:style w:type="character" w:customStyle="1" w:styleId="Heading4Char">
    <w:name w:val="Heading 4 Char"/>
    <w:basedOn w:val="DefaultParagraphFont"/>
    <w:link w:val="Heading4"/>
    <w:uiPriority w:val="2"/>
    <w:rsid w:val="004D6618"/>
    <w:rPr>
      <w:rFonts w:asciiTheme="majorHAnsi" w:eastAsiaTheme="majorEastAsia" w:hAnsiTheme="majorHAnsi" w:cstheme="majorBidi"/>
      <w:bCs/>
      <w:iCs/>
      <w:color w:val="454347"/>
      <w:sz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8C3A43"/>
    <w:rPr>
      <w:rFonts w:asciiTheme="majorHAnsi" w:hAnsiTheme="majorHAnsi"/>
      <w:color w:val="1F1F5F" w:themeColor="text1"/>
      <w:lang w:eastAsia="en-AU"/>
    </w:rPr>
  </w:style>
  <w:style w:type="character" w:customStyle="1" w:styleId="Heading6Char">
    <w:name w:val="Heading 6 Char"/>
    <w:basedOn w:val="DefaultParagraphFont"/>
    <w:link w:val="Heading6"/>
    <w:uiPriority w:val="2"/>
    <w:semiHidden/>
    <w:rsid w:val="008C3A43"/>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8C3A43"/>
    <w:rPr>
      <w:rFonts w:asciiTheme="majorHAnsi" w:hAnsiTheme="majorHAnsi"/>
      <w:color w:val="1F1F5F" w:themeColor="text1"/>
      <w:lang w:eastAsia="en-AU"/>
    </w:rPr>
  </w:style>
  <w:style w:type="character" w:customStyle="1" w:styleId="Heading8Char">
    <w:name w:val="Heading 8 Char"/>
    <w:basedOn w:val="DefaultParagraphFont"/>
    <w:link w:val="Heading8"/>
    <w:uiPriority w:val="2"/>
    <w:semiHidden/>
    <w:rsid w:val="008C3A43"/>
    <w:rPr>
      <w:rFonts w:asciiTheme="majorHAnsi" w:hAnsiTheme="majorHAnsi"/>
      <w:color w:val="606060"/>
      <w:lang w:eastAsia="en-AU"/>
    </w:rPr>
  </w:style>
  <w:style w:type="character" w:customStyle="1" w:styleId="Heading9Char">
    <w:name w:val="Heading 9 Char"/>
    <w:basedOn w:val="DefaultParagraphFont"/>
    <w:link w:val="Heading9"/>
    <w:uiPriority w:val="2"/>
    <w:semiHidden/>
    <w:rsid w:val="008C3A43"/>
    <w:rPr>
      <w:rFonts w:asciiTheme="majorHAnsi" w:hAnsiTheme="majorHAnsi"/>
      <w:color w:val="1F1F5F"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rsid w:val="002F0DB1"/>
    <w:rPr>
      <w:color w:val="0563C1" w:themeColor="hyperlink"/>
      <w:u w:val="single"/>
    </w:rPr>
  </w:style>
  <w:style w:type="paragraph" w:styleId="TOCHeading">
    <w:name w:val="TOC Heading"/>
    <w:basedOn w:val="Heading1"/>
    <w:next w:val="Normal"/>
    <w:uiPriority w:val="39"/>
    <w:semiHidden/>
    <w:qFormat/>
    <w:rsid w:val="00422874"/>
    <w:pPr>
      <w:spacing w:before="480" w:after="0"/>
      <w:outlineLvl w:val="9"/>
    </w:pPr>
    <w:rPr>
      <w:kern w:val="0"/>
      <w:szCs w:val="28"/>
    </w:rPr>
  </w:style>
  <w:style w:type="paragraph" w:styleId="TOC1">
    <w:name w:val="toc 1"/>
    <w:basedOn w:val="Normal"/>
    <w:next w:val="Normal"/>
    <w:autoRedefine/>
    <w:uiPriority w:val="39"/>
    <w:rsid w:val="002F3CF1"/>
    <w:pPr>
      <w:tabs>
        <w:tab w:val="right" w:leader="dot" w:pos="10318"/>
      </w:tabs>
      <w:spacing w:before="120" w:after="100"/>
      <w:ind w:left="425" w:hanging="425"/>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9"/>
      </w:numPr>
    </w:pPr>
  </w:style>
  <w:style w:type="paragraph" w:styleId="Caption">
    <w:name w:val="caption"/>
    <w:basedOn w:val="Normal"/>
    <w:next w:val="Normal"/>
    <w:uiPriority w:val="8"/>
    <w:rsid w:val="000A385C"/>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WStable1">
    <w:name w:val="NTWS table 1"/>
    <w:basedOn w:val="TableNormal"/>
    <w:uiPriority w:val="99"/>
    <w:rsid w:val="004D6618"/>
    <w:pPr>
      <w:spacing w:before="40" w:after="40"/>
    </w:pPr>
    <w:rPr>
      <w:rFonts w:ascii="Lato" w:hAnsi="Lato"/>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sz w:val="22"/>
      </w:rPr>
      <w:tblPr/>
      <w:trPr>
        <w:tblHeader/>
      </w:trPr>
      <w:tcPr>
        <w:shd w:val="clear" w:color="auto" w:fill="1F1F5F" w:themeFill="text1"/>
      </w:tcPr>
    </w:tblStylePr>
    <w:tblStylePr w:type="lastRow">
      <w:rPr>
        <w:b/>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b w:val="0"/>
        <w:sz w:val="22"/>
      </w:rPr>
    </w:tblStylePr>
    <w:tblStylePr w:type="lastCol">
      <w:rPr>
        <w:sz w:val="22"/>
      </w:rPr>
    </w:tblStylePr>
    <w:tblStylePr w:type="band1Vert">
      <w:rPr>
        <w:sz w:val="22"/>
      </w:rPr>
    </w:tblStylePr>
    <w:tblStylePr w:type="band2Vert">
      <w:rPr>
        <w:sz w:val="22"/>
      </w:rPr>
    </w:tblStylePr>
    <w:tblStylePr w:type="band1Horz">
      <w:rPr>
        <w:sz w:val="22"/>
      </w:rPr>
    </w:tblStylePr>
    <w:tblStylePr w:type="band2Horz">
      <w:rPr>
        <w:sz w:val="22"/>
      </w:rPr>
      <w:tblPr/>
      <w:tcPr>
        <w:shd w:val="clear" w:color="auto" w:fill="D9D9D9" w:themeFill="background1" w:themeFillShade="D9"/>
      </w:tcPr>
    </w:tblStylePr>
    <w:tblStylePr w:type="neCell">
      <w:rPr>
        <w:sz w:val="22"/>
      </w:rPr>
    </w:tblStylePr>
    <w:tblStylePr w:type="nwCell">
      <w:rPr>
        <w:sz w:val="22"/>
      </w:rPr>
    </w:tblStylePr>
    <w:tblStylePr w:type="seCell">
      <w:rPr>
        <w:sz w:val="22"/>
      </w:rPr>
    </w:tblStylePr>
    <w:tblStylePr w:type="swCell">
      <w:rPr>
        <w:sz w:val="22"/>
      </w:rPr>
    </w:tblStylePr>
  </w:style>
  <w:style w:type="paragraph" w:styleId="FootnoteText">
    <w:name w:val="footnote text"/>
    <w:basedOn w:val="Normal"/>
    <w:link w:val="FootnoteTextChar"/>
    <w:uiPriority w:val="99"/>
    <w:semiHidden/>
    <w:unhideWhenUsed/>
    <w:rsid w:val="008D2631"/>
    <w:pPr>
      <w:spacing w:after="0"/>
    </w:pPr>
    <w:rPr>
      <w:sz w:val="20"/>
      <w:szCs w:val="20"/>
    </w:rPr>
  </w:style>
  <w:style w:type="character" w:customStyle="1" w:styleId="FootnoteTextChar">
    <w:name w:val="Footnote Text Char"/>
    <w:basedOn w:val="DefaultParagraphFont"/>
    <w:link w:val="FootnoteText"/>
    <w:uiPriority w:val="99"/>
    <w:semiHidden/>
    <w:rsid w:val="008D2631"/>
    <w:rPr>
      <w:rFonts w:ascii="Lato" w:hAnsi="Lato"/>
      <w:sz w:val="20"/>
      <w:szCs w:val="20"/>
    </w:rPr>
  </w:style>
  <w:style w:type="character" w:styleId="FootnoteReference">
    <w:name w:val="footnote reference"/>
    <w:basedOn w:val="DefaultParagraphFont"/>
    <w:uiPriority w:val="99"/>
    <w:semiHidden/>
    <w:unhideWhenUsed/>
    <w:rsid w:val="008D2631"/>
    <w:rPr>
      <w:vertAlign w:val="superscript"/>
    </w:rPr>
  </w:style>
  <w:style w:type="paragraph" w:styleId="EndnoteText">
    <w:name w:val="endnote text"/>
    <w:basedOn w:val="Normal"/>
    <w:link w:val="EndnoteTextChar"/>
    <w:uiPriority w:val="99"/>
    <w:semiHidden/>
    <w:unhideWhenUsed/>
    <w:rsid w:val="000B7F0A"/>
    <w:pPr>
      <w:spacing w:after="0"/>
    </w:pPr>
    <w:rPr>
      <w:sz w:val="20"/>
      <w:szCs w:val="20"/>
    </w:rPr>
  </w:style>
  <w:style w:type="character" w:customStyle="1" w:styleId="EndnoteTextChar">
    <w:name w:val="Endnote Text Char"/>
    <w:basedOn w:val="DefaultParagraphFont"/>
    <w:link w:val="EndnoteText"/>
    <w:uiPriority w:val="99"/>
    <w:semiHidden/>
    <w:rsid w:val="000B7F0A"/>
    <w:rPr>
      <w:rFonts w:ascii="Lato" w:hAnsi="Lato"/>
      <w:sz w:val="20"/>
      <w:szCs w:val="20"/>
    </w:rPr>
  </w:style>
  <w:style w:type="character" w:styleId="EndnoteReference">
    <w:name w:val="endnote reference"/>
    <w:basedOn w:val="DefaultParagraphFont"/>
    <w:uiPriority w:val="99"/>
    <w:semiHidden/>
    <w:unhideWhenUsed/>
    <w:rsid w:val="000B7F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www.safeworkaustralia.gov.au/law-and-regulation/model-whs-laws/national-compliance-and-enforcement-policy" TargetMode="External"/><Relationship Id="rId26" Type="http://schemas.openxmlformats.org/officeDocument/2006/relationships/hyperlink" Target="https://legislation.nt.gov.au/Legislation/WORK-HEALTH-AND-SAFETY-NATIONAL-UNIFORM-LEGISLATION-ACT-2011" TargetMode="External"/><Relationship Id="rId3" Type="http://schemas.openxmlformats.org/officeDocument/2006/relationships/numbering" Target="numbering.xml"/><Relationship Id="rId21" Type="http://schemas.openxmlformats.org/officeDocument/2006/relationships/hyperlink" Target="https://dpp.nt.gov.au/__data/assets/pdf_file/0005/574124/DPP-Guidelines-Current-2016.pdf" TargetMode="External"/><Relationship Id="rId34"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legislation.nt.gov.au/Legislation/WORK-HEALTH-AND-SAFETY-NATIONAL-UNIFORM-LEGISLATION-ACT-2011" TargetMode="External"/><Relationship Id="rId25" Type="http://schemas.openxmlformats.org/officeDocument/2006/relationships/hyperlink" Target="https://legislation.nt.gov.au/Legislation/WORK-HEALTH-AND-SAFETY-NATIONAL-UNIFORM-LEGISLATION-ACT-2011" TargetMode="External"/><Relationship Id="rId33" Type="http://schemas.openxmlformats.org/officeDocument/2006/relationships/hyperlink" Target="https://worksafe.nt.gov.au/laws-and-compliance/enforceable-undertakings"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legislation.nt.gov.au/Legislation/WORK-HEALTH-AND-SAFETY-NATIONAL-UNIFORM-LEGISLATION-REGULATIONS-2011" TargetMode="External"/><Relationship Id="rId20" Type="http://schemas.openxmlformats.org/officeDocument/2006/relationships/hyperlink" Target="https://dpp.nt.gov.au/__data/assets/pdf_file/0005/574124/DPP-Guidelines-Current-2016.pdf" TargetMode="External"/><Relationship Id="rId29" Type="http://schemas.openxmlformats.org/officeDocument/2006/relationships/hyperlink" Target="https://legislation.nt.gov.au/Legislation/WORK-HEALTH-AND-SAFETY-NATIONAL-UNIFORM-LEGISLATION-ACT-201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legislation.nt.gov.au/Legislation/WORK-HEALTH-AND-SAFETY-NATIONAL-UNIFORM-LEGISLATION-ACT-2011" TargetMode="External"/><Relationship Id="rId32" Type="http://schemas.openxmlformats.org/officeDocument/2006/relationships/hyperlink" Target="https://worksafe.nt.gov.au/forms-and-resources/bulletins/enforceable-undertakings-guidelines" TargetMode="External"/><Relationship Id="rId37"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https://legislation.nt.gov.au/Legislation/WORK-HEALTH-AND-SAFETY-NATIONAL-UNIFORM-LEGISLATION-ACT-2011" TargetMode="External"/><Relationship Id="rId23" Type="http://schemas.openxmlformats.org/officeDocument/2006/relationships/hyperlink" Target="https://worksafe.nt.gov.au" TargetMode="External"/><Relationship Id="rId28" Type="http://schemas.openxmlformats.org/officeDocument/2006/relationships/hyperlink" Target="https://legislation.nt.gov.au/Legislation/WORK-HEALTH-AND-SAFETY-NATIONAL-UNIFORM-LEGISLATION-ACT-2011" TargetMode="Externa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3.png"/><Relationship Id="rId31" Type="http://schemas.openxmlformats.org/officeDocument/2006/relationships/hyperlink" Target="https://legislation.nt.gov.au/Legislation/WORK-HEALTH-AND-SAFETY-NATIONAL-UNIFORM-LEGISLATION-ACT-2011"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2.xml"/><Relationship Id="rId22" Type="http://schemas.openxmlformats.org/officeDocument/2006/relationships/hyperlink" Target="https://legislation.nt.gov.au/Legislation/WORK-HEALTH-AND-SAFETY-NATIONAL-UNIFORM-LEGISLATION-ACT-2011" TargetMode="External"/><Relationship Id="rId27" Type="http://schemas.openxmlformats.org/officeDocument/2006/relationships/hyperlink" Target="https://legislation.nt.gov.au/Legislation/WORK-HEALTH-AND-SAFETY-NATIONAL-UNIFORM-LEGISLATION-ACT-2011" TargetMode="External"/><Relationship Id="rId30" Type="http://schemas.openxmlformats.org/officeDocument/2006/relationships/hyperlink" Target="https://legislation.nt.gov.au/Legislation/WORK-HEALTH-AND-SAFETY-NATIONAL-UNIFORM-LEGISLATION-ACT-2011" TargetMode="External"/><Relationship Id="rId35"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5p\Desktop\templates\ntg-long-document-imag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CFEACF36AA94F34A9BC2961D0344E07"/>
        <w:category>
          <w:name w:val="General"/>
          <w:gallery w:val="placeholder"/>
        </w:category>
        <w:types>
          <w:type w:val="bbPlcHdr"/>
        </w:types>
        <w:behaviors>
          <w:behavior w:val="content"/>
        </w:behaviors>
        <w:guid w:val="{A9C21EAC-CAAE-4674-AC22-50D5C9C13527}"/>
      </w:docPartPr>
      <w:docPartBody>
        <w:p w:rsidR="00FD0C8A" w:rsidRDefault="00C21438">
          <w:pPr>
            <w:pStyle w:val="3CFEACF36AA94F34A9BC2961D0344E07"/>
          </w:pPr>
          <w:r w:rsidRPr="000C7A65">
            <w:rPr>
              <w:rStyle w:val="PlaceholderText"/>
            </w:rPr>
            <w:t>[Title]</w:t>
          </w:r>
        </w:p>
      </w:docPartBody>
    </w:docPart>
    <w:docPart>
      <w:docPartPr>
        <w:name w:val="DE19F675AA76403981B332FF246B1A4D"/>
        <w:category>
          <w:name w:val="General"/>
          <w:gallery w:val="placeholder"/>
        </w:category>
        <w:types>
          <w:type w:val="bbPlcHdr"/>
        </w:types>
        <w:behaviors>
          <w:behavior w:val="content"/>
        </w:behaviors>
        <w:guid w:val="{D23911F2-B500-4E2B-A50E-118FDD90C8C0}"/>
      </w:docPartPr>
      <w:docPartBody>
        <w:p w:rsidR="00FD0C8A" w:rsidRDefault="00C21438">
          <w:pPr>
            <w:pStyle w:val="DE19F675AA76403981B332FF246B1A4D"/>
          </w:pPr>
          <w:r w:rsidRPr="00741874">
            <w:rPr>
              <w:rStyle w:val="PlaceholderText"/>
            </w:rPr>
            <w:t>[Title]</w:t>
          </w:r>
        </w:p>
      </w:docPartBody>
    </w:docPart>
    <w:docPart>
      <w:docPartPr>
        <w:name w:val="41243FC62FEE41AA8355108DF8E5CC51"/>
        <w:category>
          <w:name w:val="General"/>
          <w:gallery w:val="placeholder"/>
        </w:category>
        <w:types>
          <w:type w:val="bbPlcHdr"/>
        </w:types>
        <w:behaviors>
          <w:behavior w:val="content"/>
        </w:behaviors>
        <w:guid w:val="{AD19E063-6E5B-43FC-AB24-E029026443CC}"/>
      </w:docPartPr>
      <w:docPartBody>
        <w:p w:rsidR="00FD0C8A" w:rsidRDefault="00C21438">
          <w:pPr>
            <w:pStyle w:val="41243FC62FEE41AA8355108DF8E5CC51"/>
          </w:pPr>
          <w:r w:rsidRPr="005076E2">
            <w:t>&lt;Date Month Year&gt;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438"/>
    <w:rsid w:val="00334255"/>
    <w:rsid w:val="00703BE5"/>
    <w:rsid w:val="009B14C0"/>
    <w:rsid w:val="00A1720E"/>
    <w:rsid w:val="00B63862"/>
    <w:rsid w:val="00C21438"/>
    <w:rsid w:val="00C73380"/>
    <w:rsid w:val="00D22707"/>
    <w:rsid w:val="00FD0C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CFEACF36AA94F34A9BC2961D0344E07">
    <w:name w:val="3CFEACF36AA94F34A9BC2961D0344E07"/>
  </w:style>
  <w:style w:type="paragraph" w:customStyle="1" w:styleId="DE19F675AA76403981B332FF246B1A4D">
    <w:name w:val="DE19F675AA76403981B332FF246B1A4D"/>
  </w:style>
  <w:style w:type="paragraph" w:customStyle="1" w:styleId="41243FC62FEE41AA8355108DF8E5CC51">
    <w:name w:val="41243FC62FEE41AA8355108DF8E5CC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NTG branding">
  <a:themeElements>
    <a:clrScheme name="NTG brand colours">
      <a:dk1>
        <a:srgbClr val="1F1F5F"/>
      </a:dk1>
      <a:lt1>
        <a:sysClr val="window" lastClr="FFFFFF"/>
      </a:lt1>
      <a:dk2>
        <a:srgbClr val="CB6015"/>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2022-10-21T00:00:00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0A933FB-77D4-4AAF-8633-827F54FE2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ntg-long-document-image.dotx</Template>
  <TotalTime>14</TotalTime>
  <Pages>1</Pages>
  <Words>2668</Words>
  <Characters>15209</Characters>
  <Application>Microsoft Office Word</Application>
  <DocSecurity>8</DocSecurity>
  <Lines>126</Lines>
  <Paragraphs>35</Paragraphs>
  <ScaleCrop>false</ScaleCrop>
  <HeadingPairs>
    <vt:vector size="2" baseType="variant">
      <vt:variant>
        <vt:lpstr>Title</vt:lpstr>
      </vt:variant>
      <vt:variant>
        <vt:i4>1</vt:i4>
      </vt:variant>
    </vt:vector>
  </HeadingPairs>
  <TitlesOfParts>
    <vt:vector size="1" baseType="lpstr">
      <vt:lpstr>Prosecution Guidelines</vt:lpstr>
    </vt:vector>
  </TitlesOfParts>
  <Company>&lt;NAME&gt;</Company>
  <LinksUpToDate>false</LinksUpToDate>
  <CharactersWithSpaces>17842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Prosecution Guidelines</dc:title>
  <dc:creator>Peter Chan</dc:creator>
  <cp:lastModifiedBy>Peter Chan</cp:lastModifiedBy>
  <cp:revision>10</cp:revision>
  <cp:lastPrinted>2016-02-04T04:37:00Z</cp:lastPrinted>
  <dcterms:created xsi:type="dcterms:W3CDTF">2022-10-21T00:49:00Z</dcterms:created>
  <dcterms:modified xsi:type="dcterms:W3CDTF">2022-10-21T06:49:00Z</dcterms:modified>
</cp:coreProperties>
</file>